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C9A84C"/>
          <w:sz w:val="20"/>
          <w:szCs w:val="20"/>
        </w:rPr>
        <w:t xml:space="preserve">SR-12</w:t>
      </w:r>
    </w:p>
    <w:p>
      <w:pPr>
        <w:spacing w:after="80"/>
        <w:jc w:val="center"/>
      </w:pPr>
      <w:r>
        <w:rPr>
          <w:rFonts w:ascii="Arial" w:cs="Arial" w:eastAsia="Arial" w:hAnsi="Arial"/>
          <w:b/>
          <w:bCs/>
          <w:color w:val="0B1F3A"/>
          <w:sz w:val="32"/>
          <w:szCs w:val="32"/>
        </w:rPr>
        <w:t xml:space="preserve">Twisted Bilayer Graphene as a Mature Solid-State Route to Spectron Coherence and Non-Commutativity</w:t>
      </w:r>
    </w:p>
    <w:p>
      <w:pPr>
        <w:spacing w:after="300"/>
        <w:jc w:val="center"/>
      </w:pPr>
      <w:r>
        <w:rPr>
          <w:rFonts w:ascii="Arial" w:cs="Arial" w:eastAsia="Arial" w:hAnsi="Arial"/>
          <w:i/>
          <w:iCs/>
          <w:color w:val="3A3A3A"/>
          <w:sz w:val="24"/>
          <w:szCs w:val="24"/>
        </w:rPr>
        <w:t xml:space="preserve">A Deployment Note for Spectral Resonance String Mechanics (SRSM)</w:t>
      </w:r>
    </w:p>
    <w:p>
      <w:pPr>
        <w:spacing w:after="40"/>
        <w:jc w:val="center"/>
      </w:pPr>
      <w:r>
        <w:rPr>
          <w:rFonts w:ascii="Palatino Linotype" w:cs="Palatino Linotype" w:eastAsia="Palatino Linotype" w:hAnsi="Palatino Linotype"/>
          <w:b/>
          <w:bCs/>
          <w:sz w:val="24"/>
          <w:szCs w:val="24"/>
        </w:rPr>
        <w:t xml:space="preserve">M. Brownlee</w:t>
      </w:r>
    </w:p>
    <w:p>
      <w:pPr>
        <w:spacing w:after="40"/>
        <w:jc w:val="center"/>
      </w:pPr>
      <w:r>
        <w:rPr>
          <w:rFonts w:ascii="Palatino Linotype" w:cs="Palatino Linotype" w:eastAsia="Palatino Linotype" w:hAnsi="Palatino Linotype"/>
          <w:i/>
          <w:iCs/>
          <w:sz w:val="20"/>
          <w:szCs w:val="20"/>
        </w:rPr>
        <w:t xml:space="preserve">Dust Research Division — Experimental Deployment Group</w:t>
      </w:r>
    </w:p>
    <w:p>
      <w:pPr>
        <w:spacing w:after="400"/>
        <w:jc w:val="center"/>
      </w:pPr>
      <w:r>
        <w:rPr>
          <w:rFonts w:ascii="Palatino Linotype" w:cs="Palatino Linotype" w:eastAsia="Palatino Linotype" w:hAnsi="Palatino Linotype"/>
          <w:color w:val="6A6A6A"/>
          <w:sz w:val="20"/>
          <w:szCs w:val="20"/>
        </w:rPr>
        <w:t xml:space="preserve">Preprint SR-2026-012  •  August 10, 2026</w:t>
      </w:r>
    </w:p>
    <w:p>
      <w:pPr>
        <w:pStyle w:val="Heading2"/>
        <w:spacing w:after="150" w:before="300"/>
      </w:pPr>
      <w:r>
        <w:rPr>
          <w:rFonts w:ascii="Arial" w:cs="Arial" w:eastAsia="Arial" w:hAnsi="Arial"/>
          <w:b/>
          <w:bCs/>
          <w:color w:val="0B1F3A"/>
          <w:sz w:val="24"/>
          <w:szCs w:val="24"/>
        </w:rPr>
        <w:t xml:space="preserve">Abstract</w:t>
      </w:r>
    </w:p>
    <w:p>
      <w:pPr>
        <w:spacing w:after="300" w:before="0" w:line="288"/>
        <w:jc w:val="both"/>
      </w:pPr>
      <w:r>
        <w:rPr>
          <w:rFonts w:ascii="Palatino Linotype" w:cs="Palatino Linotype" w:eastAsia="Palatino Linotype" w:hAnsi="Palatino Linotype"/>
          <w:color w:val="1A1A1A"/>
          <w:sz w:val="22"/>
          <w:szCs w:val="22"/>
        </w:rPr>
        <w:t xml:space="preserve">SR-4 proposed cold-atom SU(N) systems as an existence-contingent route to SRSM's off-diagonal coherence 𝔇ᴵ_ab and non-commutativity tensor Θ^IJ (Sections 2.3 and 2.4.5 of the mechanics paper), and SR-8 realized the resonance Dirac operator ∕𝔇 directly using externally strained single-layer graphene. This note proposes twisted bilayer graphene (TBG) as a platform combining elements of both, using technology that is dramatically more mature than SR-4's proposal-stage cold-atom route: the interlayer tunneling matrix of the Bistritzer–MacDonald continuum model is a genuine, spatially varying off-diagonal coupling between two layer indices, directly analogous to 𝔇ᴵ_ab, while unavoidable heterostrain in real twisted samples generates a moiré-scale pseudo-gauge field structurally continuous with SR-8's single-layer strain construction. Because magic-angle TBG is already one of the most heavily studied platforms in condensed matter physics — with an existing experimental literature on flat bands, correlated insulators, and unconventional superconductivity — SR-12 inherits an unusually large body of directly relevant, already-published data. We map the layer/sublattice index structure onto SRSM's matrix indices, the position-dependent interlayer tunneling onto 𝔇ᴵ_ab, and heterostrain-induced moiré gauge fields onto a candidate realization of Θ^IJ, while flagging the platform's correlated-phase diagram as a highly speculative and undeveloped analogy to Spectron collective behavior.</w:t>
      </w:r>
    </w:p>
    <w:p>
      <w:pPr>
        <w:pStyle w:val="Heading1"/>
        <w:pBdr>
          <w:bottom w:val="single" w:color="C9A84C" w:sz="8" w:space="4"/>
        </w:pBdr>
        <w:spacing w:after="200" w:before="400"/>
      </w:pPr>
      <w:r>
        <w:rPr>
          <w:rFonts w:ascii="Arial" w:cs="Arial" w:eastAsia="Arial" w:hAnsi="Arial"/>
          <w:b/>
          <w:bCs/>
          <w:color w:val="0B1F3A"/>
          <w:sz w:val="30"/>
          <w:szCs w:val="30"/>
        </w:rPr>
        <w:t xml:space="preserve">1. Introduction</w:t>
      </w:r>
    </w:p>
    <w:p>
      <w:pPr>
        <w:spacing w:after="200" w:before="0" w:line="288"/>
        <w:jc w:val="both"/>
      </w:pPr>
      <w:r>
        <w:rPr>
          <w:rFonts w:ascii="Palatino Linotype" w:cs="Palatino Linotype" w:eastAsia="Palatino Linotype" w:hAnsi="Palatino Linotype"/>
          <w:color w:val="1A1A1A"/>
          <w:sz w:val="22"/>
          <w:szCs w:val="22"/>
        </w:rPr>
        <w:t xml:space="preserve">SR-4 was explicit about its own weakness: no experiment realizing genuine off-diagonal SRSM matrix structure has been performed on any cold-atom platform, and even its near-term stages rest on demonstrated but not yet repurposed SU(N) cold-atom technique. SR-12 asks whether a structurally similar target — position-dependent off-diagonal coupling between a small number of internal indices, and an emergent non-commutativity tensor — might already be realized, even if imperfectly, in a solid-state platform with a far more mature experimental base.</w:t>
      </w:r>
    </w:p>
    <w:p>
      <w:pPr>
        <w:spacing w:after="200" w:before="0" w:line="288"/>
        <w:jc w:val="both"/>
      </w:pPr>
      <w:r>
        <w:rPr>
          <w:rFonts w:ascii="Palatino Linotype" w:cs="Palatino Linotype" w:eastAsia="Palatino Linotype" w:hAnsi="Palatino Linotype"/>
          <w:color w:val="1A1A1A"/>
          <w:sz w:val="22"/>
          <w:szCs w:val="22"/>
        </w:rPr>
        <w:t xml:space="preserve">Twisted bilayer graphene is a strong candidate. Two graphene sheets stacked with a small relative rotation angle form a moiré superlattice, and the low-energy continuum (Bistritzer–MacDonald) description of this system involves a spatially periodic interlayer tunneling matrix coupling the two layers' Dirac cones — a genuine, position-dependent off-diagonal matrix element in exactly the sense SR-4 sought but could not yet realize experimentally. Separately, real twisted samples inevitably carry heterostrain (relative lattice distortion between the two layers), which is already known in the TBG literature to generate an effective moiré-scale gauge field, extending SR-8's single-layer strain construction to a bilayer, superlattice-periodic setting.</w:t>
      </w:r>
    </w:p>
    <w:p>
      <w:pPr>
        <w:spacing w:after="200" w:before="0" w:line="288"/>
        <w:jc w:val="both"/>
      </w:pPr>
      <w:r>
        <w:rPr>
          <w:rFonts w:ascii="Palatino Linotype" w:cs="Palatino Linotype" w:eastAsia="Palatino Linotype" w:hAnsi="Palatino Linotype"/>
          <w:color w:val="1A1A1A"/>
          <w:sz w:val="22"/>
          <w:szCs w:val="22"/>
        </w:rPr>
        <w:t xml:space="preserve">SR-12 should be read as sitting between SR-4 and SR-8: it borrows SR-4's target (off-diagonal coherence and Θ^IJ) and SR-8's mechanism (a Dirac-type operator dressed by a strain-induced pseudo-gauge field), but delivers both using a platform with an existing literature spanning flat-band physics, correlated insulators, and superconductivity.</w:t>
      </w:r>
    </w:p>
    <w:p>
      <w:pPr>
        <w:pStyle w:val="Heading1"/>
        <w:pBdr>
          <w:bottom w:val="single" w:color="C9A84C" w:sz="8" w:space="4"/>
        </w:pBdr>
        <w:spacing w:after="200" w:before="400"/>
      </w:pPr>
      <w:r>
        <w:rPr>
          <w:rFonts w:ascii="Arial" w:cs="Arial" w:eastAsia="Arial" w:hAnsi="Arial"/>
          <w:b/>
          <w:bCs/>
          <w:color w:val="0B1F3A"/>
          <w:sz w:val="30"/>
          <w:szCs w:val="30"/>
        </w:rPr>
        <w:t xml:space="preserve">2. Recap: Coherence and Non-Commutativity</w:t>
      </w:r>
    </w:p>
    <w:p>
      <w:pPr>
        <w:spacing w:after="200" w:before="0" w:line="288"/>
        <w:jc w:val="both"/>
      </w:pPr>
      <w:r>
        <w:rPr>
          <w:rFonts w:ascii="Palatino Linotype" w:cs="Palatino Linotype" w:eastAsia="Palatino Linotype" w:hAnsi="Palatino Linotype"/>
          <w:color w:val="1A1A1A"/>
          <w:sz w:val="22"/>
          <w:szCs w:val="22"/>
        </w:rPr>
        <w:t xml:space="preserve">Off-diagonal matrix elements 𝔇ᴵ_ab (a ≠ b) are coherences between Spectrons a and b (Section 2.4.5 of the mechanics paper), and directly source the emergent non-commutativity tensor</w:t>
      </w:r>
    </w:p>
    <w:p>
      <w:pPr>
        <w:spacing w:after="200" w:before="100"/>
        <w:jc w:val="center"/>
      </w:pPr>
      <w:r>
        <w:rPr>
          <w:rFonts w:ascii="Cambria Math" w:cs="Cambria Math" w:eastAsia="Cambria Math" w:hAnsi="Cambria Math"/>
          <w:i/>
          <w:iCs/>
          <w:color w:val="1A1A1A"/>
          <w:sz w:val="22"/>
          <w:szCs w:val="22"/>
        </w:rPr>
        <w:t xml:space="preserve">Θ^IJ = −(i/N) Tr [ 𝔇ᴵ, 𝔇ᴶ ]</w:t>
      </w:r>
    </w:p>
    <w:p>
      <w:pPr>
        <w:spacing w:after="200" w:before="0" w:line="288"/>
        <w:jc w:val="both"/>
      </w:pPr>
      <w:r>
        <w:rPr>
          <w:rFonts w:ascii="Palatino Linotype" w:cs="Palatino Linotype" w:eastAsia="Palatino Linotype" w:hAnsi="Palatino Linotype"/>
          <w:color w:val="1A1A1A"/>
          <w:sz w:val="22"/>
          <w:szCs w:val="22"/>
        </w:rPr>
        <w:t xml:space="preserve">(Section 2.3). SR-4 targeted this structure via controllable coupling between SU(N) atomic sublevels; SR-12 targets the same structure via the layer index of a bilayer material, at the cost of a much smaller matrix dimension (N = 2 layers, or N = 4 including sublattice) but the benefit of a vastly more mature fabrication and measurement base.</w:t>
      </w:r>
    </w:p>
    <w:p>
      <w:pPr>
        <w:pStyle w:val="Heading1"/>
        <w:pBdr>
          <w:bottom w:val="single" w:color="C9A84C" w:sz="8" w:space="4"/>
        </w:pBdr>
        <w:spacing w:after="200" w:before="400"/>
      </w:pPr>
      <w:r>
        <w:rPr>
          <w:rFonts w:ascii="Arial" w:cs="Arial" w:eastAsia="Arial" w:hAnsi="Arial"/>
          <w:b/>
          <w:bCs/>
          <w:color w:val="0B1F3A"/>
          <w:sz w:val="30"/>
          <w:szCs w:val="30"/>
        </w:rPr>
        <w:t xml:space="preserve">3. The Twisted Bilayer Graphene Platform</w:t>
      </w:r>
    </w:p>
    <w:p>
      <w:pPr>
        <w:pStyle w:val="Heading2"/>
        <w:spacing w:after="150" w:before="300"/>
      </w:pPr>
      <w:r>
        <w:rPr>
          <w:rFonts w:ascii="Arial" w:cs="Arial" w:eastAsia="Arial" w:hAnsi="Arial"/>
          <w:b/>
          <w:bCs/>
          <w:color w:val="0B1F3A"/>
          <w:sz w:val="24"/>
          <w:szCs w:val="24"/>
        </w:rPr>
        <w:t xml:space="preserve">3.1 Moiré superlattice formation</w:t>
      </w:r>
    </w:p>
    <w:p>
      <w:pPr>
        <w:spacing w:after="200" w:before="0" w:line="288"/>
        <w:jc w:val="both"/>
      </w:pPr>
      <w:r>
        <w:rPr>
          <w:rFonts w:ascii="Palatino Linotype" w:cs="Palatino Linotype" w:eastAsia="Palatino Linotype" w:hAnsi="Palatino Linotype"/>
          <w:color w:val="1A1A1A"/>
          <w:sz w:val="22"/>
          <w:szCs w:val="22"/>
        </w:rPr>
        <w:t xml:space="preserve">Stacking two graphene layers with a small relative twist angle θ produces a moiré superlattice with period L_moiré = a / (2 sin(θ/2)), where a is the graphene lattice constant. Near the “magic angle” θ ≈ 1.1°, the low-energy electronic bands become extremely flat, dramatically enhancing the relative importance of electron–electron interactions and giving rise to a rich correlated-phase diagram as a function of band filling and displacement field.</w:t>
      </w:r>
    </w:p>
    <w:p>
      <w:pPr>
        <w:pStyle w:val="Heading2"/>
        <w:spacing w:after="150" w:before="300"/>
      </w:pPr>
      <w:r>
        <w:rPr>
          <w:rFonts w:ascii="Arial" w:cs="Arial" w:eastAsia="Arial" w:hAnsi="Arial"/>
          <w:b/>
          <w:bCs/>
          <w:color w:val="0B1F3A"/>
          <w:sz w:val="24"/>
          <w:szCs w:val="24"/>
        </w:rPr>
        <w:t xml:space="preserve">3.2 The Bistritzer–MacDonald interlayer coupling</w:t>
      </w:r>
    </w:p>
    <w:p>
      <w:pPr>
        <w:spacing w:after="200" w:before="0" w:line="288"/>
        <w:jc w:val="both"/>
      </w:pPr>
      <w:r>
        <w:rPr>
          <w:rFonts w:ascii="Palatino Linotype" w:cs="Palatino Linotype" w:eastAsia="Palatino Linotype" w:hAnsi="Palatino Linotype"/>
          <w:color w:val="1A1A1A"/>
          <w:sz w:val="22"/>
          <w:szCs w:val="22"/>
        </w:rPr>
        <w:t xml:space="preserve">The continuum low-energy Hamiltonian for TBG couples the two layers' Dirac Hamiltonians through a position-dependent interlayer tunneling matrix T(r), periodic over the moiré unit cell:</w:t>
      </w:r>
    </w:p>
    <w:p>
      <w:pPr>
        <w:spacing w:after="200" w:before="100"/>
        <w:jc w:val="center"/>
      </w:pPr>
      <w:r>
        <w:rPr>
          <w:rFonts w:ascii="Cambria Math" w:cs="Cambria Math" w:eastAsia="Cambria Math" w:hAnsi="Cambria Math"/>
          <w:i/>
          <w:iCs/>
          <w:color w:val="1A1A1A"/>
          <w:sz w:val="22"/>
          <w:szCs w:val="22"/>
        </w:rPr>
        <w:t xml:space="preserve">H = ( H_top      T(r)   ;  T†(r)   H_bottom ),      T(r) periodic over the moiré cell.</w:t>
      </w:r>
    </w:p>
    <w:p>
      <w:pPr>
        <w:spacing w:after="200" w:before="0" w:line="288"/>
        <w:jc w:val="both"/>
      </w:pPr>
      <w:r>
        <w:rPr>
          <w:rFonts w:ascii="Palatino Linotype" w:cs="Palatino Linotype" w:eastAsia="Palatino Linotype" w:hAnsi="Palatino Linotype"/>
          <w:color w:val="1A1A1A"/>
          <w:sz w:val="22"/>
          <w:szCs w:val="22"/>
        </w:rPr>
        <w:t xml:space="preserve">T(r) is, structurally, exactly an off-diagonal block 𝔇ᴵ_ab coupling matrix indices a = top layer and b = bottom layer, with the crucial additional feature — absent from SR-4's proposed cold-atom embedding — that the coupling is explicitly position-dependent over a real spatial coordinate, giving it a natural σ-dependence in worldsheet language.</w:t>
      </w:r>
    </w:p>
    <w:p>
      <w:pPr>
        <w:pStyle w:val="Heading2"/>
        <w:spacing w:after="150" w:before="300"/>
      </w:pPr>
      <w:r>
        <w:rPr>
          <w:rFonts w:ascii="Arial" w:cs="Arial" w:eastAsia="Arial" w:hAnsi="Arial"/>
          <w:b/>
          <w:bCs/>
          <w:color w:val="0B1F3A"/>
          <w:sz w:val="24"/>
          <w:szCs w:val="24"/>
        </w:rPr>
        <w:t xml:space="preserve">3.3 Heterostrain and moiré gauge fields</w:t>
      </w:r>
    </w:p>
    <w:p>
      <w:pPr>
        <w:spacing w:after="200" w:before="0" w:line="288"/>
        <w:jc w:val="both"/>
      </w:pPr>
      <w:r>
        <w:rPr>
          <w:rFonts w:ascii="Palatino Linotype" w:cs="Palatino Linotype" w:eastAsia="Palatino Linotype" w:hAnsi="Palatino Linotype"/>
          <w:color w:val="1A1A1A"/>
          <w:sz w:val="22"/>
          <w:szCs w:val="22"/>
        </w:rPr>
        <w:t xml:space="preserve">Real twisted samples generically carry small relative heterostrain between the two layers in addition to the twist itself. This heterostrain has been shown, in the existing TBG literature, to generate an effective moiré-scale gauge field acting on the low-energy Dirac electrons — the bilayer, superlattice-periodic extension of the single-layer strain-induced pseudo-gauge field exploited in SR-8.</w:t>
      </w:r>
    </w:p>
    <w:p>
      <w:pPr>
        <w:pStyle w:val="Heading1"/>
        <w:pBdr>
          <w:bottom w:val="single" w:color="C9A84C" w:sz="8" w:space="4"/>
        </w:pBdr>
        <w:spacing w:after="200" w:before="400"/>
      </w:pPr>
      <w:r>
        <w:rPr>
          <w:rFonts w:ascii="Arial" w:cs="Arial" w:eastAsia="Arial" w:hAnsi="Arial"/>
          <w:b/>
          <w:bCs/>
          <w:color w:val="0B1F3A"/>
          <w:sz w:val="30"/>
          <w:szCs w:val="30"/>
        </w:rPr>
        <w:t xml:space="preserve">4. Mapping Dictionary: SRSM ↔ Twisted Bilayer Graphene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SRSM object</w:t>
            </w:r>
          </w:p>
        </w:tc>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TBG realization</w:t>
            </w:r>
          </w:p>
        </w:tc>
        <w:tc>
          <w:tcPr>
            <w:tcW w:type="dxa" w:w="315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Notes</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Matrix indices a, b</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Layer index (top/bottom), optionally × sublattice</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 = 2 (layer) or N = 4 (layer × sublattice)</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Off-diagonal coherence 𝔇ᴵ_ab</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Interlayer tunneling matrix T(r)</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Genuinely position-dependent, unlike SR-4's proposal</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Worldsheet coordinate σ</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Position r within the moiré unit cell</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T(r) periodicity ↔ candidate resonance-lattice-like structure</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Non-commutativity Θ^IJ</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Heterostrain-induced moiré gauge field</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Bilayer extension of SR-8's single-layer construction</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Resonance-lattice locking (cf. SR-3)</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Flat-band localization at the magic angle</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Speculative structural parallel only</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Collective Spectron-gas phases (Section 5.2)</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Correlated insulator / superconducting phase diagram</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Most speculative mapping in this note</w:t>
            </w:r>
          </w:p>
        </w:tc>
      </w:tr>
    </w:tbl>
    <w:p>
      <w:pPr>
        <w:spacing w:after="200" w:before="0" w:line="288"/>
        <w:jc w:val="both"/>
      </w:pPr>
      <w:r>
        <w:rPr>
          <w:rFonts w:ascii="Palatino Linotype" w:cs="Palatino Linotype" w:eastAsia="Palatino Linotype" w:hAnsi="Palatino Linotype"/>
          <w:color w:val="1A1A1A"/>
          <w:sz w:val="22"/>
          <w:szCs w:val="22"/>
        </w:rPr>
        <w:t xml:space="preserve"/>
      </w:r>
    </w:p>
    <w:p>
      <w:pPr>
        <w:pStyle w:val="Heading1"/>
        <w:pBdr>
          <w:bottom w:val="single" w:color="C9A84C" w:sz="8" w:space="4"/>
        </w:pBdr>
        <w:spacing w:after="200" w:before="400"/>
      </w:pPr>
      <w:r>
        <w:rPr>
          <w:rFonts w:ascii="Arial" w:cs="Arial" w:eastAsia="Arial" w:hAnsi="Arial"/>
          <w:b/>
          <w:bCs/>
          <w:color w:val="0B1F3A"/>
          <w:sz w:val="30"/>
          <w:szCs w:val="30"/>
        </w:rPr>
        <w:t xml:space="preserve">5. Predicted Observables and Signatures</w:t>
      </w:r>
    </w:p>
    <w:p>
      <w:pPr>
        <w:pStyle w:val="Heading2"/>
        <w:spacing w:after="150" w:before="300"/>
      </w:pPr>
      <w:r>
        <w:rPr>
          <w:rFonts w:ascii="Arial" w:cs="Arial" w:eastAsia="Arial" w:hAnsi="Arial"/>
          <w:b/>
          <w:bCs/>
          <w:color w:val="0B1F3A"/>
          <w:sz w:val="24"/>
          <w:szCs w:val="24"/>
        </w:rPr>
        <w:t xml:space="preserve">5.1 Direct imaging of position-dependent coupling</w:t>
      </w:r>
    </w:p>
    <w:p>
      <w:pPr>
        <w:spacing w:after="200" w:before="0" w:line="288"/>
        <w:jc w:val="both"/>
      </w:pPr>
      <w:r>
        <w:rPr>
          <w:rFonts w:ascii="Palatino Linotype" w:cs="Palatino Linotype" w:eastAsia="Palatino Linotype" w:hAnsi="Palatino Linotype"/>
          <w:color w:val="1A1A1A"/>
          <w:sz w:val="22"/>
          <w:szCs w:val="22"/>
        </w:rPr>
        <w:t xml:space="preserve">Scanning tunneling microscopy (STM) mapping of the local density of states across a moiré supercell, already routine in the TBG literature, directly images the spatial variation of the effective interlayer coupling T(r) — offering, in existing published data, a visualization of a position-dependent SRSM-type coherence term that SR-4's proposed cold-atom platform cannot yet provide even in principle.</w:t>
      </w:r>
    </w:p>
    <w:p>
      <w:pPr>
        <w:pStyle w:val="Heading2"/>
        <w:spacing w:after="150" w:before="300"/>
      </w:pPr>
      <w:r>
        <w:rPr>
          <w:rFonts w:ascii="Arial" w:cs="Arial" w:eastAsia="Arial" w:hAnsi="Arial"/>
          <w:b/>
          <w:bCs/>
          <w:color w:val="0B1F3A"/>
          <w:sz w:val="24"/>
          <w:szCs w:val="24"/>
        </w:rPr>
        <w:t xml:space="preserve">5.2 Heterostrain-gauge-field signatures</w:t>
      </w:r>
    </w:p>
    <w:p>
      <w:pPr>
        <w:spacing w:after="200" w:before="0" w:line="288"/>
        <w:jc w:val="both"/>
      </w:pPr>
      <w:r>
        <w:rPr>
          <w:rFonts w:ascii="Palatino Linotype" w:cs="Palatino Linotype" w:eastAsia="Palatino Linotype" w:hAnsi="Palatino Linotype"/>
          <w:color w:val="1A1A1A"/>
          <w:sz w:val="22"/>
          <w:szCs w:val="22"/>
        </w:rPr>
        <w:t xml:space="preserve">Comparing STM or transport measurements across samples or regions with differing heterostrain magnitude allows the moiré gauge field's effect on the flat-band structure to be isolated, extending SR-8's valley-selective pseudo-Landau-level signature to a bilayer, superlattice-periodic setting, and providing a second, independent test of whether strain-type mechanisms in Dirac materials generically produce SRSM-relevant Θ^IJ-like structure.</w:t>
      </w:r>
    </w:p>
    <w:p>
      <w:pPr>
        <w:pStyle w:val="Heading2"/>
        <w:spacing w:after="150" w:before="300"/>
      </w:pPr>
      <w:r>
        <w:rPr>
          <w:rFonts w:ascii="Arial" w:cs="Arial" w:eastAsia="Arial" w:hAnsi="Arial"/>
          <w:b/>
          <w:bCs/>
          <w:color w:val="0B1F3A"/>
          <w:sz w:val="24"/>
          <w:szCs w:val="24"/>
        </w:rPr>
        <w:t xml:space="preserve">5.3 Flat-band localization as a lattice-locking parallel (speculative)</w:t>
      </w:r>
    </w:p>
    <w:p>
      <w:pPr>
        <w:spacing w:after="200" w:before="0" w:line="288"/>
        <w:jc w:val="both"/>
      </w:pPr>
      <w:r>
        <w:rPr>
          <w:rFonts w:ascii="Palatino Linotype" w:cs="Palatino Linotype" w:eastAsia="Palatino Linotype" w:hAnsi="Palatino Linotype"/>
          <w:color w:val="1A1A1A"/>
          <w:sz w:val="22"/>
          <w:szCs w:val="22"/>
        </w:rPr>
        <w:t xml:space="preserve">SR-12 notes, without deriving, a structural resemblance between the extreme flatness of the magic-angle band — electrons localized to individual moiré sites with near-zero group velocity — and the resonance-lattice locking of Section 2.4.3 realized natively in SR-3. No correspondence beyond this structural resemblance is proposed.</w:t>
      </w:r>
    </w:p>
    <w:p>
      <w:pPr>
        <w:pStyle w:val="Heading1"/>
        <w:pBdr>
          <w:bottom w:val="single" w:color="C9A84C" w:sz="8" w:space="4"/>
        </w:pBdr>
        <w:spacing w:after="200" w:before="400"/>
      </w:pPr>
      <w:r>
        <w:rPr>
          <w:rFonts w:ascii="Arial" w:cs="Arial" w:eastAsia="Arial" w:hAnsi="Arial"/>
          <w:b/>
          <w:bCs/>
          <w:color w:val="0B1F3A"/>
          <w:sz w:val="30"/>
          <w:szCs w:val="30"/>
        </w:rPr>
        <w:t xml:space="preserve">6. Staged Experimental Protocol</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SR-12a — Baseline characterization: fabricate or source magic-angle TBG samples and reproduce standard STM mapping of the moiré-periodic local density of states, establishing the T(r) ↔ 𝔇ᴵ_ab correspondence of Section 4 against directly measured data.</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SR-12b — Heterostrain-resolved mapping: compare samples or regions of differing heterostrain magnitude to isolate moiré gauge-field signatures, as proposed in Section 5.2.</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SR-12c — Flat-band structural comparison: characterize the band flatness and localization length near the magic angle and compare qualitatively against the resonance-lattice localization scale of SR-3, as an exploratory structural check (Section 5.3).</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SR-12d — Correlated-phase survey (exploratory): survey the existing and newly measured correlated-insulator/superconductor phase diagram as a function of filling and displacement field for any qualitative features suggestive of Spectron-gas collective behavior (Section 5.2 of the mechanics paper), with no expectation of a derived correspondence at this stage.</w:t>
      </w:r>
    </w:p>
    <w:p>
      <w:pPr>
        <w:pStyle w:val="Heading1"/>
        <w:pBdr>
          <w:bottom w:val="single" w:color="C9A84C" w:sz="8" w:space="4"/>
        </w:pBdr>
        <w:spacing w:after="200" w:before="400"/>
      </w:pPr>
      <w:r>
        <w:rPr>
          <w:rFonts w:ascii="Arial" w:cs="Arial" w:eastAsia="Arial" w:hAnsi="Arial"/>
          <w:b/>
          <w:bCs/>
          <w:color w:val="0B1F3A"/>
          <w:sz w:val="30"/>
          <w:szCs w:val="30"/>
        </w:rPr>
        <w:t xml:space="preserve">7. Scope and Explicit Limitations</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Small matrix dimension: TBG's layer/sublattice structure gives only N = 2 or N = 4, far short of the large-N regime central to SRSM's own continuum-limit claims; extensions to trilayer or multilayer moiré stacks could increase N modestly but not approach a genuine large-N limit.</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Gauge-field correspondence is structural, not derived: as in SR-8, the identification of heterostrain-induced moiré gauge fields with Θ^IJ is motivated by shared mathematical form (a position-dependent connection modifying a Dirac-type operator), not by a derivation from the SRSM action.</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No worldsheet time evolution: like SR-8, this is a static (or slowly, externally tunable via twist angle and gate voltage) electronic-structure platform, with no analogue of worldsheet time τ or the constraint algebra of Section 4 of the mechanics paper.</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Correlated-phase analogy is the most speculative claim in this note: Section 5.3/SR-12d propose no derived correspondence between TBG's correlated insulator/superconductor phases and SRSM's collective Spectron-gas behavior, and any qualitative resemblance found should not be over-read as confirmation.</w:t>
      </w:r>
    </w:p>
    <w:p>
      <w:pPr>
        <w:pStyle w:val="Heading1"/>
        <w:pBdr>
          <w:bottom w:val="single" w:color="C9A84C" w:sz="8" w:space="4"/>
        </w:pBdr>
        <w:spacing w:after="200" w:before="400"/>
      </w:pPr>
      <w:r>
        <w:rPr>
          <w:rFonts w:ascii="Arial" w:cs="Arial" w:eastAsia="Arial" w:hAnsi="Arial"/>
          <w:b/>
          <w:bCs/>
          <w:color w:val="0B1F3A"/>
          <w:sz w:val="30"/>
          <w:szCs w:val="30"/>
        </w:rPr>
        <w:t xml:space="preserve">8. Relation to SR-1 Through SR-11</w:t>
      </w:r>
    </w:p>
    <w:p>
      <w:pPr>
        <w:spacing w:after="200" w:before="0" w:line="288"/>
        <w:jc w:val="both"/>
      </w:pPr>
      <w:r>
        <w:rPr>
          <w:rFonts w:ascii="Palatino Linotype" w:cs="Palatino Linotype" w:eastAsia="Palatino Linotype" w:hAnsi="Palatino Linotype"/>
          <w:color w:val="1A1A1A"/>
          <w:sz w:val="22"/>
          <w:szCs w:val="22"/>
        </w:rPr>
        <w:t xml:space="preserve">SR-12 sits structurally between SR-4 and SR-8: it shares SR-4's target (off-diagonal coherence and non-commutativity) and SR-8's mechanism (a Dirac-type operator dressed by a strain-induced connection), while offering neither platform's specific advantage in isolation — SR-4's large internal dimension N or SR-8's single-layer simplicity — in exchange for a substantially larger, already-published experimental literature than either. It contributes nothing to the discrete Spectron sector (SR-1, SR-2, SR-3, SR-6), the continuum hydrodynamic sector (SR-5, SR-10, SR-11), or the dynamical chaos/holography sector (SR-7, SR-9).</w:t>
      </w:r>
    </w:p>
    <w:p>
      <w:pPr>
        <w:pStyle w:val="Heading1"/>
        <w:pBdr>
          <w:bottom w:val="single" w:color="C9A84C" w:sz="8" w:space="4"/>
        </w:pBdr>
        <w:spacing w:after="200" w:before="400"/>
      </w:pPr>
      <w:r>
        <w:rPr>
          <w:rFonts w:ascii="Arial" w:cs="Arial" w:eastAsia="Arial" w:hAnsi="Arial"/>
          <w:b/>
          <w:bCs/>
          <w:color w:val="0B1F3A"/>
          <w:sz w:val="30"/>
          <w:szCs w:val="30"/>
        </w:rPr>
        <w:t xml:space="preserve">9. Conclusion</w:t>
      </w:r>
    </w:p>
    <w:p>
      <w:pPr>
        <w:spacing w:after="300" w:before="0" w:line="288"/>
        <w:jc w:val="both"/>
      </w:pPr>
      <w:r>
        <w:rPr>
          <w:rFonts w:ascii="Palatino Linotype" w:cs="Palatino Linotype" w:eastAsia="Palatino Linotype" w:hAnsi="Palatino Linotype"/>
          <w:color w:val="1A1A1A"/>
          <w:sz w:val="22"/>
          <w:szCs w:val="22"/>
        </w:rPr>
        <w:t xml:space="preserve">Twisted bilayer graphene offers a solid-state platform combining SR-4's coherence/non-commutativity target with SR-8's Dirac-operator mechanism, at a level of experimental maturity neither individual note can currently draw on. Its principal near-term contribution is direct, already-partially-published imaging of a genuinely position-dependent off-diagonal coupling structure (Section 5.1); its extensions toward moiré gauge fields (Section 5.2) and, more speculatively, correlated-phase behavior (Section 5.3) are offered as structural analogies for further development rather than as derived SRSM predictions.</w:t>
      </w:r>
    </w:p>
    <w:p>
      <w:pPr>
        <w:pStyle w:val="Heading1"/>
        <w:pBdr>
          <w:bottom w:val="single" w:color="C9A84C" w:sz="8" w:space="4"/>
        </w:pBdr>
        <w:spacing w:after="200" w:before="400"/>
      </w:pPr>
      <w:r>
        <w:rPr>
          <w:rFonts w:ascii="Arial" w:cs="Arial" w:eastAsia="Arial" w:hAnsi="Arial"/>
          <w:b/>
          <w:bCs/>
          <w:color w:val="0B1F3A"/>
          <w:sz w:val="30"/>
          <w:szCs w:val="30"/>
        </w:rPr>
        <w:t xml:space="preserve">References</w:t>
      </w:r>
    </w:p>
    <w:p>
      <w:pPr>
        <w:spacing w:after="100" w:before="0" w:line="288"/>
        <w:jc w:val="left"/>
      </w:pPr>
      <w:r>
        <w:rPr>
          <w:rFonts w:ascii="Palatino Linotype" w:cs="Palatino Linotype" w:eastAsia="Palatino Linotype" w:hAnsi="Palatino Linotype"/>
          <w:color w:val="1A1A1A"/>
          <w:sz w:val="22"/>
          <w:szCs w:val="22"/>
        </w:rPr>
        <w:t xml:space="preserve">[1] Spectral Resonance String Mechanics: A Hamiltonian and Worldsheet Formulation of Pre-Geometric Resonance Strings. Preprint SRST-2026-002.</w:t>
      </w:r>
    </w:p>
    <w:p>
      <w:pPr>
        <w:spacing w:after="100" w:before="0" w:line="288"/>
        <w:jc w:val="left"/>
      </w:pPr>
      <w:r>
        <w:rPr>
          <w:rFonts w:ascii="Palatino Linotype" w:cs="Palatino Linotype" w:eastAsia="Palatino Linotype" w:hAnsi="Palatino Linotype"/>
          <w:color w:val="1A1A1A"/>
          <w:sz w:val="22"/>
          <w:szCs w:val="22"/>
        </w:rPr>
        <w:t xml:space="preserve">[2] R. Bistritzer and A. H. MacDonald, “Moiré Bands in Twisted Double-Layer Graphene,” Proc. Natl. Acad. Sci. USA 108, 12233 (2011).</w:t>
      </w:r>
    </w:p>
    <w:p>
      <w:pPr>
        <w:spacing w:after="100" w:before="0" w:line="288"/>
        <w:jc w:val="left"/>
      </w:pPr>
      <w:r>
        <w:rPr>
          <w:rFonts w:ascii="Palatino Linotype" w:cs="Palatino Linotype" w:eastAsia="Palatino Linotype" w:hAnsi="Palatino Linotype"/>
          <w:color w:val="1A1A1A"/>
          <w:sz w:val="22"/>
          <w:szCs w:val="22"/>
        </w:rPr>
        <w:t xml:space="preserve">[3] Y. Cao et al., “Correlated Insulator Behaviour at Half-Filling in Magic-Angle Graphene Superlattices,” Nature 556, 80 (2018).</w:t>
      </w:r>
    </w:p>
    <w:p>
      <w:pPr>
        <w:spacing w:after="100" w:before="0" w:line="288"/>
        <w:jc w:val="left"/>
      </w:pPr>
      <w:r>
        <w:rPr>
          <w:rFonts w:ascii="Palatino Linotype" w:cs="Palatino Linotype" w:eastAsia="Palatino Linotype" w:hAnsi="Palatino Linotype"/>
          <w:color w:val="1A1A1A"/>
          <w:sz w:val="22"/>
          <w:szCs w:val="22"/>
        </w:rPr>
        <w:t xml:space="preserve">[4] Y. Cao et al., “Unconventional Superconductivity in Magic-Angle Graphene Superlattices,” Nature 556, 43 (2018).</w:t>
      </w:r>
    </w:p>
    <w:p>
      <w:pPr>
        <w:spacing w:after="100" w:before="0" w:line="288"/>
        <w:jc w:val="left"/>
      </w:pPr>
      <w:r>
        <w:rPr>
          <w:rFonts w:ascii="Palatino Linotype" w:cs="Palatino Linotype" w:eastAsia="Palatino Linotype" w:hAnsi="Palatino Linotype"/>
          <w:color w:val="1A1A1A"/>
          <w:sz w:val="22"/>
          <w:szCs w:val="22"/>
        </w:rPr>
        <w:t xml:space="preserve">[5] M. Yankowitz et al., “Tuning Superconductivity in Twisted Bilayer Graphene,” Science 363, 1059 (2019).</w:t>
      </w:r>
    </w:p>
    <w:p>
      <w:pPr>
        <w:spacing w:after="100" w:before="0" w:line="288"/>
        <w:jc w:val="left"/>
      </w:pPr>
      <w:r>
        <w:rPr>
          <w:rFonts w:ascii="Palatino Linotype" w:cs="Palatino Linotype" w:eastAsia="Palatino Linotype" w:hAnsi="Palatino Linotype"/>
          <w:color w:val="1A1A1A"/>
          <w:sz w:val="22"/>
          <w:szCs w:val="22"/>
        </w:rPr>
        <w:t xml:space="preserve">[6] Z. Bi, N. F. Q. Yuan, and L. Fu, “Designing Flat Bands by Strain,” Phys. Rev. B 100, 035448 (2019).</w:t>
      </w:r>
    </w:p>
    <w:p>
      <w:pPr>
        <w:spacing w:after="100" w:before="0" w:line="288"/>
        <w:jc w:val="left"/>
      </w:pPr>
      <w:r>
        <w:rPr>
          <w:rFonts w:ascii="Palatino Linotype" w:cs="Palatino Linotype" w:eastAsia="Palatino Linotype" w:hAnsi="Palatino Linotype"/>
          <w:color w:val="1A1A1A"/>
          <w:sz w:val="22"/>
          <w:szCs w:val="22"/>
        </w:rPr>
        <w:t xml:space="preserve">[7] SR-4: Cold-Atom SU(N) Simulators as a Proposal-Stage Realization of the Spectron Matrix Sector. Preprint SR-2026-004, Dust Research Division.</w:t>
      </w:r>
    </w:p>
    <w:p>
      <w:pPr>
        <w:spacing w:after="100" w:before="0" w:line="288"/>
        <w:jc w:val="left"/>
      </w:pPr>
      <w:r>
        <w:rPr>
          <w:rFonts w:ascii="Palatino Linotype" w:cs="Palatino Linotype" w:eastAsia="Palatino Linotype" w:hAnsi="Palatino Linotype"/>
          <w:color w:val="1A1A1A"/>
          <w:sz w:val="22"/>
          <w:szCs w:val="22"/>
        </w:rPr>
        <w:t xml:space="preserve">[8] SR-8: Strained Graphene Pseudo-Landau Levels as a Direct Realization of the Resonance Dirac Operator. Preprint SR-2026-008, Dust Research Division.</w:t>
      </w:r>
    </w:p>
    <w:p>
      <w:pPr>
        <w:spacing w:after="100" w:before="0" w:line="288"/>
        <w:jc w:val="left"/>
      </w:pPr>
      <w:r>
        <w:rPr>
          <w:rFonts w:ascii="Palatino Linotype" w:cs="Palatino Linotype" w:eastAsia="Palatino Linotype" w:hAnsi="Palatino Linotype"/>
          <w:color w:val="1A1A1A"/>
          <w:sz w:val="22"/>
          <w:szCs w:val="22"/>
        </w:rPr>
        <w:t xml:space="preserve">[9] SR-1 through SR-11 Deployment Notes, Preprints SR-2026-001 through SR-2026-011, Dust Research Division.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tabs>
        <w:tab w:val="right" w:pos="10800"/>
      </w:tabs>
    </w:pPr>
    <w:r>
      <w:rPr>
        <w:rFonts w:ascii="Arial" w:cs="Arial" w:eastAsia="Arial" w:hAnsi="Arial"/>
        <w:color w:val="6A6A6A"/>
        <w:sz w:val="16"/>
        <w:szCs w:val="16"/>
      </w:rPr>
      <w:t xml:space="preserve">Spectral Resonance String Mechanics — Deployment Series</w:t>
    </w:r>
    <w:r>
      <w:rPr>
        <w:rFonts w:ascii="Arial" w:cs="Arial" w:eastAsia="Arial" w:hAnsi="Arial"/>
        <w:color w:val="6A6A6A"/>
        <w:sz w:val="16"/>
        <w:szCs w:val="16"/>
      </w:rPr>
      <w:t xml:space="preserve">	Page </w:t>
    </w:r>
    <w:r>
      <w:rPr>
        <w:rFonts w:ascii="Arial" w:cs="Arial" w:eastAsia="Arial" w:hAnsi="Arial"/>
        <w:color w:val="6A6A6A"/>
        <w:sz w:val="16"/>
        <w:szCs w:val="16"/>
      </w:rPr>
      <w:fldChar w:fldCharType="begin"/>
      <w:instrText xml:space="preserve">PAGE</w:instrText>
      <w:fldChar w:fldCharType="separate"/>
      <w:fldChar w:fldCharType="end"/>
    </w:r>
    <w:r>
      <w:rPr>
        <w:rFonts w:ascii="Arial" w:cs="Arial" w:eastAsia="Arial" w:hAnsi="Arial"/>
        <w:color w:val="6A6A6A"/>
        <w:sz w:val="16"/>
        <w:szCs w:val="16"/>
      </w:rPr>
      <w:t xml:space="preserve"> of </w:t>
    </w:r>
    <w:r>
      <w:rPr>
        <w:rFonts w:ascii="Arial" w:cs="Arial" w:eastAsia="Arial" w:hAnsi="Arial"/>
        <w:color w:val="6A6A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10800"/>
      </w:tabs>
    </w:pPr>
    <w:r>
      <w:rPr>
        <w:rFonts w:ascii="Arial" w:cs="Arial" w:eastAsia="Arial" w:hAnsi="Arial"/>
        <w:b/>
        <w:bCs/>
        <w:color w:val="0B1F3A"/>
        <w:sz w:val="16"/>
        <w:szCs w:val="16"/>
      </w:rPr>
      <w:t xml:space="preserve">DUST LLC — THEORETICAL FOUNDATIONS GROUP</w:t>
    </w:r>
    <w:r>
      <w:rPr>
        <w:rFonts w:ascii="Arial" w:cs="Arial" w:eastAsia="Arial" w:hAnsi="Arial"/>
        <w:color w:val="C9A84C"/>
        <w:sz w:val="16"/>
        <w:szCs w:val="16"/>
      </w:rPr>
      <w:t xml:space="preserve">	SR-12 — Deployment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2026-08-15T09:47:42.219Z</dcterms:created>
  <dcterms:modified xsi:type="dcterms:W3CDTF">2026-08-15T09:47:42.235Z</dcterms:modified>
</cp:coreProperties>
</file>

<file path=docProps/custom.xml><?xml version="1.0" encoding="utf-8"?>
<Properties xmlns="http://schemas.openxmlformats.org/officeDocument/2006/custom-properties" xmlns:vt="http://schemas.openxmlformats.org/officeDocument/2006/docPropsVTypes"/>
</file>