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PM-5</w:t>
      </w:r>
    </w:p>
    <w:p>
      <w:pPr>
        <w:spacing w:after="240"/>
        <w:jc w:val="center"/>
      </w:pPr>
      <w:r>
        <w:rPr>
          <w:rFonts w:ascii="Arial" w:cs="Arial" w:eastAsia="Arial" w:hAnsi="Arial"/>
          <w:b/>
          <w:bCs/>
          <w:color w:val="1B2A4A"/>
          <w:sz w:val="34"/>
          <w:szCs w:val="34"/>
        </w:rPr>
        <w:t xml:space="preserve">Quantized Vortices in Superfluid Helium as a Topological-Sector Probe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superfluid helium, quantized vortex, circulation quantization, vortex reconnection, Kelvin wave,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Superfluid ⁴He supplies the one candidate in this series where a topological quantum number — the winding number of the order-parameter phase around a vortex core — has been directly and individually counted by eye, in a laboratory, for over four decades. Quantized vortices in He-II are line defects around which the superfluid phase winds by an integer multiple of 2πh/m, with circulation locked to that integer to a precision limited only by measurement, not by theory. This note reviews the established Feynman–Onsager description of quantized circulation, the direct imaging of individual vortex lines in rotating buckets, and the more recent particle-tracking imaging of vortex reconnection events — the superfluid analogue of a topological-sector transition — states the correspondence to the Phase Mechanics phaset, and identifies two observables where the phaset formalism’s structure predicts a departure from the standard Schwarz vortex-filament and Kozik–Svistunov weak-turbulence treatments: reconnection waiting-time statistics in a turbulent tangle, and fine structure in the Kelvin-wave cascade spectrum. Both are measurable with existing particle-tracking and second-sound techniques in working superfluid helium laboratories.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The three candidates addressed so far in this series — laboratory double-layer plasmas (PM-2), charge-density-wave phasons and amplitudons (PM-3), and Josephson-junction phase (PM-4) — progress from a constructed analogy toward an increasingly direct identification with the Phase Mechanics phaset. Superfluid helium occupies a distinct position in that progression: its topological quantum number is not inferred from transport or spectroscopy, as in the other three candidates, but has been read out directly, one vortex line at a time, by optical imaging of trapped ions and, more recently, of frozen tracer particles. Where PM-4 argued that the Josephson phase is the reference case for a genuine macroscopic quantum coordinate, this note argues that quantized helium vortices are the reference case for a directly countable topological sector.</w:t>
      </w:r>
    </w:p>
    <w:p>
      <w:pPr>
        <w:spacing w:after="200" w:line="276"/>
        <w:jc w:val="both"/>
      </w:pPr>
      <w:r>
        <w:rPr>
          <w:rFonts w:ascii="Palatino Linotype" w:cs="Palatino Linotype" w:eastAsia="Palatino Linotype" w:hAnsi="Palatino Linotype"/>
          <w:sz w:val="22"/>
          <w:szCs w:val="22"/>
        </w:rPr>
        <w:t xml:space="preserve">This note is scoped to laboratory superfluid ⁴He (and, where noted, ³He) alone. It makes no claim about quantum fluids elsewhere in nature and no claim about any system addressed in the earlier notes in this series.</w:t>
      </w:r>
    </w:p>
    <w:p>
      <w:pPr>
        <w:pStyle w:val="Heading1"/>
        <w:pBdr>
          <w:bottom w:val="single" w:color="B8922B" w:sz="6" w:space="4"/>
        </w:pBdr>
        <w:spacing w:after="200" w:before="400"/>
      </w:pPr>
      <w:r>
        <w:rPr>
          <w:rFonts w:ascii="Arial" w:cs="Arial" w:eastAsia="Arial" w:hAnsi="Arial"/>
          <w:b/>
          <w:bCs/>
          <w:color w:val="1B2A4A"/>
          <w:sz w:val="26"/>
          <w:szCs w:val="26"/>
        </w:rPr>
        <w:t xml:space="preserve">II. Quantized Vortices in Superfluid Helium: Established Phenomenology</w:t>
      </w:r>
    </w:p>
    <w:p>
      <w:pPr>
        <w:spacing w:after="200" w:line="276"/>
        <w:jc w:val="both"/>
      </w:pPr>
      <w:r>
        <w:rPr>
          <w:rFonts w:ascii="Palatino Linotype" w:cs="Palatino Linotype" w:eastAsia="Palatino Linotype" w:hAnsi="Palatino Linotype"/>
          <w:sz w:val="22"/>
          <w:szCs w:val="22"/>
        </w:rPr>
        <w:t xml:space="preserve">Below the lambda transition (T_λ = 2.17 K at saturated vapor pressure), a macroscopic fraction of liquid ⁴He condenses into a single quantum state described by a complex order parameter ψ(r) = √ρ_s(r)·e^{iφ(r)}, where ρ_s is the superfluid density and φ is a phase defined (away from vortex cores) throughout the fluid. Because ψ must be single-valued, the circulation of the superfluid velocity v_s = (ħ/m)∇φ around any closed loop is quantized: ∂v_s·dl = nκ, where κ = h/m is the quantum of circulation (approximately 9.97×10⁻⁸ m²/s for ⁴He) and n is an integer — the Feynman–Onsager quantization condition. A quantized vortex is a line defect, with a core of order Ångströms in radius, around which φ winds by exactly n·2π.</w:t>
      </w:r>
    </w:p>
    <w:p>
      <w:pPr>
        <w:spacing w:after="200" w:line="276"/>
        <w:jc w:val="both"/>
      </w:pPr>
      <w:r>
        <w:rPr>
          <w:rFonts w:ascii="Palatino Linotype" w:cs="Palatino Linotype" w:eastAsia="Palatino Linotype" w:hAnsi="Palatino Linotype"/>
          <w:sz w:val="22"/>
          <w:szCs w:val="22"/>
        </w:rPr>
        <w:t xml:space="preserve">This is not solely a theoretical construct. Rayfield and Reif measured the quantum of circulation directly in 1964 using charged vortex rings, and Vinen had already demonstrated circulation quantization via a vibrating-wire experiment in 1961. Most strikingly for the purposes of this note, Yarmchuk, Gordon, and Packard demonstrated in 1979 that individual quantized vortex lines in a rotating bucket of He-II could be imaged directly, one by one, by trapping electrons on the vortex cores and accelerating them to a phosphor screen — producing a photograph in which each visible point of light corresponds to exactly one unit of circulation quantum number. Vortex arrays in rotating He-II form regular lattices whose vortex count increases in discrete, countable steps with rotation rate, directly confirming the integer quantization predicted by Feynman and Onsager decades earlier.</w:t>
      </w:r>
    </w:p>
    <w:p>
      <w:pPr>
        <w:pStyle w:val="Heading1"/>
        <w:pBdr>
          <w:bottom w:val="single" w:color="B8922B" w:sz="6" w:space="4"/>
        </w:pBdr>
        <w:spacing w:after="200" w:before="400"/>
      </w:pPr>
      <w:r>
        <w:rPr>
          <w:rFonts w:ascii="Arial" w:cs="Arial" w:eastAsia="Arial" w:hAnsi="Arial"/>
          <w:b/>
          <w:bCs/>
          <w:color w:val="1B2A4A"/>
          <w:sz w:val="26"/>
          <w:szCs w:val="26"/>
        </w:rPr>
        <w:t xml:space="preserve">III. Vortex Reconnection: The Native Topological Transition</w:t>
      </w:r>
    </w:p>
    <w:p>
      <w:pPr>
        <w:spacing w:after="200" w:line="276"/>
        <w:jc w:val="both"/>
      </w:pPr>
      <w:r>
        <w:rPr>
          <w:rFonts w:ascii="Palatino Linotype" w:cs="Palatino Linotype" w:eastAsia="Palatino Linotype" w:hAnsi="Palatino Linotype"/>
          <w:sz w:val="22"/>
          <w:szCs w:val="22"/>
        </w:rPr>
        <w:t xml:space="preserve">When two quantized vortex lines approach each other in a turbulent tangle, they do not cross; they reconnect, severing and rejoining to change the tangle’s topology while conserving total circulation. Reconnection is the superfluid helium analogue of the phase slip (PM-3) and the quantum phase slip (PM-4): a discrete, topology-changing event in the order-parameter phase field, rather than a continuous deformation. Unlike the CDW and Josephson cases, individual reconnection events in He-II have been directly imaged in three dimensions, using micron-scale frozen hydrogen or deuterium tracer particles illuminated by laser sheets and tracked at high speed — first achieved by Bewley, Lathrop, and Sreenivasan in 2006. These experiments confirmed a universal scaling law, predicted independently by the Biot–Savart vortex-filament model and by Gross–Pitaevskii simulations, in which the separation between the two reconnecting vortex segments grows as the square root of time after the reconnection event, —a specific, quantitative, and already-verified prediction that any Phase Mechanics correspondence must not contradict.</w:t>
      </w:r>
    </w:p>
    <w:p>
      <w:pPr>
        <w:pStyle w:val="Heading1"/>
        <w:pBdr>
          <w:bottom w:val="single" w:color="B8922B" w:sz="6" w:space="4"/>
        </w:pBdr>
        <w:spacing w:after="200" w:before="400"/>
      </w:pPr>
      <w:r>
        <w:rPr>
          <w:rFonts w:ascii="Arial" w:cs="Arial" w:eastAsia="Arial" w:hAnsi="Arial"/>
          <w:b/>
          <w:bCs/>
          <w:color w:val="1B2A4A"/>
          <w:sz w:val="26"/>
          <w:szCs w:val="26"/>
        </w:rPr>
        <w:t xml:space="preserve">IV. Kelvin Waves and the Weak-Turbulence Cascade</w:t>
      </w:r>
    </w:p>
    <w:p>
      <w:pPr>
        <w:spacing w:after="200" w:line="276"/>
        <w:jc w:val="both"/>
      </w:pPr>
      <w:r>
        <w:rPr>
          <w:rFonts w:ascii="Palatino Linotype" w:cs="Palatino Linotype" w:eastAsia="Palatino Linotype" w:hAnsi="Palatino Linotype"/>
          <w:sz w:val="22"/>
          <w:szCs w:val="22"/>
        </w:rPr>
        <w:t xml:space="preserve">A quantized vortex line is not rigid; it supports helical displacement waves along its length known as Kelvin waves, which are themselves excited directly by reconnection events (confirmed by particle-tracking imaging, Fonda et al., 2014). In a turbulent tangle, Kelvin waves cascade energy from the intervortex scale down to microscopic scales, where it is ultimately dissipated as phonon radiation — the superfluid analogue of the classical Kolmogorov energy cascade. The standard weak-wave-turbulence treatments of this cascade (the Kozik–Svistunov and L’vov–Nazarenko spectra) predict specific power-law forms for the Kelvin-wave energy spectrum at small scales, which remain an active area of both simulation and experimental refinement.</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local order parameter ψ(r,t) = √ρ_s·e^{iφ} with the phaset’s coordinates exactly as in PM-4: ρ_s with coherence amplitude, and the integer winding number n around a given vortex core with the topological-sector coordinate. Unlike the Josephson case, where n is read out indirectly via flux or switching-current measurement, the helium case allows n to be counted directly by eye in a rotating-bucket geometry — the closest existing laboratory analogue to a direct topological-sector readout available to this note series. A quiescent array of quantized vortices in a rotating bucket is the analogue of a set of phasets held in fixed, individually countable topological sectors; a turbulent tangle undergoing reconnection is the analogue of phasets undergoing driven, countable sector transitions, with Kelvin-wave excitation as the associated relaxation channel.</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Sub-Poissonian reconnection waiting-time statistics</w:t>
      </w:r>
    </w:p>
    <w:p>
      <w:pPr>
        <w:spacing w:after="200" w:line="276"/>
        <w:jc w:val="both"/>
      </w:pPr>
      <w:r>
        <w:rPr>
          <w:rFonts w:ascii="Palatino Linotype" w:cs="Palatino Linotype" w:eastAsia="Palatino Linotype" w:hAnsi="Palatino Linotype"/>
          <w:sz w:val="22"/>
          <w:szCs w:val="22"/>
        </w:rPr>
        <w:t xml:space="preserve">The standard vortex-filament (Schwarz) and Vinen mutual-friction treatments predict a reconnection rate in a turbulent tangle set by local vortex-line density and relative velocity, with successive reconnection events statistically independent at fixed tangle density — a Poissonian process to good approximation, once the already-confirmed √t separation-scaling law for individual events is accounted for. As in PM-3 and PM-4, the phaset correspondence predicts a measurable sub-Poissonian departure — a Fano factor below unity in the reconnection-event waiting-time distribution extracted from a tracked tangle — if the topological-sector coordinate carries a slowly-relaxing correlation across successive reconnection events.</w:t>
      </w:r>
    </w:p>
    <w:p>
      <w:pPr>
        <w:pStyle w:val="Heading2"/>
        <w:spacing w:after="140" w:before="260"/>
      </w:pPr>
      <w:r>
        <w:rPr>
          <w:rFonts w:ascii="Arial" w:cs="Arial" w:eastAsia="Arial" w:hAnsi="Arial"/>
          <w:b/>
          <w:bCs/>
          <w:color w:val="1B2A4A"/>
          <w:sz w:val="22"/>
          <w:szCs w:val="22"/>
        </w:rPr>
        <w:t xml:space="preserve">Prediction 2 — Resonance structure in the Kelvin-wave cascade spectrum</w:t>
      </w:r>
    </w:p>
    <w:p>
      <w:pPr>
        <w:spacing w:after="200" w:line="276"/>
        <w:jc w:val="both"/>
      </w:pPr>
      <w:r>
        <w:rPr>
          <w:rFonts w:ascii="Palatino Linotype" w:cs="Palatino Linotype" w:eastAsia="Palatino Linotype" w:hAnsi="Palatino Linotype"/>
          <w:sz w:val="22"/>
          <w:szCs w:val="22"/>
        </w:rPr>
        <w:t xml:space="preserve">The Kozik–Svistunov and L’vov–Nazarenko spectra predict smooth power-law forms for the Kelvin-wave energy spectrum, set purely by the local nonlinear wave-interaction physics of the vortex filament. The phaset correspondence predicts additional weak, reproducible spectral features — narrow deviations from the power law at wavenumbers corresponding to topological-sector transition energies — superimposed on the standard cascade spectrum, most visible at the lowest attainable temperatures where the phonon-radiation cutoff is pushed to the smallest scales and the cascade’s inertial range is longest.</w:t>
      </w:r>
    </w:p>
    <w:p>
      <w:pPr>
        <w:spacing w:after="200" w:line="276"/>
        <w:jc w:val="both"/>
      </w:pPr>
      <w:r>
        <w:rPr>
          <w:rFonts w:ascii="Palatino Linotype" w:cs="Palatino Linotype" w:eastAsia="Palatino Linotype" w:hAnsi="Palatino Linotype"/>
          <w:sz w:val="22"/>
          <w:szCs w:val="22"/>
        </w:rPr>
        <w:t xml:space="preserve">A null result on both — Poissonian reconnection statistics and a clean power-law Kelvin-wave spectrum at all resolvable scales — would indicate that the vortex winding number, though directly countable and topological in the strict mathematical sense, carries no additional physical content beyond what standard quantum-fluid dynamics already assigns it.</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Tangle generation: turbulent He-II tangle produced by counterflow or towed-grid turbulence in a standard low-temperature cryostat, at a series of temperatures spanning the two-fluid regime down to the lowest attainable temperature to minimize normal-fluid mutual friction damping.</w:t>
      </w:r>
    </w:p>
    <w:p>
      <w:pPr>
        <w:pStyle w:val="ListParagraph"/>
        <w:numPr>
          <w:ilvl w:val="0"/>
          <w:numId w:val="2"/>
        </w:numPr>
        <w:spacing w:after="120"/>
      </w:pPr>
      <w:r>
        <w:rPr>
          <w:rFonts w:ascii="Palatino Linotype" w:cs="Palatino Linotype" w:eastAsia="Palatino Linotype" w:hAnsi="Palatino Linotype"/>
          <w:sz w:val="22"/>
          <w:szCs w:val="22"/>
        </w:rPr>
        <w:t xml:space="preserve">Reconnection tracking: micron-scale frozen hydrogen or deuterium tracer particles seeded in the flow, imaged in three dimensions via multi-camera particle tracking velocimetry at high frame rate, following the established Lathrop/Bewley/Fonda protocol, with individual reconnection events identified by the characteristic √t separation signature.</w:t>
      </w:r>
    </w:p>
    <w:p>
      <w:pPr>
        <w:pStyle w:val="ListParagraph"/>
        <w:numPr>
          <w:ilvl w:val="0"/>
          <w:numId w:val="2"/>
        </w:numPr>
        <w:spacing w:after="120"/>
      </w:pPr>
      <w:r>
        <w:rPr>
          <w:rFonts w:ascii="Palatino Linotype" w:cs="Palatino Linotype" w:eastAsia="Palatino Linotype" w:hAnsi="Palatino Linotype"/>
          <w:sz w:val="22"/>
          <w:szCs w:val="22"/>
        </w:rPr>
        <w:t xml:space="preserve">Waiting-time statistics: compilation of reconnection event times from an extended tracking run into a waiting-time distribution, with Fano-factor analysis against a Poissonian null, mirroring the protocol used for CDW phase slips (PM-3) and quantum phase slips (PM-4).</w:t>
      </w:r>
    </w:p>
    <w:p>
      <w:pPr>
        <w:pStyle w:val="ListParagraph"/>
        <w:numPr>
          <w:ilvl w:val="0"/>
          <w:numId w:val="2"/>
        </w:numPr>
        <w:spacing w:after="120"/>
      </w:pPr>
      <w:r>
        <w:rPr>
          <w:rFonts w:ascii="Palatino Linotype" w:cs="Palatino Linotype" w:eastAsia="Palatino Linotype" w:hAnsi="Palatino Linotype"/>
          <w:sz w:val="22"/>
          <w:szCs w:val="22"/>
        </w:rPr>
        <w:t xml:space="preserve">Kelvin-wave spectrum: second-sound attenuation and/or particle-tracked vortex-line-shape analysis to reconstruct the small-scale Kelvin-wave energy spectrum, compared against the Kozik–Svistunov and L’vov–Nazarenko power-law predictions across the accessible inertial range.</w:t>
      </w:r>
    </w:p>
    <w:p>
      <w:pPr>
        <w:pStyle w:val="ListParagraph"/>
        <w:numPr>
          <w:ilvl w:val="0"/>
          <w:numId w:val="2"/>
        </w:numPr>
        <w:spacing w:after="120"/>
      </w:pPr>
      <w:r>
        <w:rPr>
          <w:rFonts w:ascii="Palatino Linotype" w:cs="Palatino Linotype" w:eastAsia="Palatino Linotype" w:hAnsi="Palatino Linotype"/>
          <w:sz w:val="22"/>
          <w:szCs w:val="22"/>
        </w:rPr>
        <w:t xml:space="preserve">Topological-sector calibration: a companion rotating-bucket measurement, following the Yarmchuk–Packard ion-trapping protocol, to directly count vortex number as a function of rotation rate, establishing an independent, non-turbulent baseline readout of the topological-sector coordinate against which the turbulent-tangle measurements can be cross-checked.</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the tracking protocol at tangle densities low enough that reconnection events are rare and well-separated in time, to confirm that any measured sub-Poissonian clustering is tied to genuine event-to-event correlation rather than tracking-algorithm artifacts from closely spaced events.</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Superfluid helium is the strongest candidate in this series specifically against the criteria concerned with topological-sector initialization and readout: the Yarmchuk–Packard rotating-bucket protocol already demonstrates well-characterized initialization of a specific, known vortex number and high-fidelity, single-vortex-resolved readout, satisfying those PDC criteria about as directly as any condensed-matter system available. It is the weakest candidate against the criteria concerned with controlled coupling between individually addressed phasets: reconnection in a turbulent tangle is a stochastic process arising from many-vortex dynamics, not a controlled two-body interaction between two independently prepared and addressed vortices, and no existing helium experiment demonstrates the latter. A future note could examine whether controlled reconnection between two deliberately prepared, individually tracked vortex lines — rather than a statistical tangle — is achievable, which would close this gap.</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addressed in this series and no implication for quantum fluids beyond laboratory ⁴He (or, with appropriate modification, ³He). It is falsified on its own terms if the reconnection waiting-time distribution in Prediction 1 is consistent with a Poissonian process across the tested tangle-density range, and if the Kelvin-wave spectrum in Prediction 2 matches the Kozik–Svistunov or L’vov–Nazarenko power law with no resolvable deviation across the accessible inertial range. Given that the √t reconnection scaling law and the general form of the Kelvin-wave cascade are already independently confirmed, a null result here would indicate that vortex winding number, notwithstanding its status as a directly countable topological quantum number, is not carrying the additional structure the phaset formalism proposes.</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Quantized vortices in superfluid helium provide the one candidate in this series where a topological quantum number has been counted directly, vortex by vortex, in a working laboratory, since 1979. This note has reviewed the established Feynman–Onsager circulation quantization, the directly imaged phenomenon of vortex reconnection, and the Kelvin-wave cascade that follows from it, proposed a correspondence to the Phase Mechanics phaset, and specified two falsifiable predictions — sub-Poissonian reconnection statistics and Kelvin-wave spectral fine structure — testable with existing particle-tracking and second-sound techniques. Combined with the Josephson-junction candidate of PM-4, superfluid helium closes out this note series’ search for a terrestrial phaset realization with the two strongest available candidates: one for a directly quantum-mechanical phase, and one for a directly countable topological sector.</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Onsager, L. “Statistical hydrodynamics.” Il Nuovo Cimento 6, Suppl. 2, 279 (1949).</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Feynman, R. P. “Application of quantum mechanics to liquid helium.” Progress in Low Temperature Physics 1, 17 (1955).</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Vinen, W. F. “The detection of single quanta of circulation in liquid helium II.” Proceedings of the Royal Society A 260, 218 (1961).</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Rayfield, G. W. and Reif, F. “Quantized vortex rings in superfluid helium.” Physical Review 136, A1194 (1964).</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Yarmchuk, E. J., Gordon, M. J. V., and Packard, R. E. “Observation of stationary vortex arrays in rotating superfluid helium.” Physical Review Letters 43, 214 (1979).</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Schwarz, K. W. “Three-dimensional vortex dynamics in superfluid ⁴He.” Physical Review B 31, 5782 (1985).</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Bewley, G. P., Lathrop, D. P., and Sreenivasan, K. R. “Visualization of quantized vortices.” Nature 441, 588 (2006).</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Fonda, E. et al. “Direct observation of Kelvin waves excited by quantized vortex reconnection.” Proceedings of the National Academy of Sciences 111, 4707 (2014).</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Kozik, E. and Svistunov, B. “Kelvin-wave cascade and decay of superfluid turbulence.” Physical Review Letters 92, 035301 (2004).</w:t>
      </w:r>
    </w:p>
    <w:p>
      <w:pPr>
        <w:spacing w:after="120"/>
        <w:ind w:left="360" w:hanging="360"/>
      </w:pPr>
      <w:r>
        <w:rPr>
          <w:rFonts w:ascii="Palatino Linotype" w:cs="Palatino Linotype" w:eastAsia="Palatino Linotype" w:hAnsi="Palatino Linotype"/>
          <w:b/>
          <w:bCs/>
          <w:sz w:val="22"/>
          <w:szCs w:val="22"/>
        </w:rPr>
        <w:t xml:space="preserve">[10]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PM-3, and PM-4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PM-5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2026-07-31T05:19:16.303Z</dcterms:created>
  <dcterms:modified xsi:type="dcterms:W3CDTF">2026-07-31T05:19:16.333Z</dcterms:modified>
</cp:coreProperties>
</file>

<file path=docProps/custom.xml><?xml version="1.0" encoding="utf-8"?>
<Properties xmlns="http://schemas.openxmlformats.org/officeDocument/2006/custom-properties" xmlns:vt="http://schemas.openxmlformats.org/officeDocument/2006/docPropsVTypes"/>
</file>