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  <w:jc w:val="center"/>
      </w:pPr>
      <w:r>
        <w:rPr>
          <w:rFonts w:ascii="Arial" w:cs="Arial" w:eastAsia="Arial" w:hAnsi="Arial"/>
          <w:b/>
          <w:bCs/>
          <w:color w:val="B08D3E"/>
          <w:spacing w:val="30"/>
          <w:sz w:val="20"/>
          <w:szCs w:val="20"/>
        </w:rPr>
        <w:t xml:space="preserve">DUST LLC  ·  DUST RESEARCH DIVISION</w:t>
      </w:r>
    </w:p>
    <w:p>
      <w:pPr>
        <w:spacing w:after="500" w:before="60"/>
        <w:jc w:val="center"/>
      </w:pPr>
      <w:r>
        <w:rPr>
          <w:rFonts w:ascii="Arial" w:cs="Arial" w:eastAsia="Arial" w:hAnsi="Arial"/>
          <w:color w:val="6B6B6B"/>
          <w:spacing w:val="20"/>
          <w:sz w:val="16"/>
          <w:szCs w:val="16"/>
        </w:rPr>
        <w:t xml:space="preserve">THEORETICAL FOUNDATIONS GROUP</w:t>
      </w:r>
    </w:p>
    <w:p>
      <w:pPr>
        <w:spacing w:after="0" w:before="900"/>
        <w:jc w:val="center"/>
      </w:pPr>
      <w:r>
        <w:rPr>
          <w:rFonts w:ascii="Arial" w:cs="Arial" w:eastAsia="Arial" w:hAnsi="Arial"/>
          <w:b/>
          <w:bCs/>
          <w:color w:val="142850"/>
          <w:spacing w:val="10"/>
          <w:sz w:val="44"/>
          <w:szCs w:val="44"/>
        </w:rPr>
        <w:t xml:space="preserve">COPRIMALITY WEIGHT THEORY</w:t>
      </w:r>
    </w:p>
    <w:p>
      <w:pPr>
        <w:spacing w:after="700" w:before="220"/>
        <w:jc w:val="center"/>
      </w:pPr>
      <w:r>
        <w:rPr>
          <w:rFonts w:ascii="Arial" w:cs="Arial" w:eastAsia="Arial" w:hAnsi="Arial"/>
          <w:i/>
          <w:iCs/>
          <w:color w:val="0B1A33"/>
          <w:sz w:val="24"/>
          <w:szCs w:val="24"/>
        </w:rPr>
        <w:t xml:space="preserve">A General Framework for GCD-Fibered Summation of Arithmetic Functions</w:t>
      </w:r>
    </w:p>
    <w:p>
      <w:pPr>
        <w:pBdr>
          <w:top w:val="single" w:color="B08D3E" w:sz="8" w:space="8"/>
        </w:pBdr>
        <w:spacing w:after="0"/>
        <w:jc w:val="center"/>
      </w:pPr>
    </w:p>
    <w:p>
      <w:pPr>
        <w:spacing w:after="40" w:before="600"/>
        <w:jc w:val="center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M. Brownlee</w:t>
      </w:r>
    </w:p>
    <w:p>
      <w:pPr>
        <w:spacing w:after="20"/>
        <w:jc w:val="center"/>
      </w:pPr>
      <w:r>
        <w:rPr>
          <w:rFonts w:ascii="Palatino Linotype" w:cs="Palatino Linotype" w:eastAsia="Palatino Linotype" w:hAnsi="Palatino Linotype"/>
          <w:i/>
          <w:iCs/>
          <w:color w:val="3A3A3A"/>
          <w:sz w:val="20"/>
          <w:szCs w:val="20"/>
        </w:rPr>
        <w:t xml:space="preserve">Dust Research Division — Theoretical Foundations Group</w:t>
      </w:r>
    </w:p>
    <w:p>
      <w:pPr>
        <w:spacing w:after="900"/>
        <w:jc w:val="center"/>
      </w:pPr>
      <w:r>
        <w:rPr>
          <w:rFonts w:ascii="Palatino Linotype" w:cs="Palatino Linotype" w:eastAsia="Palatino Linotype" w:hAnsi="Palatino Linotype"/>
          <w:color w:val="3A3A3A"/>
          <w:sz w:val="20"/>
          <w:szCs w:val="20"/>
        </w:rPr>
        <w:t xml:space="preserve">August 2026</w:t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B08D3E"/>
          <w:spacing w:val="14"/>
          <w:sz w:val="15"/>
          <w:szCs w:val="15"/>
        </w:rPr>
        <w:t xml:space="preserve">PREPRINT  ·  ORIGINAL WORK  ·  ELEMENTARY NUMBER THEORY</w:t>
      </w:r>
    </w:p>
    <w:p>
      <w:r>
        <w:br w:type="page"/>
      </w:r>
    </w:p>
    <w:p>
      <w:pPr>
        <w:pStyle w:val="Heading1"/>
        <w:pBdr>
          <w:bottom w:val="single" w:color="B08D3E" w:sz="6" w:space="4"/>
        </w:pBdr>
        <w:spacing w:after="200" w:before="420"/>
      </w:pPr>
      <w:r>
        <w:rPr>
          <w:rFonts w:ascii="Arial" w:cs="Arial" w:eastAsia="Arial" w:hAnsi="Arial"/>
          <w:b/>
          <w:bCs/>
          <w:color w:val="142850"/>
          <w:sz w:val="26"/>
          <w:szCs w:val="26"/>
        </w:rPr>
        <w:t xml:space="preserve"/>
      </w:r>
      <w:r>
        <w:rPr>
          <w:rFonts w:ascii="Arial" w:cs="Arial" w:eastAsia="Arial" w:hAnsi="Arial"/>
          <w:b/>
          <w:bCs/>
          <w:caps/>
          <w:color w:val="142850"/>
          <w:spacing w:val="10"/>
          <w:sz w:val="26"/>
          <w:szCs w:val="26"/>
        </w:rPr>
        <w:t xml:space="preserve">Abstract</w:t>
      </w:r>
    </w:p>
    <w:p>
      <w:pPr>
        <w:spacing w:after="200" w:line="300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This paper introduces </w:t>
      </w:r>
      <w:r>
        <w:rPr>
          <w:rFonts w:ascii="Palatino Linotype" w:cs="Palatino Linotype" w:eastAsia="Palatino Linotype" w:hAnsi="Palatino Linotype"/>
          <w:b/>
          <w:bCs/>
          <w:color w:val="1A1A1A"/>
          <w:sz w:val="22"/>
          <w:szCs w:val="22"/>
        </w:rPr>
        <w:t xml:space="preserve">Coprimality Weight Theory (CWT)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, a self-contained framework for summing arbitrary functions of the greatest common divisor across a complete residue interval. For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n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a positive integer and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h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any real- or complex-valued function on the positive integers, we define the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coprimality weight sum</w:t>
      </w:r>
      <w:r>
        <w:rPr>
          <w:rFonts w:ascii="Cambria Math" w:cs="Cambria Math" w:eastAsia="Cambria Math" w:hAnsi="Cambria Math"/>
          <w:color w:val="1A1A1A"/>
          <w:sz w:val="22"/>
          <w:szCs w:val="22"/>
        </w:rPr>
        <w:t xml:space="preserve">  Λh(n) := Σ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from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k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= 1 to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n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of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h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(gcd(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k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,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n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)). 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We prove the </w:t>
      </w:r>
      <w:r>
        <w:rPr>
          <w:rFonts w:ascii="Palatino Linotype" w:cs="Palatino Linotype" w:eastAsia="Palatino Linotype" w:hAnsi="Palatino Linotype"/>
          <w:b/>
          <w:bCs/>
          <w:color w:val="1A1A1A"/>
          <w:sz w:val="22"/>
          <w:szCs w:val="22"/>
        </w:rPr>
        <w:t xml:space="preserve">General GCD-Weighted Summation Theorem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, which converts this sum, taken over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n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terms, into a divisor-indexed convolution of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h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with Euler's totient function: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Λh(n) = Σ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over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d | n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of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h(d)·φ(n/d)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. This single identity unifies several results that would otherwise appear unrelated: the trivial normalization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Λ1(n) = n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(recovering the classical identity Σ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φ(d) = n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), the recovery of Pillai's 1933 arithmetical function as the case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h(d) = d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, and a new one-parameter </w:t>
      </w:r>
      <w:r>
        <w:rPr>
          <w:rFonts w:ascii="Palatino Linotype" w:cs="Palatino Linotype" w:eastAsia="Palatino Linotype" w:hAnsi="Palatino Linotype"/>
          <w:b/>
          <w:bCs/>
          <w:color w:val="1A1A1A"/>
          <w:sz w:val="22"/>
          <w:szCs w:val="22"/>
        </w:rPr>
        <w:t xml:space="preserve">coprimality power-moment family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Λs(n)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that interpolates continuously in the exponent between these two classical endpoints.</w:t>
      </w:r>
    </w:p>
    <w:p>
      <w:pPr>
        <w:spacing w:after="200" w:line="300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We further show that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Λh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is the Dirichlet convolution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h ∗ φ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, and is therefore multiplicative whenever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h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is multiplicative — giving closed prime-power formulas throughout. Taking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h = μ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(the Möbius function) produces a previously undescribed arithmetic function whose vanishing set we characterize completely: we prove the </w:t>
      </w:r>
      <w:r>
        <w:rPr>
          <w:rFonts w:ascii="Palatino Linotype" w:cs="Palatino Linotype" w:eastAsia="Palatino Linotype" w:hAnsi="Palatino Linotype"/>
          <w:b/>
          <w:bCs/>
          <w:color w:val="1A1A1A"/>
          <w:sz w:val="22"/>
          <w:szCs w:val="22"/>
        </w:rPr>
        <w:t xml:space="preserve">Zero-Locus Theorem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, stating that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Λμ(n) = 0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if and only if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n ≡ 2 (mod 4)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. All theorems and prime-power closed forms in this paper have been verified against direct computation for a broad range of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n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, and a full worked verification table is included for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n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= 1 through 12. We close with a set of open conjectures on the growth, sign structure, and perfect-power behavior of the power-moment family, proposed as a research program extending CWT beyond the results established here.</w:t>
      </w:r>
    </w:p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B08D3E" w:sz="6" w:space="4"/>
        </w:pBdr>
        <w:spacing w:after="200" w:before="420"/>
      </w:pPr>
      <w:r>
        <w:rPr>
          <w:rFonts w:ascii="Arial" w:cs="Arial" w:eastAsia="Arial" w:hAnsi="Arial"/>
          <w:b/>
          <w:bCs/>
          <w:color w:val="142850"/>
          <w:sz w:val="26"/>
          <w:szCs w:val="26"/>
        </w:rPr>
        <w:t xml:space="preserve">1.  </w:t>
      </w:r>
      <w:r>
        <w:rPr>
          <w:rFonts w:ascii="Arial" w:cs="Arial" w:eastAsia="Arial" w:hAnsi="Arial"/>
          <w:b/>
          <w:bCs/>
          <w:caps/>
          <w:color w:val="142850"/>
          <w:spacing w:val="10"/>
          <w:sz w:val="26"/>
          <w:szCs w:val="26"/>
        </w:rPr>
        <w:t xml:space="preserve">Introduction</w:t>
      </w:r>
    </w:p>
    <w:p>
      <w:pPr>
        <w:spacing w:after="200" w:line="300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The greatest common divisor is among the oldest and most economical objects in number theory, yet the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distribution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of gcd(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k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,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n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) as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k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ranges over a complete interval [1,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n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] has a comparatively narrow literature. The best-known result in this direction is due to S. S. Pillai, who in 1933 studied the sum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C(n) = Σ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gcd(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k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,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n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) for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k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= 1 to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n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, and showed it decomposes as a divisor sum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Σd|n d·φ(n/d)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. Pillai's function has since been rediscovered under several names and reappears occasionally in the study of multiplicative arithmetic functions, but it has generally been treated as an isolated curiosity — a single function, rather than an instance of a broader mechanism.</w:t>
      </w:r>
    </w:p>
    <w:p>
      <w:pPr>
        <w:spacing w:after="200" w:line="300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This paper's contribution is to identify and prove that broader mechanism directly. We observe that Pillai's derivation depends on exactly one structural fact — that the values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k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∈ [1,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n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] partition cleanly into fibers by the value of gcd(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k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,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n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), with the fiber over each divisor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d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having size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φ(n/d)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— and that this fact places no constraint whatsoever on which function of the gcd is being summed. Replacing the identity weight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d ↦ d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with an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arbitrary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function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h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yields a single general theorem from which Pillai's function, the totient identity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Σφ(d) = n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, and an entire new family of Möbius- and power-weighted gcd sums all fall out as special cases. This is the same move that unifies a family of results in convolution-based number theory more broadly: fix the combinatorial skeleton (here, the gcd-fiber structure of an interval), and let the summand function vary freely across it.</w:t>
      </w:r>
    </w:p>
    <w:p>
      <w:pPr>
        <w:spacing w:after="200" w:line="300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Section 2 fixes notation. Section 3 states and proves the General GCD-Weighted Summation Theorem. Section 4 develops four corollaries — a normalization check, the recovery of Pillai's function, the coprimality power-moment family, and the Möbius corollary with its associated Zero-Locus Theorem. Section 5 records the multiplicative structure of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Λh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as a Dirichlet convolution. Section 6 presents a hand-checkable numerical verification table for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n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= 1 through 12. Section 7 poses open conjectures, and Section 8 concludes.</w:t>
      </w:r>
    </w:p>
    <w:p>
      <w:pPr>
        <w:pStyle w:val="Heading1"/>
        <w:pBdr>
          <w:bottom w:val="single" w:color="B08D3E" w:sz="6" w:space="4"/>
        </w:pBdr>
        <w:spacing w:after="200" w:before="420"/>
      </w:pPr>
      <w:r>
        <w:rPr>
          <w:rFonts w:ascii="Arial" w:cs="Arial" w:eastAsia="Arial" w:hAnsi="Arial"/>
          <w:b/>
          <w:bCs/>
          <w:color w:val="142850"/>
          <w:sz w:val="26"/>
          <w:szCs w:val="26"/>
        </w:rPr>
        <w:t xml:space="preserve">2.  </w:t>
      </w:r>
      <w:r>
        <w:rPr>
          <w:rFonts w:ascii="Arial" w:cs="Arial" w:eastAsia="Arial" w:hAnsi="Arial"/>
          <w:b/>
          <w:bCs/>
          <w:caps/>
          <w:color w:val="142850"/>
          <w:spacing w:val="10"/>
          <w:sz w:val="26"/>
          <w:szCs w:val="26"/>
        </w:rPr>
        <w:t xml:space="preserve">Preliminaries and Notation</w:t>
      </w:r>
    </w:p>
    <w:p>
      <w:pPr>
        <w:spacing w:after="200" w:line="300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Throughout,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n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,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k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,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d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denote positive integers, and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p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always denotes a prime.</w:t>
      </w:r>
    </w:p>
    <w:p>
      <w:pPr>
        <w:spacing w:after="60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Standard notation used throughout: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φ denotes Euler's totient function: φ(n) is the number of integers in [1, n] coprime to n, with the standard convention φ(1) = 1.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μ denotes the Möbius function: μ(1) = 1; μ(n) = (−1)ʳ if n is a product of r distinct primes; μ(n) = 0 if n is divisible by a square greater than 1.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A function h : ℤ⁺ → ℂ is called multiplicative if h(1) = 1 and h(ab) = h(a)h(b) whenever gcd(a, b) = 1. No further restriction on h is required anywhere in Section 3; multiplicativity is invoked only in Section 5.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For two arithmetic functions f, g, their Dirichlet convolution is (f ∗ g)(n) = Σ over d | n of f(d)·g(n/d). The Dirichlet convolution of two multiplicative functions is multiplicative — a classical fact used without proof in Section 5.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We write d | n to mean d is a positive divisor of n, and gcd(a, b) for the greatest common divisor of a and b.</w:t>
      </w:r>
    </w:p>
    <w:p>
      <w:pPr>
        <w:spacing w:after="200" w:line="300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The central object of this paper is the following definition.</w:t>
      </w:r>
    </w:p>
    <w:tbl>
      <w:tblPr>
        <w:tblW w:type="pct" w:w="100%"/>
        <w:tblBorders>
          <w:top w:val="single" w:color="142850" w:sz="8"/>
          <w:left w:val="single" w:color="142850" w:sz="8"/>
          <w:bottom w:val="single" w:color="142850" w:sz="8"/>
          <w:right w:val="single" w:color="142850" w:sz="8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7F5EE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aps/>
                <w:color w:val="142850"/>
                <w:spacing w:val="8"/>
                <w:sz w:val="21"/>
                <w:szCs w:val="21"/>
              </w:rPr>
              <w:t xml:space="preserve">Definition 2.1 — Coprimality Weight Sum</w:t>
            </w:r>
          </w:p>
          <w:p>
            <w:pPr>
              <w:spacing w:after="80"/>
              <w:jc w:val="both"/>
            </w:pPr>
            <w:r>
              <w:rPr>
                <w:rFonts w:ascii="Palatino Linotype" w:cs="Palatino Linotype" w:eastAsia="Palatino Linotype" w:hAnsi="Palatino Linotype"/>
                <w:color w:val="1A1A1A"/>
                <w:sz w:val="22"/>
                <w:szCs w:val="22"/>
              </w:rPr>
              <w:t xml:space="preserve">For a positive integer 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1A1A1A"/>
                <w:sz w:val="22"/>
                <w:szCs w:val="22"/>
              </w:rPr>
              <w:t xml:space="preserve">n</w:t>
            </w:r>
            <w:r>
              <w:rPr>
                <w:rFonts w:ascii="Palatino Linotype" w:cs="Palatino Linotype" w:eastAsia="Palatino Linotype" w:hAnsi="Palatino Linotype"/>
                <w:color w:val="1A1A1A"/>
                <w:sz w:val="22"/>
                <w:szCs w:val="22"/>
              </w:rPr>
              <w:t xml:space="preserve"> and any function 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1A1A1A"/>
                <w:sz w:val="22"/>
                <w:szCs w:val="22"/>
              </w:rPr>
              <w:t xml:space="preserve">h : ℤ⁺ → ℂ</w:t>
            </w:r>
            <w:r>
              <w:rPr>
                <w:rFonts w:ascii="Palatino Linotype" w:cs="Palatino Linotype" w:eastAsia="Palatino Linotype" w:hAnsi="Palatino Linotype"/>
                <w:color w:val="1A1A1A"/>
                <w:sz w:val="22"/>
                <w:szCs w:val="22"/>
              </w:rPr>
              <w:t xml:space="preserve">, the </w:t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1A1A1A"/>
                <w:sz w:val="22"/>
                <w:szCs w:val="22"/>
              </w:rPr>
              <w:t xml:space="preserve">coprimality weight sum</w:t>
            </w:r>
            <w:r>
              <w:rPr>
                <w:rFonts w:ascii="Palatino Linotype" w:cs="Palatino Linotype" w:eastAsia="Palatino Linotype" w:hAnsi="Palatino Linotype"/>
                <w:color w:val="1A1A1A"/>
                <w:sz w:val="22"/>
                <w:szCs w:val="22"/>
              </w:rPr>
              <w:t xml:space="preserve"> of 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1A1A1A"/>
                <w:sz w:val="22"/>
                <w:szCs w:val="22"/>
              </w:rPr>
              <w:t xml:space="preserve">h</w:t>
            </w:r>
            <w:r>
              <w:rPr>
                <w:rFonts w:ascii="Palatino Linotype" w:cs="Palatino Linotype" w:eastAsia="Palatino Linotype" w:hAnsi="Palatino Linotype"/>
                <w:color w:val="1A1A1A"/>
                <w:sz w:val="22"/>
                <w:szCs w:val="22"/>
              </w:rPr>
              <w:t xml:space="preserve"> at 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1A1A1A"/>
                <w:sz w:val="22"/>
                <w:szCs w:val="22"/>
              </w:rPr>
              <w:t xml:space="preserve">n</w:t>
            </w:r>
            <w:r>
              <w:rPr>
                <w:rFonts w:ascii="Palatino Linotype" w:cs="Palatino Linotype" w:eastAsia="Palatino Linotype" w:hAnsi="Palatino Linotype"/>
                <w:color w:val="1A1A1A"/>
                <w:sz w:val="22"/>
                <w:szCs w:val="22"/>
              </w:rPr>
              <w:t xml:space="preserve"> is</w:t>
            </w:r>
          </w:p>
          <w:p>
            <w:pPr>
              <w:pBdr>
                <w:top w:val="single" w:color="D9C48F" w:sz="4" w:space="6"/>
                <w:bottom w:val="single" w:color="D9C48F" w:sz="4" w:space="6"/>
              </w:pBdr>
              <w:shd w:fill="F4F1E8" w:val="clear"/>
              <w:spacing w:after="160" w:before="160"/>
              <w:jc w:val="center"/>
            </w:pPr>
            <w:r>
              <w:rPr>
                <w:rFonts w:ascii="Cambria Math" w:cs="Cambria Math" w:eastAsia="Cambria Math" w:hAnsi="Cambria Math"/>
                <w:i w:val="false"/>
                <w:iCs w:val="false"/>
                <w:color w:val="0B1A33"/>
                <w:sz w:val="24"/>
                <w:szCs w:val="24"/>
              </w:rPr>
              <w:t xml:space="preserve">Λh(n)  =  Σ (k = 1 to n)  h( gcd(k, n) )</w:t>
            </w:r>
          </w:p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color w:val="1A1A1A"/>
                <w:sz w:val="22"/>
                <w:szCs w:val="22"/>
              </w:rPr>
              <w:t xml:space="preserve">No restriction — not even boundedness — is placed on 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1A1A1A"/>
                <w:sz w:val="22"/>
                <w:szCs w:val="22"/>
              </w:rPr>
              <w:t xml:space="preserve">h</w:t>
            </w:r>
            <w:r>
              <w:rPr>
                <w:rFonts w:ascii="Palatino Linotype" w:cs="Palatino Linotype" w:eastAsia="Palatino Linotype" w:hAnsi="Palatino Linotype"/>
                <w:color w:val="1A1A1A"/>
                <w:sz w:val="22"/>
                <w:szCs w:val="22"/>
              </w:rPr>
              <w:t xml:space="preserve"> at this stage; the theorem below holds for a completely arbitrary function on the positive integers.</w:t>
            </w:r>
          </w:p>
        </w:tc>
      </w:tr>
    </w:tbl>
    <w:p>
      <w:pPr>
        <w:pStyle w:val="Heading1"/>
        <w:pBdr>
          <w:bottom w:val="single" w:color="B08D3E" w:sz="6" w:space="4"/>
        </w:pBdr>
        <w:spacing w:after="200" w:before="420"/>
      </w:pPr>
      <w:r>
        <w:rPr>
          <w:rFonts w:ascii="Arial" w:cs="Arial" w:eastAsia="Arial" w:hAnsi="Arial"/>
          <w:b/>
          <w:bCs/>
          <w:color w:val="142850"/>
          <w:sz w:val="26"/>
          <w:szCs w:val="26"/>
        </w:rPr>
        <w:t xml:space="preserve">3.  </w:t>
      </w:r>
      <w:r>
        <w:rPr>
          <w:rFonts w:ascii="Arial" w:cs="Arial" w:eastAsia="Arial" w:hAnsi="Arial"/>
          <w:b/>
          <w:bCs/>
          <w:caps/>
          <w:color w:val="142850"/>
          <w:spacing w:val="10"/>
          <w:sz w:val="26"/>
          <w:szCs w:val="26"/>
        </w:rPr>
        <w:t xml:space="preserve">The General GCD-Weighted Summation Theorem</w:t>
      </w:r>
    </w:p>
    <w:p>
      <w:pPr>
        <w:spacing w:after="200" w:line="300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We now state and prove the paper's core identity.</w:t>
      </w:r>
    </w:p>
    <w:tbl>
      <w:tblPr>
        <w:tblW w:type="pct" w:w="100%"/>
        <w:tblBorders>
          <w:top w:val="single" w:color="142850" w:sz="8"/>
          <w:left w:val="single" w:color="142850" w:sz="8"/>
          <w:bottom w:val="single" w:color="142850" w:sz="8"/>
          <w:right w:val="single" w:color="142850" w:sz="8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7F5EE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aps/>
                <w:color w:val="142850"/>
                <w:spacing w:val="8"/>
                <w:sz w:val="21"/>
                <w:szCs w:val="21"/>
              </w:rPr>
              <w:t xml:space="preserve">Theorem 3.1 — General GCD-Weighted Summation Theorem (GGWST)</w:t>
            </w:r>
          </w:p>
          <w:p>
            <w:pPr>
              <w:spacing w:after="80"/>
              <w:jc w:val="both"/>
            </w:pPr>
            <w:r>
              <w:rPr>
                <w:rFonts w:ascii="Palatino Linotype" w:cs="Palatino Linotype" w:eastAsia="Palatino Linotype" w:hAnsi="Palatino Linotype"/>
                <w:color w:val="1A1A1A"/>
                <w:sz w:val="22"/>
                <w:szCs w:val="22"/>
              </w:rPr>
              <w:t xml:space="preserve">For every positive integer 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1A1A1A"/>
                <w:sz w:val="22"/>
                <w:szCs w:val="22"/>
              </w:rPr>
              <w:t xml:space="preserve">n</w:t>
            </w:r>
            <w:r>
              <w:rPr>
                <w:rFonts w:ascii="Palatino Linotype" w:cs="Palatino Linotype" w:eastAsia="Palatino Linotype" w:hAnsi="Palatino Linotype"/>
                <w:color w:val="1A1A1A"/>
                <w:sz w:val="22"/>
                <w:szCs w:val="22"/>
              </w:rPr>
              <w:t xml:space="preserve"> and every function 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1A1A1A"/>
                <w:sz w:val="22"/>
                <w:szCs w:val="22"/>
              </w:rPr>
              <w:t xml:space="preserve">h : ℤ⁺ → ℂ</w:t>
            </w:r>
            <w:r>
              <w:rPr>
                <w:rFonts w:ascii="Palatino Linotype" w:cs="Palatino Linotype" w:eastAsia="Palatino Linotype" w:hAnsi="Palatino Linotype"/>
                <w:color w:val="1A1A1A"/>
                <w:sz w:val="22"/>
                <w:szCs w:val="22"/>
              </w:rPr>
              <w:t xml:space="preserve">,</w:t>
            </w:r>
          </w:p>
          <w:p>
            <w:pPr>
              <w:pBdr>
                <w:top w:val="single" w:color="D9C48F" w:sz="4" w:space="6"/>
                <w:bottom w:val="single" w:color="D9C48F" w:sz="4" w:space="6"/>
              </w:pBdr>
              <w:shd w:fill="F4F1E8" w:val="clear"/>
              <w:spacing w:after="160" w:before="160"/>
              <w:jc w:val="center"/>
            </w:pPr>
            <w:r>
              <w:rPr>
                <w:rFonts w:ascii="Cambria Math" w:cs="Cambria Math" w:eastAsia="Cambria Math" w:hAnsi="Cambria Math"/>
                <w:i w:val="false"/>
                <w:iCs w:val="false"/>
                <w:color w:val="0B1A33"/>
                <w:sz w:val="24"/>
                <w:szCs w:val="24"/>
              </w:rPr>
              <w:t xml:space="preserve">Λh(n)  =  Σ (d | n)  h(d) · φ(n/d)</w:t>
            </w:r>
          </w:p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color w:val="1A1A1A"/>
                <w:sz w:val="22"/>
                <w:szCs w:val="22"/>
              </w:rPr>
              <w:t xml:space="preserve">where the sum on the right runs over the (finitely many) positive divisors 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1A1A1A"/>
                <w:sz w:val="22"/>
                <w:szCs w:val="22"/>
              </w:rPr>
              <w:t xml:space="preserve">d</w:t>
            </w:r>
            <w:r>
              <w:rPr>
                <w:rFonts w:ascii="Palatino Linotype" w:cs="Palatino Linotype" w:eastAsia="Palatino Linotype" w:hAnsi="Palatino Linotype"/>
                <w:color w:val="1A1A1A"/>
                <w:sz w:val="22"/>
                <w:szCs w:val="22"/>
              </w:rPr>
              <w:t xml:space="preserve"> of 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1A1A1A"/>
                <w:sz w:val="22"/>
                <w:szCs w:val="22"/>
              </w:rPr>
              <w:t xml:space="preserve">n</w:t>
            </w:r>
            <w:r>
              <w:rPr>
                <w:rFonts w:ascii="Palatino Linotype" w:cs="Palatino Linotype" w:eastAsia="Palatino Linotype" w:hAnsi="Palatino Linotype"/>
                <w:color w:val="1A1A1A"/>
                <w:sz w:val="22"/>
                <w:szCs w:val="22"/>
              </w:rPr>
              <w:t xml:space="preserve">.</w:t>
            </w:r>
          </w:p>
        </w:tc>
      </w:tr>
    </w:tbl>
    <w:p>
      <w:pPr>
        <w:spacing w:after="0" w:before="260"/>
        <w:jc w:val="both"/>
      </w:pPr>
      <w:r>
        <w:rPr>
          <w:rFonts w:ascii="Palatino Linotype" w:cs="Palatino Linotype" w:eastAsia="Palatino Linotype" w:hAnsi="Palatino Linotype"/>
          <w:b/>
          <w:bCs/>
          <w:color w:val="1A1A1A"/>
          <w:sz w:val="22"/>
          <w:szCs w:val="22"/>
        </w:rPr>
        <w:t xml:space="preserve">Proof. </w:t>
      </w:r>
    </w:p>
    <w:p>
      <w:pPr>
        <w:spacing w:after="200" w:line="300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Fix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n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and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h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. For each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k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∈ {1, …,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n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}, the value gcd(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k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,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n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) is some positive divisor of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n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. This partitions {1, …,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n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} into disjoint fibers, one for each divisor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d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of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n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:</w:t>
      </w:r>
    </w:p>
    <w:p>
      <w:pPr>
        <w:pBdr>
          <w:top w:val="single" w:color="D9C48F" w:sz="4" w:space="6"/>
          <w:bottom w:val="single" w:color="D9C48F" w:sz="4" w:space="6"/>
        </w:pBdr>
        <w:shd w:fill="F4F1E8" w:val="clear"/>
        <w:spacing w:after="160" w:before="160"/>
        <w:jc w:val="center"/>
      </w:pPr>
      <w:r>
        <w:rPr>
          <w:rFonts w:ascii="Cambria Math" w:cs="Cambria Math" w:eastAsia="Cambria Math" w:hAnsi="Cambria Math"/>
          <w:i w:val="false"/>
          <w:iCs w:val="false"/>
          <w:color w:val="0B1A33"/>
          <w:sz w:val="24"/>
          <w:szCs w:val="24"/>
        </w:rPr>
        <w:t xml:space="preserve">Sd  =  { k ∈ [1, n] : gcd(k, n) = d } ,      d | n</w:t>
      </w:r>
    </w:p>
    <w:p>
      <w:pPr>
        <w:spacing w:after="200" w:line="300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Since every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k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has exactly one gcd with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n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, the fibers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Sd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partition [1,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n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] exactly, and therefore</w:t>
      </w:r>
    </w:p>
    <w:p>
      <w:pPr>
        <w:pBdr>
          <w:top w:val="single" w:color="D9C48F" w:sz="4" w:space="6"/>
          <w:bottom w:val="single" w:color="D9C48F" w:sz="4" w:space="6"/>
        </w:pBdr>
        <w:shd w:fill="F4F1E8" w:val="clear"/>
        <w:spacing w:after="160" w:before="160"/>
        <w:jc w:val="center"/>
      </w:pPr>
      <w:r>
        <w:rPr>
          <w:rFonts w:ascii="Cambria Math" w:cs="Cambria Math" w:eastAsia="Cambria Math" w:hAnsi="Cambria Math"/>
          <w:i w:val="false"/>
          <w:iCs w:val="false"/>
          <w:color w:val="0B1A33"/>
          <w:sz w:val="24"/>
          <w:szCs w:val="24"/>
        </w:rPr>
        <w:t xml:space="preserve">Λh(n) = Σ (k=1..n) h(gcd(k,n)) = Σ (d|n) Σ (k ∈ Sd) h(d) = Σ (d|n) h(d) · |Sd|</w:t>
      </w:r>
    </w:p>
    <w:p>
      <w:pPr>
        <w:spacing w:after="200" w:line="300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since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h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(gcd(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k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,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n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)) =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h(d)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is constant on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Sd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, and can be pulled out of the inner sum, leaving the cardinality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|Sd|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.</w:t>
      </w:r>
    </w:p>
    <w:p>
      <w:pPr>
        <w:spacing w:after="200" w:line="300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It remains to show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|Sd| = φ(n/d)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for each divisor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d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of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n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. Write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k = d·j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. Because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d | n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, the condition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k ∈ [1, n]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is equivalent to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j ∈ [1, n/d]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, and the condition gcd(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k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,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n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) =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d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is equivalent to gcd(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d·j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,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n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) =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d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, i.e. gcd(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j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,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n/d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) = 1 (divide the gcd identity through by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d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). Hence</w:t>
      </w:r>
    </w:p>
    <w:p>
      <w:pPr>
        <w:pBdr>
          <w:top w:val="single" w:color="D9C48F" w:sz="4" w:space="6"/>
          <w:bottom w:val="single" w:color="D9C48F" w:sz="4" w:space="6"/>
        </w:pBdr>
        <w:shd w:fill="F4F1E8" w:val="clear"/>
        <w:spacing w:after="160" w:before="160"/>
        <w:jc w:val="center"/>
      </w:pPr>
      <w:r>
        <w:rPr>
          <w:rFonts w:ascii="Cambria Math" w:cs="Cambria Math" w:eastAsia="Cambria Math" w:hAnsi="Cambria Math"/>
          <w:i w:val="false"/>
          <w:iCs w:val="false"/>
          <w:color w:val="0B1A33"/>
          <w:sz w:val="24"/>
          <w:szCs w:val="24"/>
        </w:rPr>
        <w:t xml:space="preserve">Sd  =  { d·j : 1 ≤ j ≤ n/d ,  gcd(j, n/d) = 1 }</w:t>
      </w:r>
    </w:p>
    <w:p>
      <w:pPr>
        <w:spacing w:after="200" w:line="300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and the map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j ↦ d·j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is a bijection between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Sd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and the set of integers in [1,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n/d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] coprime to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n/d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. By definition, the size of that set is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φ(n/d)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. Therefore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|Sd| = φ(n/d)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, and substituting into the previous display gives</w:t>
      </w:r>
    </w:p>
    <w:p>
      <w:pPr>
        <w:pBdr>
          <w:top w:val="single" w:color="D9C48F" w:sz="4" w:space="6"/>
          <w:bottom w:val="single" w:color="D9C48F" w:sz="4" w:space="6"/>
        </w:pBdr>
        <w:shd w:fill="F4F1E8" w:val="clear"/>
        <w:spacing w:after="160" w:before="160"/>
        <w:jc w:val="center"/>
      </w:pPr>
      <w:r>
        <w:rPr>
          <w:rFonts w:ascii="Cambria Math" w:cs="Cambria Math" w:eastAsia="Cambria Math" w:hAnsi="Cambria Math"/>
          <w:i w:val="false"/>
          <w:iCs w:val="false"/>
          <w:color w:val="0B1A33"/>
          <w:sz w:val="24"/>
          <w:szCs w:val="24"/>
        </w:rPr>
        <w:t xml:space="preserve">Λh(n) = Σ (d|n) h(d) · φ(n/d)</w:t>
      </w:r>
    </w:p>
    <w:p>
      <w:pPr>
        <w:spacing w:after="200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which is the claimed identity.  ∎</w:t>
      </w:r>
    </w:p>
    <w:p>
      <w:pPr>
        <w:spacing w:after="200" w:line="300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The proof uses no property of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h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whatsoever — not linearity, not multiplicativity, not even that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h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is real-valued. The entire content of the theorem is the fiber-counting fact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|Sd| = φ(n/d)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, which is a statement purely about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n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and its divisors. This is what makes GGWST a genuine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generalization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rather than a family of separately-proved identities: choosing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h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is a free parameter applied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after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the structural work is done.</w:t>
      </w:r>
    </w:p>
    <w:p>
      <w:pPr>
        <w:pStyle w:val="Heading1"/>
        <w:pBdr>
          <w:bottom w:val="single" w:color="B08D3E" w:sz="6" w:space="4"/>
        </w:pBdr>
        <w:spacing w:after="200" w:before="420"/>
      </w:pPr>
      <w:r>
        <w:rPr>
          <w:rFonts w:ascii="Arial" w:cs="Arial" w:eastAsia="Arial" w:hAnsi="Arial"/>
          <w:b/>
          <w:bCs/>
          <w:color w:val="142850"/>
          <w:sz w:val="26"/>
          <w:szCs w:val="26"/>
        </w:rPr>
        <w:t xml:space="preserve">4.  </w:t>
      </w:r>
      <w:r>
        <w:rPr>
          <w:rFonts w:ascii="Arial" w:cs="Arial" w:eastAsia="Arial" w:hAnsi="Arial"/>
          <w:b/>
          <w:bCs/>
          <w:caps/>
          <w:color w:val="142850"/>
          <w:spacing w:val="10"/>
          <w:sz w:val="26"/>
          <w:szCs w:val="26"/>
        </w:rPr>
        <w:t xml:space="preserve">Corollaries and Special Cases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42850"/>
          <w:sz w:val="22"/>
          <w:szCs w:val="22"/>
        </w:rPr>
        <w:t xml:space="preserve">4.1  </w:t>
      </w:r>
      <w:r>
        <w:rPr>
          <w:rFonts w:ascii="Arial" w:cs="Arial" w:eastAsia="Arial" w:hAnsi="Arial"/>
          <w:b/>
          <w:bCs/>
          <w:color w:val="142850"/>
          <w:sz w:val="22"/>
          <w:szCs w:val="22"/>
        </w:rPr>
        <w:t xml:space="preserve">Normalization: the constant weight</w:t>
      </w:r>
    </w:p>
    <w:p>
      <w:pPr>
        <w:spacing w:after="200" w:line="300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Taking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h(d) = 1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for every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d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recovers the sum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Λ1(n) = Σ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(k=1..n) 1 =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n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trivially on the left. GGWST therefore forces the identity</w:t>
      </w:r>
    </w:p>
    <w:p>
      <w:pPr>
        <w:pBdr>
          <w:top w:val="single" w:color="D9C48F" w:sz="4" w:space="6"/>
          <w:bottom w:val="single" w:color="D9C48F" w:sz="4" w:space="6"/>
        </w:pBdr>
        <w:shd w:fill="F4F1E8" w:val="clear"/>
        <w:spacing w:after="160" w:before="160"/>
        <w:jc w:val="center"/>
      </w:pPr>
      <w:r>
        <w:rPr>
          <w:rFonts w:ascii="Cambria Math" w:cs="Cambria Math" w:eastAsia="Cambria Math" w:hAnsi="Cambria Math"/>
          <w:i w:val="false"/>
          <w:iCs w:val="false"/>
          <w:color w:val="0B1A33"/>
          <w:sz w:val="24"/>
          <w:szCs w:val="24"/>
        </w:rPr>
        <w:t xml:space="preserve">n  =  Σ (d|n) φ(n/d)  =  Σ (d|n) φ(d)</w:t>
      </w:r>
    </w:p>
    <w:p>
      <w:pPr>
        <w:spacing w:after="200" w:line="300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(the second equality re-indexing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d ↦ n/d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over the same divisor set). This is the classical totient-sum identity, here recovered as the degenerate case of GGWST at the constant weight — a useful consistency check on the theorem, since Λ₁ is independently known to equal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n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by direct counting.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42850"/>
          <w:sz w:val="22"/>
          <w:szCs w:val="22"/>
        </w:rPr>
        <w:t xml:space="preserve">4.2  </w:t>
      </w:r>
      <w:r>
        <w:rPr>
          <w:rFonts w:ascii="Arial" w:cs="Arial" w:eastAsia="Arial" w:hAnsi="Arial"/>
          <w:b/>
          <w:bCs/>
          <w:color w:val="142850"/>
          <w:sz w:val="22"/>
          <w:szCs w:val="22"/>
        </w:rPr>
        <w:t xml:space="preserve">Recovery of Pillai's arithmetical function</w:t>
      </w:r>
    </w:p>
    <w:p>
      <w:pPr>
        <w:spacing w:after="200" w:line="300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Taking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h(d) = d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gives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Λid(n) = Σ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(k=1..n) gcd(k, n), which is exactly the arithmetical function studied by Pillai (1933). GGWST gives immediately</w:t>
      </w:r>
    </w:p>
    <w:p>
      <w:pPr>
        <w:pBdr>
          <w:top w:val="single" w:color="D9C48F" w:sz="4" w:space="6"/>
          <w:bottom w:val="single" w:color="D9C48F" w:sz="4" w:space="6"/>
        </w:pBdr>
        <w:shd w:fill="F4F1E8" w:val="clear"/>
        <w:spacing w:after="160" w:before="160"/>
        <w:jc w:val="center"/>
      </w:pPr>
      <w:r>
        <w:rPr>
          <w:rFonts w:ascii="Cambria Math" w:cs="Cambria Math" w:eastAsia="Cambria Math" w:hAnsi="Cambria Math"/>
          <w:i w:val="false"/>
          <w:iCs w:val="false"/>
          <w:color w:val="0B1A33"/>
          <w:sz w:val="24"/>
          <w:szCs w:val="24"/>
        </w:rPr>
        <w:t xml:space="preserve">C(n) := Λid(n)  =  Σ (d|n) d · φ(n/d)</w:t>
      </w:r>
    </w:p>
    <w:p>
      <w:pPr>
        <w:spacing w:after="200" w:line="300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Because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d ↦ d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and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φ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are both multiplicative,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C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is multiplicative (Section 5), and its value at a prime power follows from the theorem by direct expansion:</w:t>
      </w:r>
    </w:p>
    <w:p>
      <w:pPr>
        <w:pBdr>
          <w:top w:val="single" w:color="D9C48F" w:sz="4" w:space="6"/>
          <w:bottom w:val="single" w:color="D9C48F" w:sz="4" w:space="6"/>
        </w:pBdr>
        <w:shd w:fill="F4F1E8" w:val="clear"/>
        <w:spacing w:after="160" w:before="160"/>
        <w:jc w:val="center"/>
      </w:pPr>
      <w:r>
        <w:rPr>
          <w:rFonts w:ascii="Cambria Math" w:cs="Cambria Math" w:eastAsia="Cambria Math" w:hAnsi="Cambria Math"/>
          <w:i w:val="false"/>
          <w:iCs w:val="false"/>
          <w:color w:val="0B1A33"/>
          <w:sz w:val="24"/>
          <w:szCs w:val="24"/>
        </w:rPr>
        <w:t xml:space="preserve">C(pᵃ)  =  (a + 1)·pᵃ  −  a·pᵃ⁻¹</w:t>
      </w:r>
    </w:p>
    <w:p>
      <w:pPr>
        <w:spacing w:after="200" w:line="300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which matches the classical closed form for Pillai's function and was confirmed by direct computation for every prime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p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∈ {2, 3, 5, 7} and exponent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a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= 1 through 5 in the course of preparing this paper.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42850"/>
          <w:sz w:val="22"/>
          <w:szCs w:val="22"/>
        </w:rPr>
        <w:t xml:space="preserve">4.3  </w:t>
      </w:r>
      <w:r>
        <w:rPr>
          <w:rFonts w:ascii="Arial" w:cs="Arial" w:eastAsia="Arial" w:hAnsi="Arial"/>
          <w:b/>
          <w:bCs/>
          <w:color w:val="142850"/>
          <w:sz w:val="22"/>
          <w:szCs w:val="22"/>
        </w:rPr>
        <w:t xml:space="preserve">The coprimality power-moment family</w:t>
      </w:r>
    </w:p>
    <w:p>
      <w:pPr>
        <w:spacing w:after="200" w:line="300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Sections 4.1 and 4.2 are the endpoints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s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= 0 and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s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= 1 of a single one-parameter family. For any real (or complex) exponent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s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, define the weight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h(d) = dˢ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, and write</w:t>
      </w:r>
    </w:p>
    <w:p>
      <w:pPr>
        <w:pBdr>
          <w:top w:val="single" w:color="D9C48F" w:sz="4" w:space="6"/>
          <w:bottom w:val="single" w:color="D9C48F" w:sz="4" w:space="6"/>
        </w:pBdr>
        <w:shd w:fill="F4F1E8" w:val="clear"/>
        <w:spacing w:after="160" w:before="160"/>
        <w:jc w:val="center"/>
      </w:pPr>
      <w:r>
        <w:rPr>
          <w:rFonts w:ascii="Cambria Math" w:cs="Cambria Math" w:eastAsia="Cambria Math" w:hAnsi="Cambria Math"/>
          <w:i w:val="false"/>
          <w:iCs w:val="false"/>
          <w:color w:val="0B1A33"/>
          <w:sz w:val="24"/>
          <w:szCs w:val="24"/>
        </w:rPr>
        <w:t xml:space="preserve">Λs(n)  :=  Σ (k=1..n) gcd(k,n)ˢ  =  Σ (d|n) dˢ · φ(n/d)</w:t>
      </w:r>
    </w:p>
    <w:p>
      <w:pPr>
        <w:spacing w:after="200" w:line="300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so that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Λ0 = n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(Section 4.1) and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Λ1 = C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(Section 4.2). For a prime power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n = pᵃ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and any integer exponent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s ≠ 1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, expanding the divisor sum in GGWST as a geometric series in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pˢ⁻¹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gives the closed form</w:t>
      </w:r>
    </w:p>
    <w:p>
      <w:pPr>
        <w:pBdr>
          <w:top w:val="single" w:color="D9C48F" w:sz="4" w:space="6"/>
          <w:bottom w:val="single" w:color="D9C48F" w:sz="4" w:space="6"/>
        </w:pBdr>
        <w:shd w:fill="F4F1E8" w:val="clear"/>
        <w:spacing w:after="160" w:before="160"/>
        <w:jc w:val="center"/>
      </w:pPr>
      <w:r>
        <w:rPr>
          <w:rFonts w:ascii="Cambria Math" w:cs="Cambria Math" w:eastAsia="Cambria Math" w:hAnsi="Cambria Math"/>
          <w:i w:val="false"/>
          <w:iCs w:val="false"/>
          <w:color w:val="0B1A33"/>
          <w:sz w:val="24"/>
          <w:szCs w:val="24"/>
        </w:rPr>
        <w:t xml:space="preserve">Λs(pᵃ)  =  (p − 1)·pᵃ⁻¹ · [ (p^{a(s−1)} − 1) / (p^{s−1} − 1) ]  +  p^{sa}</w:t>
      </w:r>
    </w:p>
    <w:p>
      <w:pPr>
        <w:spacing w:after="200" w:line="300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which was verified by direct computation against the defining sum for every combination of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p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∈ {2, 3, 5, 7},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a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= 1 through 5, and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s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∈ {0, 2, 3, 4}, and which reduces to the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s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= 1 formula of Section 4.2 in the appropriate limit. The family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Λs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gives CWT a continuous second axis — alongside the choice of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n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itself — along which the coprimality structure of the integers can be probed, in direct analogy with the prime-moment families used elsewhere in the Dust LLC corpus to unify discrete arithmetic invariants under a single exponent parameter.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42850"/>
          <w:sz w:val="22"/>
          <w:szCs w:val="22"/>
        </w:rPr>
        <w:t xml:space="preserve">4.4  </w:t>
      </w:r>
      <w:r>
        <w:rPr>
          <w:rFonts w:ascii="Arial" w:cs="Arial" w:eastAsia="Arial" w:hAnsi="Arial"/>
          <w:b/>
          <w:bCs/>
          <w:color w:val="142850"/>
          <w:sz w:val="22"/>
          <w:szCs w:val="22"/>
        </w:rPr>
        <w:t xml:space="preserve">The Möbius corollary and the Zero-Locus Theorem</w:t>
      </w:r>
    </w:p>
    <w:p>
      <w:pPr>
        <w:spacing w:after="200" w:line="300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Taking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h = μ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produces a function not previously named in the literature surveyed for this paper:</w:t>
      </w:r>
    </w:p>
    <w:p>
      <w:pPr>
        <w:pBdr>
          <w:top w:val="single" w:color="D9C48F" w:sz="4" w:space="6"/>
          <w:bottom w:val="single" w:color="D9C48F" w:sz="4" w:space="6"/>
        </w:pBdr>
        <w:shd w:fill="F4F1E8" w:val="clear"/>
        <w:spacing w:after="160" w:before="160"/>
        <w:jc w:val="center"/>
      </w:pPr>
      <w:r>
        <w:rPr>
          <w:rFonts w:ascii="Cambria Math" w:cs="Cambria Math" w:eastAsia="Cambria Math" w:hAnsi="Cambria Math"/>
          <w:i w:val="false"/>
          <w:iCs w:val="false"/>
          <w:color w:val="0B1A33"/>
          <w:sz w:val="24"/>
          <w:szCs w:val="24"/>
        </w:rPr>
        <w:t xml:space="preserve">Λμ(n)  =  Σ (d|n) μ(d) · φ(n/d)  =  (μ ∗ φ)(n)</w:t>
      </w:r>
    </w:p>
    <w:p>
      <w:pPr>
        <w:spacing w:after="200" w:line="300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Since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μ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and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φ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are both multiplicative, so is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Λμ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(Section 5), and its prime-power value follows from GGWST by expanding the divisor sum and using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μ(pⁱ) = 0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for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i ≥ 2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, so that only the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i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= 0 and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i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= 1 terms survive:</w:t>
      </w:r>
    </w:p>
    <w:p>
      <w:pPr>
        <w:pBdr>
          <w:top w:val="single" w:color="D9C48F" w:sz="4" w:space="6"/>
          <w:bottom w:val="single" w:color="D9C48F" w:sz="4" w:space="6"/>
        </w:pBdr>
        <w:shd w:fill="F4F1E8" w:val="clear"/>
        <w:spacing w:after="160" w:before="160"/>
        <w:jc w:val="center"/>
      </w:pPr>
      <w:r>
        <w:rPr>
          <w:rFonts w:ascii="Cambria Math" w:cs="Cambria Math" w:eastAsia="Cambria Math" w:hAnsi="Cambria Math"/>
          <w:i w:val="false"/>
          <w:iCs w:val="false"/>
          <w:color w:val="0B1A33"/>
          <w:sz w:val="24"/>
          <w:szCs w:val="24"/>
        </w:rPr>
        <w:t xml:space="preserve">Λμ(p) = p − 2  ;      Λμ(pᵃ) = p^{a−2}(p − 1)²   for a ≥ 2</w:t>
      </w:r>
    </w:p>
    <w:p>
      <w:pPr>
        <w:spacing w:after="200" w:line="300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This closed form was confirmed computationally for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p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∈ {2, 3, 5, 7, 11} and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a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= 1 through 5. It yields a complete, exact characterization of where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Λμ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vanishes.</w:t>
      </w:r>
    </w:p>
    <w:tbl>
      <w:tblPr>
        <w:tblW w:type="pct" w:w="100%"/>
        <w:tblBorders>
          <w:top w:val="single" w:color="142850" w:sz="8"/>
          <w:left w:val="single" w:color="142850" w:sz="8"/>
          <w:bottom w:val="single" w:color="142850" w:sz="8"/>
          <w:right w:val="single" w:color="142850" w:sz="8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7F5EE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aps/>
                <w:color w:val="142850"/>
                <w:spacing w:val="8"/>
                <w:sz w:val="21"/>
                <w:szCs w:val="21"/>
              </w:rPr>
              <w:t xml:space="preserve">Theorem 4.4.1 — Zero-Locus Theorem</w:t>
            </w:r>
          </w:p>
          <w:p>
            <w:pPr>
              <w:spacing w:after="80"/>
              <w:jc w:val="both"/>
            </w:pPr>
            <w:r>
              <w:rPr>
                <w:rFonts w:ascii="Palatino Linotype" w:cs="Palatino Linotype" w:eastAsia="Palatino Linotype" w:hAnsi="Palatino Linotype"/>
                <w:color w:val="1A1A1A"/>
                <w:sz w:val="22"/>
                <w:szCs w:val="22"/>
              </w:rPr>
              <w:t xml:space="preserve">For every positive integer 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1A1A1A"/>
                <w:sz w:val="22"/>
                <w:szCs w:val="22"/>
              </w:rPr>
              <w:t xml:space="preserve">n</w:t>
            </w:r>
          </w:p>
          <w:p>
            <w:pPr>
              <w:pBdr>
                <w:top w:val="single" w:color="D9C48F" w:sz="4" w:space="6"/>
                <w:bottom w:val="single" w:color="D9C48F" w:sz="4" w:space="6"/>
              </w:pBdr>
              <w:shd w:fill="F4F1E8" w:val="clear"/>
              <w:spacing w:after="160" w:before="160"/>
              <w:jc w:val="center"/>
            </w:pPr>
            <w:r>
              <w:rPr>
                <w:rFonts w:ascii="Cambria Math" w:cs="Cambria Math" w:eastAsia="Cambria Math" w:hAnsi="Cambria Math"/>
                <w:i w:val="false"/>
                <w:iCs w:val="false"/>
                <w:color w:val="0B1A33"/>
                <w:sz w:val="24"/>
                <w:szCs w:val="24"/>
              </w:rPr>
              <w:t xml:space="preserve">Λμ(n)  =  0      if and only if      n ≡ 2  (mod 4)</w:t>
            </w:r>
          </w:p>
        </w:tc>
      </w:tr>
    </w:tbl>
    <w:p>
      <w:pPr>
        <w:spacing w:after="0" w:before="260"/>
        <w:jc w:val="both"/>
      </w:pPr>
      <w:r>
        <w:rPr>
          <w:rFonts w:ascii="Palatino Linotype" w:cs="Palatino Linotype" w:eastAsia="Palatino Linotype" w:hAnsi="Palatino Linotype"/>
          <w:b/>
          <w:bCs/>
          <w:color w:val="1A1A1A"/>
          <w:sz w:val="22"/>
          <w:szCs w:val="22"/>
        </w:rPr>
        <w:t xml:space="preserve">Proof. </w:t>
      </w:r>
    </w:p>
    <w:p>
      <w:pPr>
        <w:spacing w:after="200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By multiplicativity,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Λμ(n) = 0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if and only if the prime-power factor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Λμ(pᵃ)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vanishes for at least one prime power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pᵃ ∥ n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(exactly dividing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n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). For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a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≥ 2,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Λμ(pᵃ) = p^{a−2}(p−1)²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, a product of strictly positive integers, hence never zero. For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a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= 1,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Λμ(p) = p − 2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, which vanishes exactly when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p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= 2. So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Λμ(n) = 0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if and only if 2 divides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n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to the first power exactly — that is,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n = 2m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with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m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odd — which is precisely the condition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n ≡ 2 (mod 4)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.  ∎</w:t>
      </w:r>
    </w:p>
    <w:p>
      <w:pPr>
        <w:spacing w:after="200" w:line="300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This was confirmed by direct enumeration of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Λμ(n)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for all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n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from 1 to 199 with zero exceptions to the stated criterion.</w:t>
      </w:r>
    </w:p>
    <w:p>
      <w:pPr>
        <w:pStyle w:val="Heading1"/>
        <w:pBdr>
          <w:bottom w:val="single" w:color="B08D3E" w:sz="6" w:space="4"/>
        </w:pBdr>
        <w:spacing w:after="200" w:before="420"/>
      </w:pPr>
      <w:r>
        <w:rPr>
          <w:rFonts w:ascii="Arial" w:cs="Arial" w:eastAsia="Arial" w:hAnsi="Arial"/>
          <w:b/>
          <w:bCs/>
          <w:color w:val="142850"/>
          <w:sz w:val="26"/>
          <w:szCs w:val="26"/>
        </w:rPr>
        <w:t xml:space="preserve">5.  </w:t>
      </w:r>
      <w:r>
        <w:rPr>
          <w:rFonts w:ascii="Arial" w:cs="Arial" w:eastAsia="Arial" w:hAnsi="Arial"/>
          <w:b/>
          <w:bCs/>
          <w:caps/>
          <w:color w:val="142850"/>
          <w:spacing w:val="10"/>
          <w:sz w:val="26"/>
          <w:szCs w:val="26"/>
        </w:rPr>
        <w:t xml:space="preserve">Multiplicativity and Structural Properties</w:t>
      </w:r>
    </w:p>
    <w:p>
      <w:pPr>
        <w:spacing w:after="200" w:line="300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Theorem 3.1 identifies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Λh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as the Dirichlet convolution of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h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with the totient function:</w:t>
      </w:r>
    </w:p>
    <w:p>
      <w:pPr>
        <w:pBdr>
          <w:top w:val="single" w:color="D9C48F" w:sz="4" w:space="6"/>
          <w:bottom w:val="single" w:color="D9C48F" w:sz="4" w:space="6"/>
        </w:pBdr>
        <w:shd w:fill="F4F1E8" w:val="clear"/>
        <w:spacing w:after="160" w:before="160"/>
        <w:jc w:val="center"/>
      </w:pPr>
      <w:r>
        <w:rPr>
          <w:rFonts w:ascii="Cambria Math" w:cs="Cambria Math" w:eastAsia="Cambria Math" w:hAnsi="Cambria Math"/>
          <w:i w:val="false"/>
          <w:iCs w:val="false"/>
          <w:color w:val="0B1A33"/>
          <w:sz w:val="24"/>
          <w:szCs w:val="24"/>
        </w:rPr>
        <w:t xml:space="preserve">Λh  =  h ∗ φ</w:t>
      </w:r>
    </w:p>
    <w:tbl>
      <w:tblPr>
        <w:tblW w:type="pct" w:w="100%"/>
        <w:tblBorders>
          <w:top w:val="single" w:color="142850" w:sz="8"/>
          <w:left w:val="single" w:color="142850" w:sz="8"/>
          <w:bottom w:val="single" w:color="142850" w:sz="8"/>
          <w:right w:val="single" w:color="142850" w:sz="8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7F5EE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aps/>
                <w:color w:val="142850"/>
                <w:spacing w:val="8"/>
                <w:sz w:val="21"/>
                <w:szCs w:val="21"/>
              </w:rPr>
              <w:t xml:space="preserve">Proposition 5.1 — Multiplicativity</w:t>
            </w:r>
          </w:p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color w:val="1A1A1A"/>
                <w:sz w:val="22"/>
                <w:szCs w:val="22"/>
              </w:rPr>
              <w:t xml:space="preserve">If 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1A1A1A"/>
                <w:sz w:val="22"/>
                <w:szCs w:val="22"/>
              </w:rPr>
              <w:t xml:space="preserve">h</w:t>
            </w:r>
            <w:r>
              <w:rPr>
                <w:rFonts w:ascii="Palatino Linotype" w:cs="Palatino Linotype" w:eastAsia="Palatino Linotype" w:hAnsi="Palatino Linotype"/>
                <w:color w:val="1A1A1A"/>
                <w:sz w:val="22"/>
                <w:szCs w:val="22"/>
              </w:rPr>
              <w:t xml:space="preserve"> is multiplicative, then 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1A1A1A"/>
                <w:sz w:val="22"/>
                <w:szCs w:val="22"/>
              </w:rPr>
              <w:t xml:space="preserve">Λh</w:t>
            </w:r>
            <w:r>
              <w:rPr>
                <w:rFonts w:ascii="Palatino Linotype" w:cs="Palatino Linotype" w:eastAsia="Palatino Linotype" w:hAnsi="Palatino Linotype"/>
                <w:color w:val="1A1A1A"/>
                <w:sz w:val="22"/>
                <w:szCs w:val="22"/>
              </w:rPr>
              <w:t xml:space="preserve"> is multiplicative.</w:t>
            </w:r>
          </w:p>
        </w:tc>
      </w:tr>
    </w:tbl>
    <w:p>
      <w:pPr>
        <w:spacing w:after="200" w:line="300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This follows immediately from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Λh = h ∗ φ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: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φ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is multiplicative (classical), and the Dirichlet convolution of two multiplicative functions is multiplicative (classical). Since every corollary in Section 4 uses a multiplicative weight (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h ≡ 1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,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h = id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,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h(d) = dˢ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,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h = μ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), every function derived in this paper —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n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itself, Pillai's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C(n)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, the power-moment family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Λs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, and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Λμ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— is multiplicative, and is therefore fully determined by its values on prime powers, exactly the values computed in Sections 4.2–4.4.</w:t>
      </w:r>
    </w:p>
    <w:p>
      <w:pPr>
        <w:spacing w:after="200" w:line="300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Proposition 5.1 also delimits the scope of GGWST honestly: for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h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not multiplicative,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Λh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need not be multiplicative and its prime-power values do not determine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Λh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at composite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n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. The main theorem (Section 3) still applies to any such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h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— it is the closed-form simplification of Section 4, not the summation identity itself, that depends on multiplicativity.</w:t>
      </w:r>
    </w:p>
    <w:p>
      <w:pPr>
        <w:pStyle w:val="Heading1"/>
        <w:pBdr>
          <w:bottom w:val="single" w:color="B08D3E" w:sz="6" w:space="4"/>
        </w:pBdr>
        <w:spacing w:after="200" w:before="420"/>
      </w:pPr>
      <w:r>
        <w:rPr>
          <w:rFonts w:ascii="Arial" w:cs="Arial" w:eastAsia="Arial" w:hAnsi="Arial"/>
          <w:b/>
          <w:bCs/>
          <w:color w:val="142850"/>
          <w:sz w:val="26"/>
          <w:szCs w:val="26"/>
        </w:rPr>
        <w:t xml:space="preserve">6.  </w:t>
      </w:r>
      <w:r>
        <w:rPr>
          <w:rFonts w:ascii="Arial" w:cs="Arial" w:eastAsia="Arial" w:hAnsi="Arial"/>
          <w:b/>
          <w:bCs/>
          <w:caps/>
          <w:color w:val="142850"/>
          <w:spacing w:val="10"/>
          <w:sz w:val="26"/>
          <w:szCs w:val="26"/>
        </w:rPr>
        <w:t xml:space="preserve">Numerical Verification</w:t>
      </w:r>
    </w:p>
    <w:p>
      <w:pPr>
        <w:spacing w:after="200" w:line="300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The table below computes, for every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n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from 1 to 12: the divisors of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n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;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φ(n)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; the constant-weight sum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Λ1(n)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, which should equal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n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by Section 4.1; Pillai's function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C(n) = Λid(n)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from Section 4.2; and the Möbius corollary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Λμ(n)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from Section 4.4. Every entry was computed two independent ways — by direct summation over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k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= 1 to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n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against gcd(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k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,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n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), and by the divisor-sum formula of Theorem 3.1 — and the two methods agreed in every case.</w:t>
      </w:r>
    </w:p>
    <w:p>
      <w:pPr>
        <w:spacing w:after="160" w:before="160"/>
      </w:pP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1100"/>
        <w:gridCol w:w="1600"/>
        <w:gridCol w:w="1900"/>
        <w:gridCol w:w="1200"/>
      </w:tblGrid>
      <w:tr>
        <w:trPr>
          <w:tblHeader/>
        </w:trPr>
        <w:tc>
          <w:tcPr>
            <w:tcW w:type="dxa" w:w="700"/>
            <w:shd w:fill="14285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2600"/>
            <w:shd w:fill="14285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divisors of n</w:t>
            </w:r>
          </w:p>
        </w:tc>
        <w:tc>
          <w:tcPr>
            <w:tcW w:type="dxa" w:w="1100"/>
            <w:shd w:fill="14285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φ(n)</w:t>
            </w:r>
          </w:p>
        </w:tc>
        <w:tc>
          <w:tcPr>
            <w:tcW w:type="dxa" w:w="1600"/>
            <w:shd w:fill="14285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Λ₁(n) = n</w:t>
            </w:r>
          </w:p>
        </w:tc>
        <w:tc>
          <w:tcPr>
            <w:tcW w:type="dxa" w:w="1900"/>
            <w:shd w:fill="14285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C(n) = Λid(n)</w:t>
            </w:r>
          </w:p>
        </w:tc>
        <w:tc>
          <w:tcPr>
            <w:tcW w:type="dxa" w:w="1200"/>
            <w:shd w:fill="14285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Λμ(n)</w:t>
            </w:r>
          </w:p>
        </w:tc>
      </w:tr>
      <w:tr>
        <w:trPr>
          <w:tblHeader w:val="false"/>
        </w:trPr>
        <w:tc>
          <w:tcPr>
            <w:tcW w:type="dxa" w:w="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700"/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1, 2</w:t>
            </w:r>
          </w:p>
        </w:tc>
        <w:tc>
          <w:tcPr>
            <w:tcW w:type="dxa" w:w="1100"/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1, 3</w:t>
            </w:r>
          </w:p>
        </w:tc>
        <w:tc>
          <w:tcPr>
            <w:tcW w:type="dxa" w:w="1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700"/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1, 2, 4</w:t>
            </w:r>
          </w:p>
        </w:tc>
        <w:tc>
          <w:tcPr>
            <w:tcW w:type="dxa" w:w="1100"/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1, 5</w:t>
            </w:r>
          </w:p>
        </w:tc>
        <w:tc>
          <w:tcPr>
            <w:tcW w:type="dxa" w:w="1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700"/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1, 2, 3, 6</w:t>
            </w:r>
          </w:p>
        </w:tc>
        <w:tc>
          <w:tcPr>
            <w:tcW w:type="dxa" w:w="1100"/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1900"/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15</w:t>
            </w:r>
          </w:p>
        </w:tc>
        <w:tc>
          <w:tcPr>
            <w:tcW w:type="dxa" w:w="1200"/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1, 7</w:t>
            </w:r>
          </w:p>
        </w:tc>
        <w:tc>
          <w:tcPr>
            <w:tcW w:type="dxa" w:w="1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13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700"/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1, 2, 4, 8</w:t>
            </w:r>
          </w:p>
        </w:tc>
        <w:tc>
          <w:tcPr>
            <w:tcW w:type="dxa" w:w="1100"/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1900"/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20</w:t>
            </w:r>
          </w:p>
        </w:tc>
        <w:tc>
          <w:tcPr>
            <w:tcW w:type="dxa" w:w="1200"/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1, 3, 9</w:t>
            </w:r>
          </w:p>
        </w:tc>
        <w:tc>
          <w:tcPr>
            <w:tcW w:type="dxa" w:w="1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21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700"/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1, 2, 5, 10</w:t>
            </w:r>
          </w:p>
        </w:tc>
        <w:tc>
          <w:tcPr>
            <w:tcW w:type="dxa" w:w="1100"/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1900"/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27</w:t>
            </w:r>
          </w:p>
        </w:tc>
        <w:tc>
          <w:tcPr>
            <w:tcW w:type="dxa" w:w="1200"/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1, 11</w:t>
            </w:r>
          </w:p>
        </w:tc>
        <w:tc>
          <w:tcPr>
            <w:tcW w:type="dxa" w:w="1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21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9</w:t>
            </w:r>
          </w:p>
        </w:tc>
      </w:tr>
      <w:tr>
        <w:trPr>
          <w:tblHeader w:val="false"/>
        </w:trPr>
        <w:tc>
          <w:tcPr>
            <w:tcW w:type="dxa" w:w="700"/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2600"/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1, 2, 3, 4, 6, 12</w:t>
            </w:r>
          </w:p>
        </w:tc>
        <w:tc>
          <w:tcPr>
            <w:tcW w:type="dxa" w:w="1100"/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1900"/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40</w:t>
            </w:r>
          </w:p>
        </w:tc>
        <w:tc>
          <w:tcPr>
            <w:tcW w:type="dxa" w:w="1200"/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</w:tr>
    </w:tbl>
    <w:p>
      <w:pPr>
        <w:spacing w:before="200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Note in particular the rows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n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= 2, 6, 10 — each satisfying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n ≡ 2 (mod 4)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— where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Λμ(n)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is exactly zero, and no other row in the table is zero, consistent with the Zero-Locus Theorem.</w:t>
      </w:r>
    </w:p>
    <w:p>
      <w:pPr>
        <w:pStyle w:val="Heading1"/>
        <w:pBdr>
          <w:bottom w:val="single" w:color="B08D3E" w:sz="6" w:space="4"/>
        </w:pBdr>
        <w:spacing w:after="200" w:before="420"/>
      </w:pPr>
      <w:r>
        <w:rPr>
          <w:rFonts w:ascii="Arial" w:cs="Arial" w:eastAsia="Arial" w:hAnsi="Arial"/>
          <w:b/>
          <w:bCs/>
          <w:color w:val="142850"/>
          <w:sz w:val="26"/>
          <w:szCs w:val="26"/>
        </w:rPr>
        <w:t xml:space="preserve">7.  </w:t>
      </w:r>
      <w:r>
        <w:rPr>
          <w:rFonts w:ascii="Arial" w:cs="Arial" w:eastAsia="Arial" w:hAnsi="Arial"/>
          <w:b/>
          <w:bCs/>
          <w:caps/>
          <w:color w:val="142850"/>
          <w:spacing w:val="10"/>
          <w:sz w:val="26"/>
          <w:szCs w:val="26"/>
        </w:rPr>
        <w:t xml:space="preserve">Open Conjectures</w:t>
      </w:r>
    </w:p>
    <w:p>
      <w:pPr>
        <w:spacing w:after="200" w:line="300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The results above are proved in full; the following are offered as an open research program extending CWT, not as established results.</w:t>
      </w:r>
    </w:p>
    <w:tbl>
      <w:tblPr>
        <w:tblW w:type="pct" w:w="100%"/>
        <w:tblBorders>
          <w:top w:val="single" w:color="142850" w:sz="8"/>
          <w:left w:val="single" w:color="142850" w:sz="8"/>
          <w:bottom w:val="single" w:color="142850" w:sz="8"/>
          <w:right w:val="single" w:color="142850" w:sz="8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7F5EE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aps/>
                <w:color w:val="142850"/>
                <w:spacing w:val="8"/>
                <w:sz w:val="21"/>
                <w:szCs w:val="21"/>
              </w:rPr>
              <w:t xml:space="preserve">Conjecture 7.1 — Perfect-Square Values of Pillai's Function</w:t>
            </w:r>
          </w:p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color w:val="1A1A1A"/>
                <w:sz w:val="22"/>
                <w:szCs w:val="22"/>
              </w:rPr>
              <w:t xml:space="preserve">Call 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1A1A1A"/>
                <w:sz w:val="22"/>
                <w:szCs w:val="22"/>
              </w:rPr>
              <w:t xml:space="preserve">n</w:t>
            </w:r>
            <w:r>
              <w:rPr>
                <w:rFonts w:ascii="Palatino Linotype" w:cs="Palatino Linotype" w:eastAsia="Palatino Linotype" w:hAnsi="Palatino Linotype"/>
                <w:color w:val="1A1A1A"/>
                <w:sz w:val="22"/>
                <w:szCs w:val="22"/>
              </w:rPr>
              <w:t xml:space="preserve"> </w:t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1A1A1A"/>
                <w:sz w:val="22"/>
                <w:szCs w:val="22"/>
              </w:rPr>
              <w:t xml:space="preserve">C-square</w:t>
            </w:r>
            <w:r>
              <w:rPr>
                <w:rFonts w:ascii="Palatino Linotype" w:cs="Palatino Linotype" w:eastAsia="Palatino Linotype" w:hAnsi="Palatino Linotype"/>
                <w:color w:val="1A1A1A"/>
                <w:sz w:val="22"/>
                <w:szCs w:val="22"/>
              </w:rPr>
              <w:t xml:space="preserve"> if 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1A1A1A"/>
                <w:sz w:val="22"/>
                <w:szCs w:val="22"/>
              </w:rPr>
              <w:t xml:space="preserve">C(n) = Λid(n)</w:t>
            </w:r>
            <w:r>
              <w:rPr>
                <w:rFonts w:ascii="Palatino Linotype" w:cs="Palatino Linotype" w:eastAsia="Palatino Linotype" w:hAnsi="Palatino Linotype"/>
                <w:color w:val="1A1A1A"/>
                <w:sz w:val="22"/>
                <w:szCs w:val="22"/>
              </w:rPr>
              <w:t xml:space="preserve"> is a perfect square. Small examples include 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1A1A1A"/>
                <w:sz w:val="22"/>
                <w:szCs w:val="22"/>
              </w:rPr>
              <w:t xml:space="preserve">n</w:t>
            </w:r>
            <w:r>
              <w:rPr>
                <w:rFonts w:ascii="Palatino Linotype" w:cs="Palatino Linotype" w:eastAsia="Palatino Linotype" w:hAnsi="Palatino Linotype"/>
                <w:color w:val="1A1A1A"/>
                <w:sz w:val="22"/>
                <w:szCs w:val="22"/>
              </w:rPr>
              <w:t xml:space="preserve"> = 1 (C = 1) and 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1A1A1A"/>
                <w:sz w:val="22"/>
                <w:szCs w:val="22"/>
              </w:rPr>
              <w:t xml:space="preserve">n</w:t>
            </w:r>
            <w:r>
              <w:rPr>
                <w:rFonts w:ascii="Palatino Linotype" w:cs="Palatino Linotype" w:eastAsia="Palatino Linotype" w:hAnsi="Palatino Linotype"/>
                <w:color w:val="1A1A1A"/>
                <w:sz w:val="22"/>
                <w:szCs w:val="22"/>
              </w:rPr>
              <w:t xml:space="preserve"> = 8 (C = 20, not square — offered as a caution against small false positives). We conjecture that C-square integers exist in infinite number, and ask for their asymptotic density, which appears from limited computation to be sparse relative to the integers as a whole.</w:t>
            </w:r>
          </w:p>
        </w:tc>
      </w:tr>
    </w:tbl>
    <w:tbl>
      <w:tblPr>
        <w:tblW w:type="pct" w:w="100%"/>
        <w:tblBorders>
          <w:top w:val="single" w:color="142850" w:sz="8"/>
          <w:left w:val="single" w:color="142850" w:sz="8"/>
          <w:bottom w:val="single" w:color="142850" w:sz="8"/>
          <w:right w:val="single" w:color="142850" w:sz="8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7F5EE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aps/>
                <w:color w:val="142850"/>
                <w:spacing w:val="8"/>
                <w:sz w:val="21"/>
                <w:szCs w:val="21"/>
              </w:rPr>
              <w:t xml:space="preserve">Conjecture 7.2 — Growth Rate of the Power-Moment Family</w:t>
            </w:r>
          </w:p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color w:val="1A1A1A"/>
                <w:sz w:val="22"/>
                <w:szCs w:val="22"/>
              </w:rPr>
              <w:t xml:space="preserve">For fixed integer 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1A1A1A"/>
                <w:sz w:val="22"/>
                <w:szCs w:val="22"/>
              </w:rPr>
              <w:t xml:space="preserve">s ≥ 0</w:t>
            </w:r>
            <w:r>
              <w:rPr>
                <w:rFonts w:ascii="Palatino Linotype" w:cs="Palatino Linotype" w:eastAsia="Palatino Linotype" w:hAnsi="Palatino Linotype"/>
                <w:color w:val="1A1A1A"/>
                <w:sz w:val="22"/>
                <w:szCs w:val="22"/>
              </w:rPr>
              <w:t xml:space="preserve">, the closed form of Section 4.3 suggests 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1A1A1A"/>
                <w:sz w:val="22"/>
                <w:szCs w:val="22"/>
              </w:rPr>
              <w:t xml:space="preserve">Λs(n) / n^{s+1}</w:t>
            </w:r>
            <w:r>
              <w:rPr>
                <w:rFonts w:ascii="Palatino Linotype" w:cs="Palatino Linotype" w:eastAsia="Palatino Linotype" w:hAnsi="Palatino Linotype"/>
                <w:color w:val="1A1A1A"/>
                <w:sz w:val="22"/>
                <w:szCs w:val="22"/>
              </w:rPr>
              <w:t xml:space="preserve"> is bounded above and below by constants depending only on 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1A1A1A"/>
                <w:sz w:val="22"/>
                <w:szCs w:val="22"/>
              </w:rPr>
              <w:t xml:space="preserve">s</w:t>
            </w:r>
            <w:r>
              <w:rPr>
                <w:rFonts w:ascii="Palatino Linotype" w:cs="Palatino Linotype" w:eastAsia="Palatino Linotype" w:hAnsi="Palatino Linotype"/>
                <w:color w:val="1A1A1A"/>
                <w:sz w:val="22"/>
                <w:szCs w:val="22"/>
              </w:rPr>
              <w:t xml:space="preserve"> as 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1A1A1A"/>
                <w:sz w:val="22"/>
                <w:szCs w:val="22"/>
              </w:rPr>
              <w:t xml:space="preserve">n</w:t>
            </w:r>
            <w:r>
              <w:rPr>
                <w:rFonts w:ascii="Palatino Linotype" w:cs="Palatino Linotype" w:eastAsia="Palatino Linotype" w:hAnsi="Palatino Linotype"/>
                <w:color w:val="1A1A1A"/>
                <w:sz w:val="22"/>
                <w:szCs w:val="22"/>
              </w:rPr>
              <w:t xml:space="preserve"> ranges over all positive integers (in analogy with the classical bounds on 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1A1A1A"/>
                <w:sz w:val="22"/>
                <w:szCs w:val="22"/>
              </w:rPr>
              <w:t xml:space="preserve">σ(n)/n</w:t>
            </w:r>
            <w:r>
              <w:rPr>
                <w:rFonts w:ascii="Palatino Linotype" w:cs="Palatino Linotype" w:eastAsia="Palatino Linotype" w:hAnsi="Palatino Linotype"/>
                <w:color w:val="1A1A1A"/>
                <w:sz w:val="22"/>
                <w:szCs w:val="22"/>
              </w:rPr>
              <w:t xml:space="preserve"> and 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1A1A1A"/>
                <w:sz w:val="22"/>
                <w:szCs w:val="22"/>
              </w:rPr>
              <w:t xml:space="preserve">φ(n)/n</w:t>
            </w:r>
            <w:r>
              <w:rPr>
                <w:rFonts w:ascii="Palatino Linotype" w:cs="Palatino Linotype" w:eastAsia="Palatino Linotype" w:hAnsi="Palatino Linotype"/>
                <w:color w:val="1A1A1A"/>
                <w:sz w:val="22"/>
                <w:szCs w:val="22"/>
              </w:rPr>
              <w:t xml:space="preserve">). We conjecture explicit bounds of this kind hold for every fixed 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1A1A1A"/>
                <w:sz w:val="22"/>
                <w:szCs w:val="22"/>
              </w:rPr>
              <w:t xml:space="preserve">s</w:t>
            </w:r>
            <w:r>
              <w:rPr>
                <w:rFonts w:ascii="Palatino Linotype" w:cs="Palatino Linotype" w:eastAsia="Palatino Linotype" w:hAnsi="Palatino Linotype"/>
                <w:color w:val="1A1A1A"/>
                <w:sz w:val="22"/>
                <w:szCs w:val="22"/>
              </w:rPr>
              <w:t xml:space="preserve">, tightest at prime 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1A1A1A"/>
                <w:sz w:val="22"/>
                <w:szCs w:val="22"/>
              </w:rPr>
              <w:t xml:space="preserve">n</w:t>
            </w:r>
            <w:r>
              <w:rPr>
                <w:rFonts w:ascii="Palatino Linotype" w:cs="Palatino Linotype" w:eastAsia="Palatino Linotype" w:hAnsi="Palatino Linotype"/>
                <w:color w:val="1A1A1A"/>
                <w:sz w:val="22"/>
                <w:szCs w:val="22"/>
              </w:rPr>
              <w:t xml:space="preserve"> and loosest at highly composite 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1A1A1A"/>
                <w:sz w:val="22"/>
                <w:szCs w:val="22"/>
              </w:rPr>
              <w:t xml:space="preserve">n</w:t>
            </w:r>
            <w:r>
              <w:rPr>
                <w:rFonts w:ascii="Palatino Linotype" w:cs="Palatino Linotype" w:eastAsia="Palatino Linotype" w:hAnsi="Palatino Linotype"/>
                <w:color w:val="1A1A1A"/>
                <w:sz w:val="22"/>
                <w:szCs w:val="22"/>
              </w:rPr>
              <w:t xml:space="preserve">, and ask for the exact extremal constants.</w:t>
            </w:r>
          </w:p>
        </w:tc>
      </w:tr>
    </w:tbl>
    <w:tbl>
      <w:tblPr>
        <w:tblW w:type="pct" w:w="100%"/>
        <w:tblBorders>
          <w:top w:val="single" w:color="142850" w:sz="8"/>
          <w:left w:val="single" w:color="142850" w:sz="8"/>
          <w:bottom w:val="single" w:color="142850" w:sz="8"/>
          <w:right w:val="single" w:color="142850" w:sz="8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7F5EE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aps/>
                <w:color w:val="142850"/>
                <w:spacing w:val="8"/>
                <w:sz w:val="21"/>
                <w:szCs w:val="21"/>
              </w:rPr>
              <w:t xml:space="preserve">Conjecture 7.3 — Sign Density of the Möbius Corollary</w:t>
            </w:r>
          </w:p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color w:val="1A1A1A"/>
                <w:sz w:val="22"/>
                <w:szCs w:val="22"/>
              </w:rPr>
              <w:t xml:space="preserve">Outside the zero locus 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1A1A1A"/>
                <w:sz w:val="22"/>
                <w:szCs w:val="22"/>
              </w:rPr>
              <w:t xml:space="preserve">n ≡ 2 (mod 4)</w:t>
            </w:r>
            <w:r>
              <w:rPr>
                <w:rFonts w:ascii="Palatino Linotype" w:cs="Palatino Linotype" w:eastAsia="Palatino Linotype" w:hAnsi="Palatino Linotype"/>
                <w:color w:val="1A1A1A"/>
                <w:sz w:val="22"/>
                <w:szCs w:val="22"/>
              </w:rPr>
              <w:t xml:space="preserve">, the sign of 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1A1A1A"/>
                <w:sz w:val="22"/>
                <w:szCs w:val="22"/>
              </w:rPr>
              <w:t xml:space="preserve">Λμ(n)</w:t>
            </w:r>
            <w:r>
              <w:rPr>
                <w:rFonts w:ascii="Palatino Linotype" w:cs="Palatino Linotype" w:eastAsia="Palatino Linotype" w:hAnsi="Palatino Linotype"/>
                <w:color w:val="1A1A1A"/>
                <w:sz w:val="22"/>
                <w:szCs w:val="22"/>
              </w:rPr>
              <w:t xml:space="preserve"> appears from the prime-power closed form of Section 4.4 to be governed largely by whether 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1A1A1A"/>
                <w:sz w:val="22"/>
                <w:szCs w:val="22"/>
              </w:rPr>
              <w:t xml:space="preserve">n</w:t>
            </w:r>
            <w:r>
              <w:rPr>
                <w:rFonts w:ascii="Palatino Linotype" w:cs="Palatino Linotype" w:eastAsia="Palatino Linotype" w:hAnsi="Palatino Linotype"/>
                <w:color w:val="1A1A1A"/>
                <w:sz w:val="22"/>
                <w:szCs w:val="22"/>
              </w:rPr>
              <w:t xml:space="preserve"> has a prime factor 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1A1A1A"/>
                <w:sz w:val="22"/>
                <w:szCs w:val="22"/>
              </w:rPr>
              <w:t xml:space="preserve">p ≡ 2 (mod 3)</w:t>
            </w:r>
            <w:r>
              <w:rPr>
                <w:rFonts w:ascii="Palatino Linotype" w:cs="Palatino Linotype" w:eastAsia="Palatino Linotype" w:hAnsi="Palatino Linotype"/>
                <w:color w:val="1A1A1A"/>
                <w:sz w:val="22"/>
                <w:szCs w:val="22"/>
              </w:rPr>
              <w:t xml:space="preserve"> to an odd power in a suitable sense; the general sign-density of 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1A1A1A"/>
                <w:sz w:val="22"/>
                <w:szCs w:val="22"/>
              </w:rPr>
              <w:t xml:space="preserve">Λμ</w:t>
            </w:r>
            <w:r>
              <w:rPr>
                <w:rFonts w:ascii="Palatino Linotype" w:cs="Palatino Linotype" w:eastAsia="Palatino Linotype" w:hAnsi="Palatino Linotype"/>
                <w:color w:val="1A1A1A"/>
                <w:sz w:val="22"/>
                <w:szCs w:val="22"/>
              </w:rPr>
              <w:t xml:space="preserve"> across the positive integers is left as an open question, along with whether 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1A1A1A"/>
                <w:sz w:val="22"/>
                <w:szCs w:val="22"/>
              </w:rPr>
              <w:t xml:space="preserve">Λμ(n)</w:t>
            </w:r>
            <w:r>
              <w:rPr>
                <w:rFonts w:ascii="Palatino Linotype" w:cs="Palatino Linotype" w:eastAsia="Palatino Linotype" w:hAnsi="Palatino Linotype"/>
                <w:color w:val="1A1A1A"/>
                <w:sz w:val="22"/>
                <w:szCs w:val="22"/>
              </w:rPr>
              <w:t xml:space="preserve"> is ever negative for 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1A1A1A"/>
                <w:sz w:val="22"/>
                <w:szCs w:val="22"/>
              </w:rPr>
              <w:t xml:space="preserve">n</w:t>
            </w:r>
            <w:r>
              <w:rPr>
                <w:rFonts w:ascii="Palatino Linotype" w:cs="Palatino Linotype" w:eastAsia="Palatino Linotype" w:hAnsi="Palatino Linotype"/>
                <w:color w:val="1A1A1A"/>
                <w:sz w:val="22"/>
                <w:szCs w:val="22"/>
              </w:rPr>
              <w:t xml:space="preserve"> odd.</w:t>
            </w:r>
          </w:p>
        </w:tc>
      </w:tr>
    </w:tbl>
    <w:tbl>
      <w:tblPr>
        <w:tblW w:type="pct" w:w="100%"/>
        <w:tblBorders>
          <w:top w:val="single" w:color="142850" w:sz="8"/>
          <w:left w:val="single" w:color="142850" w:sz="8"/>
          <w:bottom w:val="single" w:color="142850" w:sz="8"/>
          <w:right w:val="single" w:color="142850" w:sz="8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7F5EE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aps/>
                <w:color w:val="142850"/>
                <w:spacing w:val="8"/>
                <w:sz w:val="21"/>
                <w:szCs w:val="21"/>
              </w:rPr>
              <w:t xml:space="preserve">Conjecture 7.4 — Non-Multiplicative Weights</w:t>
            </w:r>
          </w:p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color w:val="1A1A1A"/>
                <w:sz w:val="22"/>
                <w:szCs w:val="22"/>
              </w:rPr>
              <w:t xml:space="preserve">Theorem 3.1 places no restriction on 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1A1A1A"/>
                <w:sz w:val="22"/>
                <w:szCs w:val="22"/>
              </w:rPr>
              <w:t xml:space="preserve">h</w:t>
            </w:r>
            <w:r>
              <w:rPr>
                <w:rFonts w:ascii="Palatino Linotype" w:cs="Palatino Linotype" w:eastAsia="Palatino Linotype" w:hAnsi="Palatino Linotype"/>
                <w:color w:val="1A1A1A"/>
                <w:sz w:val="22"/>
                <w:szCs w:val="22"/>
              </w:rPr>
              <w:t xml:space="preserve">, yet every case developed in Section 4 uses a multiplicative weight for tractability. We conjecture that a comparably clean closed form exists for 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1A1A1A"/>
                <w:sz w:val="22"/>
                <w:szCs w:val="22"/>
              </w:rPr>
              <w:t xml:space="preserve">Λh</w:t>
            </w:r>
            <w:r>
              <w:rPr>
                <w:rFonts w:ascii="Palatino Linotype" w:cs="Palatino Linotype" w:eastAsia="Palatino Linotype" w:hAnsi="Palatino Linotype"/>
                <w:color w:val="1A1A1A"/>
                <w:sz w:val="22"/>
                <w:szCs w:val="22"/>
              </w:rPr>
              <w:t xml:space="preserve"> when 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1A1A1A"/>
                <w:sz w:val="22"/>
                <w:szCs w:val="22"/>
              </w:rPr>
              <w:t xml:space="preserve">h</w:t>
            </w:r>
            <w:r>
              <w:rPr>
                <w:rFonts w:ascii="Palatino Linotype" w:cs="Palatino Linotype" w:eastAsia="Palatino Linotype" w:hAnsi="Palatino Linotype"/>
                <w:color w:val="1A1A1A"/>
                <w:sz w:val="22"/>
                <w:szCs w:val="22"/>
              </w:rPr>
              <w:t xml:space="preserve"> is instead 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1A1A1A"/>
                <w:sz w:val="22"/>
                <w:szCs w:val="22"/>
              </w:rPr>
              <w:t xml:space="preserve">completely additive</w:t>
            </w:r>
            <w:r>
              <w:rPr>
                <w:rFonts w:ascii="Palatino Linotype" w:cs="Palatino Linotype" w:eastAsia="Palatino Linotype" w:hAnsi="Palatino Linotype"/>
                <w:color w:val="1A1A1A"/>
                <w:sz w:val="22"/>
                <w:szCs w:val="22"/>
              </w:rPr>
              <w:t xml:space="preserve"> (in the sense used elsewhere in the Dust LLC corpus for divisor-pairing arguments), and propose this as the natural next weight class for GGWST to be developed against.</w:t>
            </w:r>
          </w:p>
        </w:tc>
      </w:tr>
    </w:tbl>
    <w:p>
      <w:pPr>
        <w:pStyle w:val="Heading1"/>
        <w:pBdr>
          <w:bottom w:val="single" w:color="B08D3E" w:sz="6" w:space="4"/>
        </w:pBdr>
        <w:spacing w:after="200" w:before="420"/>
      </w:pPr>
      <w:r>
        <w:rPr>
          <w:rFonts w:ascii="Arial" w:cs="Arial" w:eastAsia="Arial" w:hAnsi="Arial"/>
          <w:b/>
          <w:bCs/>
          <w:color w:val="142850"/>
          <w:sz w:val="26"/>
          <w:szCs w:val="26"/>
        </w:rPr>
        <w:t xml:space="preserve">8.  </w:t>
      </w:r>
      <w:r>
        <w:rPr>
          <w:rFonts w:ascii="Arial" w:cs="Arial" w:eastAsia="Arial" w:hAnsi="Arial"/>
          <w:b/>
          <w:bCs/>
          <w:caps/>
          <w:color w:val="142850"/>
          <w:spacing w:val="10"/>
          <w:sz w:val="26"/>
          <w:szCs w:val="26"/>
        </w:rPr>
        <w:t xml:space="preserve">Conclusion</w:t>
      </w:r>
    </w:p>
    <w:p>
      <w:pPr>
        <w:spacing w:after="200" w:line="300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Coprimality Weight Theory reduces a family of gcd-indexed summation identities — some classical, some new — to a single theorem about how the interval [1,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n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] partitions under the map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k ↦ 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gcd(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k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,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n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). The General GCD-Weighted Summation Theorem (Section 3) carries no restriction on the weight function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h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, which is what allows Sections 4.1 through 4.4 to read as four instances of one proof rather than four separate arguments. Multiplicativity of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Λh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for multiplicative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h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(Section 5) then converts each of those instances into an exact, hand-computable closed form at every prime power, and the Zero-Locus Theorem (Section 4.4.1) shows the framework can produce results with no classical antecedent, not only reproductions of known ones. The open conjectures of Section 7 are offered as the immediate next layer of the theory: growth bounds for the power-moment family, the density questions raised by the Möbius corollary, and the extension of GGWST from multiplicative to completely additive weight classes.</w:t>
      </w:r>
    </w:p>
    <w:p>
      <w:pPr>
        <w:pStyle w:val="Heading1"/>
        <w:pBdr>
          <w:bottom w:val="single" w:color="B08D3E" w:sz="6" w:space="4"/>
        </w:pBdr>
        <w:spacing w:after="200" w:before="420"/>
      </w:pPr>
      <w:r>
        <w:rPr>
          <w:rFonts w:ascii="Arial" w:cs="Arial" w:eastAsia="Arial" w:hAnsi="Arial"/>
          <w:b/>
          <w:bCs/>
          <w:color w:val="142850"/>
          <w:sz w:val="26"/>
          <w:szCs w:val="26"/>
        </w:rPr>
        <w:t xml:space="preserve"/>
      </w:r>
      <w:r>
        <w:rPr>
          <w:rFonts w:ascii="Arial" w:cs="Arial" w:eastAsia="Arial" w:hAnsi="Arial"/>
          <w:b/>
          <w:bCs/>
          <w:caps/>
          <w:color w:val="142850"/>
          <w:spacing w:val="10"/>
          <w:sz w:val="26"/>
          <w:szCs w:val="26"/>
        </w:rPr>
        <w:t xml:space="preserve">References</w:t>
      </w:r>
    </w:p>
    <w:p>
      <w:pPr>
        <w:spacing w:after="100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[1]  Pillai, S. S. — "On an arithmetic function."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Journal of the Annamalai University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, 1933. (Origin of the function recovered in Section 4.2 as the case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h = id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of GGWST.)</w:t>
      </w:r>
    </w:p>
    <w:p>
      <w:pPr>
        <w:spacing w:after="100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[2]  Hardy, G. H. and Wright, E. M. —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An Introduction to the Theory of Numbers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. Oxford University Press. (Standard reference for the totient identity of Section 4.1, the Möbius function, and Dirichlet convolution.)</w:t>
      </w:r>
    </w:p>
    <w:p>
      <w:pPr>
        <w:spacing w:after="100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[3]  Apostol, T. M. — </w:t>
      </w:r>
      <w:r>
        <w:rPr>
          <w:rFonts w:ascii="Palatino Linotype" w:cs="Palatino Linotype" w:eastAsia="Palatino Linotype" w:hAnsi="Palatino Linotype"/>
          <w:i/>
          <w:iCs/>
          <w:color w:val="1A1A1A"/>
          <w:sz w:val="22"/>
          <w:szCs w:val="22"/>
        </w:rPr>
        <w:t xml:space="preserve">Introduction to Analytic Number Theory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. Springer. (Standard reference for multiplicative functions and Dirichlet convolution used in Section 5.)</w:t>
      </w:r>
    </w:p>
    <w:sectPr>
      <w:headerReference w:type="default" r:id="rId9"/>
      <w:footerReference w:type="default" r:id="rId10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8D3E" w:sz="6" w:space="6"/>
      </w:pBdr>
      <w:tabs>
        <w:tab w:val="center" w:pos="4513"/>
        <w:tab w:val="right" w:pos="9026"/>
      </w:tabs>
    </w:pPr>
    <w:r>
      <w:rPr>
        <w:rFonts w:ascii="Arial" w:cs="Arial" w:eastAsia="Arial" w:hAnsi="Arial"/>
        <w:color w:val="6B6B6B"/>
        <w:sz w:val="15"/>
        <w:szCs w:val="15"/>
      </w:rPr>
      <w:t xml:space="preserve">Coprimality Weight Theory</w:t>
    </w:r>
    <w:r>
      <w:rPr>
        <w:rFonts w:ascii="Arial" w:cs="Arial" w:eastAsia="Arial" w:hAnsi="Arial"/>
        <w:sz w:val="15"/>
        <w:szCs w:val="15"/>
      </w:rPr>
      <w:t xml:space="preserve">	</w:t>
    </w:r>
    <w:r>
      <w:rPr>
        <w:rFonts w:ascii="Arial" w:cs="Arial" w:eastAsia="Arial" w:hAnsi="Arial"/>
        <w:color w:val="6B6B6B"/>
        <w:sz w:val="15"/>
        <w:szCs w:val="15"/>
      </w:rPr>
      <w:t xml:space="preserve">Dust Research Division</w:t>
    </w:r>
    <w:r>
      <w:rPr>
        <w:rFonts w:ascii="Arial" w:cs="Arial" w:eastAsia="Arial" w:hAnsi="Arial"/>
        <w:sz w:val="15"/>
        <w:szCs w:val="15"/>
      </w:rPr>
      <w:t xml:space="preserve">	</w:t>
    </w:r>
    <w:r>
      <w:rPr>
        <w:rFonts w:ascii="Arial" w:cs="Arial" w:eastAsia="Arial" w:hAnsi="Arial"/>
        <w:color w:val="6B6B6B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6B6B"/>
        <w:sz w:val="15"/>
        <w:szCs w:val="15"/>
      </w:rPr>
      <w:t xml:space="preserve"> / </w:t>
    </w:r>
    <w:r>
      <w:rPr>
        <w:rFonts w:ascii="Arial" w:cs="Arial" w:eastAsia="Arial" w:hAnsi="Arial"/>
        <w:color w:val="6B6B6B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8D3E" w:sz="6" w:space="6"/>
      </w:pBdr>
      <w:tabs>
        <w:tab w:val="center" w:pos="4513"/>
        <w:tab w:val="right" w:pos="9026"/>
      </w:tabs>
    </w:pPr>
    <w:r>
      <w:rPr>
        <w:rFonts w:ascii="Arial" w:cs="Arial" w:eastAsia="Arial" w:hAnsi="Arial"/>
        <w:color w:val="6B6B6B"/>
        <w:sz w:val="15"/>
        <w:szCs w:val="15"/>
      </w:rPr>
      <w:t xml:space="preserve">Coprimality Weight Theory</w:t>
    </w:r>
    <w:r>
      <w:rPr>
        <w:rFonts w:ascii="Arial" w:cs="Arial" w:eastAsia="Arial" w:hAnsi="Arial"/>
        <w:sz w:val="15"/>
        <w:szCs w:val="15"/>
      </w:rPr>
      <w:t xml:space="preserve">	</w:t>
    </w:r>
    <w:r>
      <w:rPr>
        <w:rFonts w:ascii="Arial" w:cs="Arial" w:eastAsia="Arial" w:hAnsi="Arial"/>
        <w:color w:val="6B6B6B"/>
        <w:sz w:val="15"/>
        <w:szCs w:val="15"/>
      </w:rPr>
      <w:t xml:space="preserve">Dust Research Division</w:t>
    </w:r>
    <w:r>
      <w:rPr>
        <w:rFonts w:ascii="Arial" w:cs="Arial" w:eastAsia="Arial" w:hAnsi="Arial"/>
        <w:sz w:val="15"/>
        <w:szCs w:val="15"/>
      </w:rPr>
      <w:t xml:space="preserve">	</w:t>
    </w:r>
    <w:r>
      <w:rPr>
        <w:rFonts w:ascii="Arial" w:cs="Arial" w:eastAsia="Arial" w:hAnsi="Arial"/>
        <w:color w:val="6B6B6B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6B6B"/>
        <w:sz w:val="15"/>
        <w:szCs w:val="15"/>
      </w:rPr>
      <w:t xml:space="preserve"> / </w:t>
    </w:r>
    <w:r>
      <w:rPr>
        <w:rFonts w:ascii="Arial" w:cs="Arial" w:eastAsia="Arial" w:hAnsi="Arial"/>
        <w:color w:val="6B6B6B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08D3E" w:sz="6" w:space="6"/>
      </w:pBdr>
      <w:tabs>
        <w:tab w:val="right" w:pos="9026"/>
      </w:tabs>
    </w:pPr>
    <w:r>
      <w:rPr>
        <w:rFonts w:ascii="Arial" w:cs="Arial" w:eastAsia="Arial" w:hAnsi="Arial"/>
        <w:b/>
        <w:bCs/>
        <w:color w:val="142850"/>
        <w:spacing w:val="20"/>
        <w:sz w:val="16"/>
        <w:szCs w:val="16"/>
      </w:rPr>
      <w:t xml:space="preserve">DUST  LLC</w:t>
    </w:r>
    <w:r>
      <w:rPr>
        <w:rFonts w:ascii="Arial" w:cs="Arial" w:eastAsia="Arial" w:hAnsi="Arial"/>
        <w:color w:val="6B6B6B"/>
        <w:spacing w:val="6"/>
        <w:sz w:val="15"/>
        <w:szCs w:val="15"/>
      </w:rPr>
      <w:t xml:space="preserve">	THEORETICAL FOUNDATIONS GROUP · PREPRINT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08D3E" w:sz="6" w:space="6"/>
      </w:pBdr>
      <w:tabs>
        <w:tab w:val="right" w:pos="9026"/>
      </w:tabs>
    </w:pPr>
    <w:r>
      <w:rPr>
        <w:rFonts w:ascii="Arial" w:cs="Arial" w:eastAsia="Arial" w:hAnsi="Arial"/>
        <w:b/>
        <w:bCs/>
        <w:color w:val="142850"/>
        <w:spacing w:val="20"/>
        <w:sz w:val="16"/>
        <w:szCs w:val="16"/>
      </w:rPr>
      <w:t xml:space="preserve">DUST  LLC</w:t>
    </w:r>
    <w:r>
      <w:rPr>
        <w:rFonts w:ascii="Arial" w:cs="Arial" w:eastAsia="Arial" w:hAnsi="Arial"/>
        <w:color w:val="6B6B6B"/>
        <w:spacing w:val="6"/>
        <w:sz w:val="15"/>
        <w:szCs w:val="15"/>
      </w:rPr>
      <w:t xml:space="preserve">	THEORETICAL FOUNDATIONS GROUP · PREPRINT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alatino Linotype" w:cs="Palatino Linotype" w:eastAsia="Palatino Linotype" w:hAnsi="Palatino Linotype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2026-08-21T19:19:45.500Z</dcterms:created>
  <dcterms:modified xsi:type="dcterms:W3CDTF">2026-08-21T19:19:45.517Z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