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SR-6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Rydberg Tweezer Arrays as a Multi-Dimensional Realization of Spectron Repulsion and the Gauge Constraint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3A3A3A"/>
          <w:sz w:val="24"/>
          <w:szCs w:val="24"/>
        </w:rPr>
        <w:t xml:space="preserve">A Deployment Note for Spectral Resonance String Mechanics (SRSM)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M. Brownlee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i/>
          <w:iCs/>
          <w:sz w:val="20"/>
          <w:szCs w:val="20"/>
        </w:rPr>
        <w:t xml:space="preserve">Dust Research Division — Experimental Deployment Group</w:t>
      </w:r>
    </w:p>
    <w:p>
      <w:pPr>
        <w:spacing w:after="400"/>
        <w:jc w:val="center"/>
      </w:pPr>
      <w:r>
        <w:rPr>
          <w:rFonts w:ascii="Palatino Linotype" w:cs="Palatino Linotype" w:eastAsia="Palatino Linotype" w:hAnsi="Palatino Linotype"/>
          <w:color w:val="6A6A6A"/>
          <w:sz w:val="20"/>
          <w:szCs w:val="20"/>
        </w:rPr>
        <w:t xml:space="preserve">Preprint SR-2026-006  •  August 10, 2026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Abstract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 demonstrated that engineered power-law interactions in trapped-ion chains can realize the Calogero–Moser potential underlying Spectron repulsion, but is confined to effectively one-dimensional geometry and does not address the first-class gauge constraint 𝒬 = i[𝔇ᴵ,Π_I] = 0 of Section 4 of the SRSM mechanics paper. This note proposes optical-tweezer arrays of individually trapped Rydberg atoms as a complementary and, in two respects, more capable platform: arbitrary two- and three-dimensional trap geometries allow multiple target-space directions to be realized simultaneously, addressing SR-1's single-axis limitation directly; and the Rydberg blockade mechanism — which forbids simultaneous excitation of nearby atoms — offers the first structural analogue in the SR series of a constraint that removes unphysical (non-gauge-invariant) configurations from the accessible Hilbert space, in the spirit of 𝒬 = 0. We map the platform's van der Waals and dipolar interactions, dressed toward the required inverse-square exponent, onto the Calogero–Moser sector, and propose the blockade-constrained subspace as a candidate laboratory analogue of the gauge-invariant physical Hilbert space. We flag explicitly where this analogy is structural rather than derived, and lay out protocol SR-6a through SR-6d.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Introduction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Trapped-ion crystals, as deployed in SR-1, are naturally one-dimensional: ion equilibrium positions form a line along the trap axis, and while radial modes exist, realizing multiple independently controlled target-space directions I in a single crystal at the fidelities SR-1c/d require has not been demonstrated. SR-1 flagged this directly as a limitation (Section 8 of that note).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Optical tweezer arrays of neutral Rydberg atoms do not share this constraint: individual atoms can be positioned at arbitrary sites in a two- or three-dimensional geometry using spatial light modulators or acousto-optic deflectors, with each spatial axis available as an independent target-space direction. Separately, no SR track to date has addressed the gauge constraint 𝒬 = 0 of Section 4 of the mechanics paper — the condition that removes unphysical, gauge-dependent configurations from the theory. Rydberg blockade physics, in which the strong interaction between two atoms in Rydberg states forbids both from being excited simultaneously within a blockade radius, is a natural place to look for a laboratory analogue of exactly this kind of constraint: it is, structurally, a projection removing part of configuration space as unphysical, imposed dynamically by interaction strength rather than by hand.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note treats these two openings — multi-dimensional geometry and blockade-as-constraint — as the specific contribution of SR-6 to the deployment series, building on and complementing rather than replacing SR-1's engineered-coupling approach.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Recap: Repulsion and the Gauge Constraint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Section 5.1 of the mechanics paper gives the Calogero–Moser potential between Spectrons a, b as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V_ab = 1 / [ 2(λₐ − λᵇ)² ],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while Section 4 imposes, alongside the Hamiltonian and momentum constraints ℋ = 0 and 𝒫 = 0, the first-class gauge constraint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𝒬 = i[𝔇ᴵ, Π_I] = 0,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which generates U(N) gauge transformations and restricts the physical Hilbert space to gauge-invariant states. No SR note prior to this one has proposed a platform in which any analogue of 𝒬 = 0 arises dynamically; SR-1 through SR-5 all operate in an implicitly gauge-fixed (diagonal or continuum) sector. SR-6 is the first to ask what a constrained, non-gauge-fixed configuration space might look like physically.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The Rydberg Tweezer Platform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3.1 Optical tweezer arrays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Individual neutral atoms (commonly rubidium or cesium) are trapped in tightly focused optical tweezers arranged, via spatial light modulators or acousto-optic deflectors, into essentially arbitrary one-, two-, or three-dimensional geometries, with atom-by-atom rearrangement used to assemble defect-free arrays. This geometric flexibility is well established and routinely used in current-generation neutral-atom quantum simulators and processors.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3.2 Rydberg interactions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Exciting atoms to a high-lying Rydberg state induces strong interactions between them: van der Waals interactions scaling as 1/r⁶ in the off-resonant regime, or resonant dipolar interactions scaling as 1/r³ when atoms are excited to opposite-parity Rydberg states. Neither exponent is the 1/r² required for an exact Calogero–Moser correspondence, but microwave dressing and Förster-resonance engineering — both established control techniques — allow the effective interaction exponent to be tuned continuously over an intermediate range, providing a second, independent route to the SR-1/SR-2 interaction-exponent target.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3.3 Rydberg blockade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When the interaction energy between two nearby Rydberg atoms exceeds the driving linewidth, simultaneous double excitation is energetically forbidden within a blockade radius r_b — the Rydberg blockade. This restricts the accessible many-body Hilbert space to configurations with no two blockaded atoms simultaneously excited, a constraint imposed dynamically by the interaction itself rather than externally, and is the basis of the well-studied PXP model of constrained quantum dynamics.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Mapping Dictionary: SRSM ↔ Rydberg Tweezer Array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SRSM object</w:t>
            </w:r>
          </w:p>
        </w:tc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Rydberg-array realization</w:t>
            </w:r>
          </w:p>
        </w:tc>
        <w:tc>
          <w:tcPr>
            <w:tcW w:type="dxa" w:w="315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Spectron σₐ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Atom a: tweezer position, Rydberg excitation amplitude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Position set by tweezer, not equilibrium dynamics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Target-space index I (multiple)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Independent spatial axes of the 2D/3D tweezer geometry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Addresses SR-1's single-axis limitation directly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Calogero–Moser potential V_ab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Dressed van der Waals / dipolar interaction, tuned toward 1/r²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Requires microwave dressing / Förster engineering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Gauge constraint 𝒬 = 0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Rydberg blockade — forbidden simultaneous excitation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Structural analogy; see Section 7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Physical (gauge-invariant) Hilbert space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Blockade-constrained many-body subspace (PXP model)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Already characterized in existing Rydberg literature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Coherence 𝔇_ab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Laser-driven coherent superposition between ground/Rydberg states of atoms a, b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Directly measurable via correlations</w:t>
            </w:r>
          </w:p>
        </w:tc>
      </w:tr>
    </w:tbl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5. Predicted Observables and Signatures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5.1 Dressed-interaction repulsion statistics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With interaction exponent dressed toward 1/r², atom-pair correlation functions in a driven array should approach the Calogero–Moser repulsion statistics targeted in SR-1 and probed statistically in SR-2, providing a third, independent platform for the same underlying prediction under substantially different native physics.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5.2 Multi-axis embedding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Preparing dressed interactions independently along two or three tweezer-array axes and measuring cross-axis correlations offers the first SR-series test of whether multiple simultaneously realized target-space directions behave as SRSM's index structure predicts — a configuration no prior SR track can access.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5.3 Blockade radius as an emergent scale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SR-6 proposes examining whether the blockade radius r_b plays a role structurally analogous to the resonance gap Δ of Section 2.4.3 — i.e., whether it sets a minimum admissible Spectron separation in a manner parallel to, though not identical with, the resonance-lattice spacing realized natively in SR-3. This comparison is proposed as an open question rather than an established correspondence.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6. Staged Experimental Protocol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SR-6a — Dressed-interaction calibration: tune microwave dressing / Förster resonance conditions in a small array (N = 5–10 atoms) to approach an effective 1/r² interaction, confirming the exponent via measured pair correlations.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SR-6b — Multi-axis geometry: extend SR-6a to a 2D array with independently dressed interactions along two axes, testing the multi-index embedding proposed in Section 5.2.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SR-6c — Blockade-constrained subspace characterization: measure the accessible many-body Hilbert space under blockade constraint and compare its structure, qualitatively, to the gauge-invariant reduction implied by 𝒬 = 0 (Section 5.3 caveat applies).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SR-6d — Cross-comparison with SR-1: repeat SR-6a on the same array geometry as SR-1's ion-chain analogue, to test whether the two independent platforms yield consistent repulsion statistics.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7. Scope and Explicit Limitations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Blockade is not a derived gauge constraint: the identification of Rydberg blockade with 𝒬 = 0 in Section 5.3 is a structural analogy — both remove part of configuration space as inaccessible — not a derivation from the SRSM action. No correspondence at the level of the constraint algebra {𝒬,𝒬} has been worked out, and this note does not claim one.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Native exponents require dressing: unlike SR-3's native realization of the resonance lattice, Rydberg interactions do not naturally sit at the 1/r² Calogero–Moser exponent; SR-6a's dressing protocol is a necessary engineering step, similar in spirit to SR-1's α = 2 tuning.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 resonance-lattice mechanism: this platform, like SR-1, has no native analogue of the gap potential V_gap; a Floquet-type protocol as in SR-1a would need to be added separately if resonance-lattice locking is also desired on this platform.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Rydberg-state lifetimes set a coherence-time ceiling on all four protocol stages, tighter than the ion-trap coherence times relevant to SR-1.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8. Relation to SR-1 Through SR-5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SR-6 is best read as a geometric and constraint-theoretic extension of SR-1 rather than an independent track: it targets the same Calogero–Moser sector via a different (and in the multi-axis case, more capable) physical substrate, while opening the gauge-constraint question that SR-1 through SR-5 leave entirely untouched. A positive SR-6b result would be the first SR-series evidence bearing on SRSM's multi-dimensional target-space structure specifically, rather than the sectors any single SR-1–SR-5 note isolates.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9. Conclusion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Rydberg tweezer arrays extend the SR deployment series in two directions simultaneously: genuine multi-dimensional target-space geometry, unavailable to SR-1's ion-chain platform, and a first structural candidate — Rydberg blockade — for a laboratory analogue of the gauge constraint 𝒬 = 0 that no prior SR note addresses. Both contributions are explicitly flagged as extensions of established technique rather than new physical mechanisms, and the blockade-as-constraint correspondence in particular is scoped as an open structural analogy pending further theoretical development.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References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[1] Spectral Resonance String Mechanics: A Hamiltonian and Worldsheet Formulation of Pre-Geometric Resonance Strings. Preprint SRST-2026-002.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[2] A. Browaeys and T. Lahaye, “Many-Body Physics with Individually Controlled Rydberg Atoms,” Nature Physics 16, 132 (2020).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[3] H. Bernien et al., “Probing Many-Body Dynamics on a 51-Atom Quantum Simulator,” Nature 551, 579 (2017).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[4] D. Barredo et al., “An Atom-by-Atom Assembler of Defect-Free Arbitrary 2D Atomic Arrays,” Science 354, 1021 (2016).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[5] M. Saffman, T. G. Walker, and K. Mølmer, “Quantum Information with Rydberg Atoms,” Rev. Mod. Phys. 82, 2313 (2010).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[6] SR-1 through SR-5 Deployment Notes, Preprints SR-2026-001 through SR-2026-005, Dust Research Division.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color w:val="6A6A6A"/>
        <w:sz w:val="16"/>
        <w:szCs w:val="16"/>
      </w:rPr>
      <w:t xml:space="preserve">Spectral Resonance String Mechanics — Deployment Series</w:t>
    </w:r>
    <w:r>
      <w:rPr>
        <w:rFonts w:ascii="Arial" w:cs="Arial" w:eastAsia="Arial" w:hAnsi="Arial"/>
        <w:color w:val="6A6A6A"/>
        <w:sz w:val="16"/>
        <w:szCs w:val="16"/>
      </w:rPr>
      <w:t xml:space="preserve">	Page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A6A"/>
        <w:sz w:val="16"/>
        <w:szCs w:val="16"/>
      </w:rPr>
      <w:t xml:space="preserve"> of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b/>
        <w:bCs/>
        <w:color w:val="0B1F3A"/>
        <w:sz w:val="16"/>
        <w:szCs w:val="16"/>
      </w:rPr>
      <w:t xml:space="preserve">DUST LLC — THEORETICAL FOUNDATIONS GROUP</w:t>
    </w:r>
    <w:r>
      <w:rPr>
        <w:rFonts w:ascii="Arial" w:cs="Arial" w:eastAsia="Arial" w:hAnsi="Arial"/>
        <w:color w:val="C9A84C"/>
        <w:sz w:val="16"/>
        <w:szCs w:val="16"/>
      </w:rPr>
      <w:t xml:space="preserve">	SR-6 — Deployment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2026-08-12T06:53:54.334Z</dcterms:created>
  <dcterms:modified xsi:type="dcterms:W3CDTF">2026-08-12T06:53:54.353Z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