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caps/>
          <w:color w:val="2E5496"/>
          <w:spacing w:val="120"/>
          <w:sz w:val="20"/>
          <w:szCs w:val="20"/>
        </w:rPr>
        <w:t xml:space="preserve">DUST LLC</w:t>
      </w:r>
    </w:p>
    <w:p>
      <w:pPr>
        <w:spacing w:after="40" w:before="0"/>
        <w:jc w:val="center"/>
      </w:pPr>
      <w:r>
        <w:rPr>
          <w:rFonts w:ascii="Arial" w:cs="Arial" w:eastAsia="Arial" w:hAnsi="Arial"/>
          <w:caps/>
          <w:color w:val="888888"/>
          <w:spacing w:val="60"/>
          <w:sz w:val="18"/>
          <w:szCs w:val="18"/>
        </w:rPr>
        <w:t xml:space="preserve">THEORETICAL PHYSICS &amp; QUANTUM COMPUTING ARCHITECTURES</w:t>
      </w:r>
    </w:p>
    <w:p>
      <w:pPr>
        <w:pBdr>
          <w:bottom w:val="single" w:color="2E5496" w:sz="6" w:space="1"/>
        </w:pBdr>
        <w:spacing w:after="200" w:before="200"/>
      </w:pPr>
    </w:p>
    <w:p>
      <w:pPr>
        <w:spacing w:after="80" w:before="400"/>
        <w:jc w:val="center"/>
      </w:pPr>
      <w:r>
        <w:rPr>
          <w:rFonts w:ascii="Arial" w:cs="Arial" w:eastAsia="Arial" w:hAnsi="Arial"/>
          <w:b/>
          <w:bCs/>
          <w:color w:val="1F3864"/>
          <w:sz w:val="48"/>
          <w:szCs w:val="48"/>
        </w:rPr>
        <w:t xml:space="preserve">Graviton-Derived Qubits in Phase Theory:</w:t>
      </w:r>
    </w:p>
    <w:p>
      <w:pPr>
        <w:spacing w:after="320" w:before="0"/>
        <w:jc w:val="center"/>
      </w:pPr>
      <w:r>
        <w:rPr>
          <w:rFonts w:ascii="Arial" w:cs="Arial" w:eastAsia="Arial" w:hAnsi="Arial"/>
          <w:b w:val="false"/>
          <w:bCs w:val="false"/>
          <w:color w:val="2E5496"/>
          <w:sz w:val="36"/>
          <w:szCs w:val="36"/>
        </w:rPr>
        <w:t xml:space="preserve">Emergent Geometric Qubits from Phase-Stiffness Perturbations</w:t>
      </w:r>
    </w:p>
    <w:p>
      <w:pPr>
        <w:spacing w:after="80" w:before="0"/>
        <w:jc w:val="center"/>
      </w:pPr>
      <w:r>
        <w:rPr>
          <w:rFonts w:ascii="Arial" w:cs="Arial" w:eastAsia="Arial" w:hAnsi="Arial"/>
          <w:b/>
          <w:bCs/>
          <w:color w:val="1F3864"/>
          <w:sz w:val="24"/>
          <w:szCs w:val="24"/>
        </w:rPr>
        <w:t xml:space="preserve">Marlon Hanks</w:t>
      </w:r>
    </w:p>
    <w:p>
      <w:pPr>
        <w:spacing w:after="40" w:before="0"/>
        <w:jc w:val="center"/>
      </w:pPr>
      <w:r>
        <w:rPr>
          <w:rFonts w:ascii="Arial" w:cs="Arial" w:eastAsia="Arial" w:hAnsi="Arial"/>
          <w:i/>
          <w:iCs/>
          <w:color w:val="555555"/>
          <w:sz w:val="22"/>
          <w:szCs w:val="22"/>
        </w:rPr>
        <w:t xml:space="preserve">Independent Researcher, Dust LLC</w:t>
      </w:r>
    </w:p>
    <w:p>
      <w:pPr>
        <w:spacing w:after="320" w:before="0"/>
        <w:jc w:val="center"/>
      </w:pPr>
      <w:r>
        <w:rPr>
          <w:rFonts w:ascii="Arial" w:cs="Arial" w:eastAsia="Arial" w:hAnsi="Arial"/>
          <w:color w:val="555555"/>
          <w:sz w:val="22"/>
          <w:szCs w:val="22"/>
        </w:rPr>
        <w:t xml:space="preserve">June 2026</w:t>
      </w:r>
    </w:p>
    <w:p>
      <w:pPr>
        <w:pBdr>
          <w:bottom w:val="single" w:color="2E5496" w:sz="6" w:space="1"/>
        </w:pBdr>
        <w:spacing w:after="200" w:before="200"/>
      </w:pPr>
    </w:p>
    <w:p>
      <w:pPr>
        <w:spacing w:after="80" w:before="240"/>
        <w:jc w:val="center"/>
      </w:pPr>
      <w:r>
        <w:rPr>
          <w:rFonts w:ascii="Arial" w:cs="Arial" w:eastAsia="Arial" w:hAnsi="Arial"/>
          <w:b/>
          <w:bCs/>
          <w:color w:val="1F3864"/>
          <w:spacing w:val="80"/>
          <w:sz w:val="24"/>
          <w:szCs w:val="24"/>
        </w:rPr>
        <w:t xml:space="preserve">ABSTRACT</w:t>
      </w:r>
    </w:p>
    <w:p>
      <w:pPr>
        <w:spacing w:after="80" w:before="120"/>
        <w:jc w:val="both"/>
      </w:pPr>
      <w:r>
        <w:rPr>
          <w:rFonts w:ascii="Arial" w:cs="Arial" w:eastAsia="Arial" w:hAnsi="Arial"/>
          <w:sz w:val="22"/>
          <w:szCs w:val="22"/>
        </w:rPr>
        <w:t xml:space="preserve">Within Phase Theory — the framework in which phase is ontologically primitive, spacetime is emergent, and gravity arises from refraction through a non-uniform phase medium — the graviton is reinterpreted as an emergent spin-2 tensor quasiparticle of phase geometry rather than a fundamental gauge boson. This white paper develops the full theoretical programme for </w:t>
      </w:r>
      <w:r>
        <w:rPr>
          <w:rFonts w:ascii="Arial" w:cs="Arial" w:eastAsia="Arial" w:hAnsi="Arial"/>
          <w:b/>
          <w:bCs/>
          <w:sz w:val="22"/>
          <w:szCs w:val="22"/>
        </w:rPr>
        <w:t xml:space="preserve">Graviton-Derived Qubits (GDQs)</w:t>
      </w:r>
      <w:r>
        <w:rPr>
          <w:rFonts w:ascii="Arial" w:cs="Arial" w:eastAsia="Arial" w:hAnsi="Arial"/>
          <w:sz w:val="22"/>
          <w:szCs w:val="22"/>
        </w:rPr>
        <w:t xml:space="preserve">: two-level quantum systems encoded in the discrete, stable modes of quantized tensor perturbations of the emergent metric sector. We establish the topological classification of GDQs, their Hilbert space structure, coherence mechanisms, decoherence channels and mitigation strategies, logical gate operations, and a concrete physical instantiation programme. GDQs exploit the collective, second-order-emergent character of gravitational excitations to achieve intrinsic protection against local noise: because GDQs couple only weakly to localized defect substrates, environmental perturbations that destroy conventional qubits leave GDQ superpositions intact at leading order. We further show that GDQ arrays support a natural topological quantum memory, connect GDQ gate complexity to the GBFC complexity class introduced in earlier Dust LLC work, and outline experimental pathways via engineered condensed-matter analogue systems. The result is a comprehensive architecture for a new modality of qubit whose logical degrees of freedom are carried by emergent geometry itself.</w:t>
      </w:r>
    </w:p>
    <w:p>
      <w:pPr>
        <w:spacing w:after="40" w:before="80"/>
        <w:jc w:val="center"/>
      </w:pPr>
      <w:r>
        <w:rPr>
          <w:rFonts w:ascii="Arial" w:cs="Arial" w:eastAsia="Arial" w:hAnsi="Arial"/>
          <w:i/>
          <w:iCs/>
          <w:sz w:val="20"/>
          <w:szCs w:val="20"/>
        </w:rPr>
        <w:t xml:space="preserve">Keywords: </w:t>
      </w:r>
      <w:r>
        <w:rPr>
          <w:rFonts w:ascii="Arial" w:cs="Arial" w:eastAsia="Arial" w:hAnsi="Arial"/>
          <w:sz w:val="20"/>
          <w:szCs w:val="20"/>
        </w:rPr>
        <w:t xml:space="preserve">Phase Theory, graviton quasiparticle, emergent gravity, topological qubits, geometric qubits, phase-stiffness, GBFC complexity, quantum error protection, tensor excitations, Dust LLC.</w:t>
      </w:r>
    </w:p>
    <w:p>
      <w:pPr>
        <w:pBdr>
          <w:bottom w:val="single" w:color="2E5496" w:sz="6" w:space="1"/>
        </w:pBdr>
        <w:spacing w:after="200" w:before="200"/>
      </w:pPr>
    </w:p>
    <w:p>
      <w:r>
        <w:br w:type="page"/>
      </w:r>
    </w:p>
    <w:p>
      <w:pPr>
        <w:pStyle w:val="Heading1"/>
        <w:spacing w:after="18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Introduction and Motivation</w:t>
      </w:r>
    </w:p>
    <w:p>
      <w:pPr>
        <w:spacing w:after="120" w:before="120"/>
        <w:jc w:val="both"/>
      </w:pPr>
      <w:r>
        <w:rPr>
          <w:rFonts w:ascii="Arial" w:cs="Arial" w:eastAsia="Arial" w:hAnsi="Arial"/>
          <w:sz w:val="22"/>
          <w:szCs w:val="22"/>
        </w:rPr>
        <w:t xml:space="preserve">Quantum computing has achieved remarkable experimental milestones, yet all current physical qubit modalities — superconducting transmon circuits, trapped ions, photonic cluster states, silicon spin qubits, and Majorana-based topological qubits — share a common ontological commitment: their logical degrees of freedom are encoded in matter fields or gauge fields that are taken to be fundamental constituents of physical reality. This commitment carries a cost. Fundamental fields couple to virtually every form of environmental perturbation. Decoherence is the central limiting problem of the field [10,11].</w:t>
      </w:r>
    </w:p>
    <w:p>
      <w:pPr>
        <w:spacing w:after="120" w:before="120"/>
        <w:jc w:val="both"/>
      </w:pPr>
      <w:r>
        <w:rPr>
          <w:rFonts w:ascii="Arial" w:cs="Arial" w:eastAsia="Arial" w:hAnsi="Arial"/>
          <w:sz w:val="22"/>
          <w:szCs w:val="22"/>
        </w:rPr>
        <w:t xml:space="preserve">Phase Theory [1] offers a radically different ontological foundation. In Phase Theory, the global phase substrate Phi is the single fundamental entity. All particles, forces, fields, and spacetime geometry emerge as stable topological defects, coherent propagating modes, and geometric organisations of Phi. The Standard Model gauge structure — SU(3) x SU(2) x U(1) — appears as the sector decomposition of Phi's internal symmetry group. Gravity is not a fundamental force but the consequence of transport through a spatially non-uniform phase medium.</w:t>
      </w:r>
    </w:p>
    <w:p>
      <w:pPr>
        <w:spacing w:after="120" w:before="120"/>
        <w:jc w:val="both"/>
      </w:pPr>
      <w:r>
        <w:rPr>
          <w:rFonts w:ascii="Arial" w:cs="Arial" w:eastAsia="Arial" w:hAnsi="Arial"/>
          <w:sz w:val="22"/>
          <w:szCs w:val="22"/>
        </w:rPr>
        <w:t xml:space="preserve">Within this framework, the graviton is reinterpreted: not a fundamental spin-2 gauge boson, but an emergent coherent tensor excitation of the metric sector of Phi — analogous to a phonon in a crystal lattice, or a magnon in a ferromagnet [1]. This reinterpretation has profound consequences for quantum information. If the graviton is a collective excitation of an underlying phase medium, then a qubit encoded in a graviton mode is naturally decoupled from local defect substrates. Local noise sources — thermal phonons, electromagnetic fluctuations, charge noise, nuclear spin bath — all operate at the level of topological defects and gauge sector modes. They are structurally distinct from perturbations of the emergent metric sector.</w:t>
      </w:r>
    </w:p>
    <w:p>
      <w:pPr>
        <w:spacing w:after="120" w:before="120"/>
        <w:jc w:val="both"/>
      </w:pPr>
      <w:r>
        <w:rPr>
          <w:rFonts w:ascii="Arial" w:cs="Arial" w:eastAsia="Arial" w:hAnsi="Arial"/>
          <w:sz w:val="22"/>
          <w:szCs w:val="22"/>
        </w:rPr>
        <w:t xml:space="preserve">This white paper develops the complete framework for Graviton-Derived Qubits (GDQs): qubits whose logical degrees of freedom are carried by quantized perturbations of emergent phase geometry. We proceed from first principles within Phase Theory, establish the Hilbert space of GDQs, analyse their coherence properties, construct logical gate sets, and propose concrete physical platforms in which GDQ analogue systems can be realised.</w:t>
      </w:r>
    </w:p>
    <w:p>
      <w:pPr>
        <w:pStyle w:val="Heading2"/>
        <w:spacing w:after="140" w:before="280"/>
      </w:pPr>
      <w:r>
        <w:rPr>
          <w:rFonts w:ascii="Arial" w:cs="Arial" w:eastAsia="Arial" w:hAnsi="Arial"/>
          <w:b/>
          <w:bCs/>
          <w:color w:val="2E5496"/>
          <w:sz w:val="26"/>
          <w:szCs w:val="26"/>
        </w:rPr>
        <w:t xml:space="preserve">1.1 Relationship to Prior Dust LLC Work</w:t>
      </w:r>
    </w:p>
    <w:p>
      <w:pPr>
        <w:spacing w:after="120" w:before="120"/>
        <w:jc w:val="both"/>
      </w:pPr>
      <w:r>
        <w:rPr>
          <w:rFonts w:ascii="Arial" w:cs="Arial" w:eastAsia="Arial" w:hAnsi="Arial"/>
          <w:sz w:val="22"/>
          <w:szCs w:val="22"/>
        </w:rPr>
        <w:t xml:space="preserve">This paper builds directly on three prior Dust LLC preprints. The Universal Field Intelligence (UFI) framework [1] established Phase Theory's ontological architecture, including the identification of gravity as phase refraction and the emergent metric. The Programmable Bosonic Quantum Fields paper [2] introduced the GBFC complexity class and established that geometric field configurations can serve as computational substrates. The MHQ-GBS Conjecture [3] demonstrated a concrete molecular implementation pathway for hafnian-hard computation using Jahn-Teller molecular systems as GBS substrates.</w:t>
      </w:r>
    </w:p>
    <w:p>
      <w:pPr>
        <w:spacing w:after="120" w:before="120"/>
        <w:jc w:val="both"/>
      </w:pPr>
      <w:r>
        <w:rPr>
          <w:rFonts w:ascii="Arial" w:cs="Arial" w:eastAsia="Arial" w:hAnsi="Arial"/>
          <w:sz w:val="22"/>
          <w:szCs w:val="22"/>
        </w:rPr>
        <w:t xml:space="preserve">GDQs represent the intersection of these threads: they are qubit systems (quantum information primitive), encoded in geometric modes (Phase Theory), with gate complexity characterised by GBFC (computational complexity), and physically realisable in engineered condensed-matter analogue systems that approximate the phase substrate (implementation pathway).</w:t>
      </w:r>
    </w:p>
    <w:p>
      <w:r>
        <w:br w:type="page"/>
      </w:r>
    </w:p>
    <w:p>
      <w:pPr>
        <w:pStyle w:val="Heading1"/>
        <w:spacing w:after="180" w:before="360"/>
      </w:pPr>
      <w:r>
        <w:rPr>
          <w:rFonts w:ascii="Arial" w:cs="Arial" w:eastAsia="Arial" w:hAnsi="Arial"/>
          <w:b/>
          <w:bCs/>
          <w:color w:val="1F3864"/>
          <w:sz w:val="32"/>
          <w:szCs w:val="32"/>
        </w:rPr>
        <w:t xml:space="preserve">2. Phase Theory Foundations for Graviton Qubits</w:t>
      </w:r>
    </w:p>
    <w:p>
      <w:pPr>
        <w:pStyle w:val="Heading2"/>
        <w:spacing w:after="140" w:before="280"/>
      </w:pPr>
      <w:r>
        <w:rPr>
          <w:rFonts w:ascii="Arial" w:cs="Arial" w:eastAsia="Arial" w:hAnsi="Arial"/>
          <w:b/>
          <w:bCs/>
          <w:color w:val="2E5496"/>
          <w:sz w:val="26"/>
          <w:szCs w:val="26"/>
        </w:rPr>
        <w:t xml:space="preserve">2.1 The Phase Substrate and Emergent Geometry</w:t>
      </w:r>
    </w:p>
    <w:p>
      <w:pPr>
        <w:spacing w:after="120" w:before="120"/>
        <w:jc w:val="both"/>
      </w:pPr>
      <w:r>
        <w:rPr>
          <w:rFonts w:ascii="Arial" w:cs="Arial" w:eastAsia="Arial" w:hAnsi="Arial"/>
          <w:sz w:val="22"/>
          <w:szCs w:val="22"/>
        </w:rPr>
        <w:t xml:space="preserve">Phase Theory posits a global phase field Phi defined on a pre-geometric space. Phi carries the full symmetry group G_Phi = SU(3) x SU(2) x U(1) x Diff, where the final factor encodes diffeomorphism invariance of the emerging spacetime. Phase correlations — specifically, the two-point phase stiffness correlator — generate an effective metric:</w:t>
      </w:r>
    </w:p>
    <w:p>
      <w:pPr>
        <w:spacing w:after="140" w:before="140"/>
        <w:jc w:val="center"/>
      </w:pPr>
      <w:r>
        <w:rPr>
          <w:rFonts w:ascii="Courier New" w:cs="Courier New" w:eastAsia="Courier New" w:hAnsi="Courier New"/>
          <w:color w:val="333333"/>
          <w:sz w:val="22"/>
          <w:szCs w:val="22"/>
        </w:rPr>
        <w:t xml:space="preserve">g_{μν}(x) = κ ⟨∂_μΦ(x) ∂_νΦ(0)⟩_Φ</w:t>
      </w:r>
    </w:p>
    <w:p>
      <w:pPr>
        <w:spacing w:after="120" w:before="120"/>
        <w:jc w:val="both"/>
      </w:pPr>
      <w:r>
        <w:rPr>
          <w:rFonts w:ascii="Arial" w:cs="Arial" w:eastAsia="Arial" w:hAnsi="Arial"/>
          <w:sz w:val="22"/>
          <w:szCs w:val="22"/>
        </w:rPr>
        <w:t xml:space="preserve">where kappa is the phase stiffness constant and the expectation value is taken in the ground state of the phase substrate. Spacetime, in this picture, is an effective description of phase correlation geometry. Curvature arises wherever phase stiffness is non-uniform:</w:t>
      </w:r>
    </w:p>
    <w:p>
      <w:pPr>
        <w:spacing w:after="140" w:before="140"/>
        <w:jc w:val="center"/>
      </w:pPr>
      <w:r>
        <w:rPr>
          <w:rFonts w:ascii="Courier New" w:cs="Courier New" w:eastAsia="Courier New" w:hAnsi="Courier New"/>
          <w:color w:val="333333"/>
          <w:sz w:val="22"/>
          <w:szCs w:val="22"/>
        </w:rPr>
        <w:t xml:space="preserve">R_{μνρσ} ∝ ∂^2 κ(Φ) / ∂Φ^2</w:t>
      </w:r>
    </w:p>
    <w:p>
      <w:pPr>
        <w:spacing w:after="120" w:before="120"/>
        <w:jc w:val="both"/>
      </w:pPr>
      <w:r>
        <w:rPr>
          <w:rFonts w:ascii="Arial" w:cs="Arial" w:eastAsia="Arial" w:hAnsi="Arial"/>
          <w:sz w:val="22"/>
          <w:szCs w:val="22"/>
        </w:rPr>
        <w:t xml:space="preserve">This is the Phase Theory derivation of general relativity: Einstein's equations emerge as the effective equations of motion for the phase stiffness field in the long-wavelength, low-energy limit — precisely the mechanism identified by Jacobson [14] and Verlinde [13] in the thermodynamic/entropic gravity programmes, but here embedded in a more fundamental microphysical substrate.</w:t>
      </w:r>
    </w:p>
    <w:p>
      <w:pPr>
        <w:pStyle w:val="Heading2"/>
        <w:spacing w:after="140" w:before="280"/>
      </w:pPr>
      <w:r>
        <w:rPr>
          <w:rFonts w:ascii="Arial" w:cs="Arial" w:eastAsia="Arial" w:hAnsi="Arial"/>
          <w:b/>
          <w:bCs/>
          <w:color w:val="2E5496"/>
          <w:sz w:val="26"/>
          <w:szCs w:val="26"/>
        </w:rPr>
        <w:t xml:space="preserve">2.2 The Graviton as Emergent Tensor Quasiparticle</w:t>
      </w:r>
    </w:p>
    <w:p>
      <w:pPr>
        <w:spacing w:after="120" w:before="120"/>
        <w:jc w:val="both"/>
      </w:pPr>
      <w:r>
        <w:rPr>
          <w:rFonts w:ascii="Arial" w:cs="Arial" w:eastAsia="Arial" w:hAnsi="Arial"/>
          <w:sz w:val="22"/>
          <w:szCs w:val="22"/>
        </w:rPr>
        <w:t xml:space="preserve">Perturbations of g_munu around a flat background h_munu = g_munu - eta_munu correspond to perturbations of the phase stiffness correlator. The linearised dynamics of these perturbations are governed by an effective action:</w:t>
      </w:r>
    </w:p>
    <w:p>
      <w:pPr>
        <w:spacing w:after="140" w:before="140"/>
        <w:jc w:val="center"/>
      </w:pPr>
      <w:r>
        <w:rPr>
          <w:rFonts w:ascii="Courier New" w:cs="Courier New" w:eastAsia="Courier New" w:hAnsi="Courier New"/>
          <w:color w:val="333333"/>
          <w:sz w:val="22"/>
          <w:szCs w:val="22"/>
        </w:rPr>
        <w:t xml:space="preserve">S_eff[h] = ∫ d^4x √(-g) [ (1/16πG_eff) R + α (∂Φ)^4 + ... ]</w:t>
      </w:r>
    </w:p>
    <w:p>
      <w:pPr>
        <w:spacing w:after="120" w:before="120"/>
        <w:jc w:val="both"/>
      </w:pPr>
      <w:r>
        <w:rPr>
          <w:rFonts w:ascii="Arial" w:cs="Arial" w:eastAsia="Arial" w:hAnsi="Arial"/>
          <w:sz w:val="22"/>
          <w:szCs w:val="22"/>
        </w:rPr>
        <w:t xml:space="preserve">where G_eff is the effective Newton constant arising from the phase stiffness, and the higher-derivative corrections encode the granularity of the underlying phase medium. The spectrum of this action contains:</w:t>
      </w:r>
    </w:p>
    <w:p>
      <w:pPr>
        <w:pStyle w:val="ListParagraph"/>
        <w:numPr>
          <w:ilvl w:val="0"/>
          <w:numId w:val="2"/>
        </w:numPr>
        <w:spacing w:after="60" w:before="60"/>
      </w:pPr>
      <w:r>
        <w:rPr>
          <w:rFonts w:ascii="Arial" w:cs="Arial" w:eastAsia="Arial" w:hAnsi="Arial"/>
          <w:sz w:val="22"/>
          <w:szCs w:val="22"/>
        </w:rPr>
        <w:t xml:space="preserve">A massless spin-2 mode: the graviton quasiparticle, with the standard tensor polarisation structure.</w:t>
      </w:r>
    </w:p>
    <w:p>
      <w:pPr>
        <w:pStyle w:val="ListParagraph"/>
        <w:numPr>
          <w:ilvl w:val="0"/>
          <w:numId w:val="2"/>
        </w:numPr>
        <w:spacing w:after="60" w:before="60"/>
      </w:pPr>
      <w:r>
        <w:rPr>
          <w:rFonts w:ascii="Arial" w:cs="Arial" w:eastAsia="Arial" w:hAnsi="Arial"/>
          <w:sz w:val="22"/>
          <w:szCs w:val="22"/>
        </w:rPr>
        <w:t xml:space="preserve">A tower of massive excitations at the Planck scale, reflecting the discrete structure of Phi.</w:t>
      </w:r>
    </w:p>
    <w:p>
      <w:pPr>
        <w:pStyle w:val="ListParagraph"/>
        <w:numPr>
          <w:ilvl w:val="0"/>
          <w:numId w:val="2"/>
        </w:numPr>
        <w:spacing w:after="60" w:before="60"/>
      </w:pPr>
      <w:r>
        <w:rPr>
          <w:rFonts w:ascii="Arial" w:cs="Arial" w:eastAsia="Arial" w:hAnsi="Arial"/>
          <w:sz w:val="22"/>
          <w:szCs w:val="22"/>
        </w:rPr>
        <w:t xml:space="preserve">Topological sectors corresponding to global phase configurations with non-trivial holonomy.</w:t>
      </w:r>
    </w:p>
    <w:p>
      <w:pPr>
        <w:spacing w:after="120" w:before="120"/>
        <w:jc w:val="both"/>
      </w:pPr>
      <w:r>
        <w:rPr>
          <w:rFonts w:ascii="Arial" w:cs="Arial" w:eastAsia="Arial" w:hAnsi="Arial"/>
          <w:sz w:val="22"/>
          <w:szCs w:val="22"/>
        </w:rPr>
        <w:t xml:space="preserve">The key distinction from standard quantum gravity is that none of these modes is fundamental. They are all collective excitations of Phi. The graviton quasiparticle is the lowest-lying tensor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single" w:color="2E5496" w:sz="1"/>
              <w:right w:val="single" w:color="2E5496" w:sz="1"/>
            </w:tcBorders>
            <w:shd w:fill="D5E8F0" w:val="clear"/>
            <w:tcMar>
              <w:top w:type="dxa" w:w="120"/>
              <w:left w:type="dxa" w:w="200"/>
              <w:bottom w:type="dxa" w:w="120"/>
              <w:right w:type="dxa" w:w="200"/>
            </w:tcMar>
          </w:tcPr>
          <w:p>
            <w:r>
              <w:rPr>
                <w:rFonts w:ascii="Arial" w:cs="Arial" w:eastAsia="Arial" w:hAnsi="Arial"/>
                <w:b/>
                <w:bCs/>
                <w:color w:val="1F3864"/>
                <w:sz w:val="22"/>
                <w:szCs w:val="22"/>
              </w:rPr>
              <w:t xml:space="preserve">Definition 2.1 (Phase-Theoretic Graviton Mode): </w:t>
            </w:r>
            <w:r>
              <w:rPr>
                <w:rFonts w:ascii="Arial" w:cs="Arial" w:eastAsia="Arial" w:hAnsi="Arial"/>
                <w:sz w:val="22"/>
                <w:szCs w:val="22"/>
              </w:rPr>
              <w:t xml:space="preserve">A graviton mode g_k is a coherent propagating tensor perturbation of the phase-stiffness correlator at wave vector k. It carries spin-2 polarisation, propagates at c, and has topological invariant Xi_G = (0,0,0,0,trivial). It is an emergent quasiparticle of the global phase substrate Phi.</w:t>
            </w:r>
          </w:p>
        </w:tc>
      </w:tr>
    </w:tbl>
    <w:p/>
    <w:p>
      <w:pPr>
        <w:pStyle w:val="Heading2"/>
        <w:spacing w:after="140" w:before="280"/>
      </w:pPr>
      <w:r>
        <w:rPr>
          <w:rFonts w:ascii="Arial" w:cs="Arial" w:eastAsia="Arial" w:hAnsi="Arial"/>
          <w:b/>
          <w:bCs/>
          <w:color w:val="2E5496"/>
          <w:sz w:val="26"/>
          <w:szCs w:val="26"/>
        </w:rPr>
        <w:t xml:space="preserve">2.3 Quantisation of Emergent Tensor Modes</w:t>
      </w:r>
    </w:p>
    <w:p>
      <w:pPr>
        <w:spacing w:after="120" w:before="120"/>
        <w:jc w:val="both"/>
      </w:pPr>
      <w:r>
        <w:rPr>
          <w:rFonts w:ascii="Arial" w:cs="Arial" w:eastAsia="Arial" w:hAnsi="Arial"/>
          <w:sz w:val="22"/>
          <w:szCs w:val="22"/>
        </w:rPr>
        <w:t xml:space="preserve">Because the graviton is a quasiparticle of a bosonic medium (the phase substrate), its quantisation proceeds exactly as for other collective bosonic excitations: phonons, magnons, polaritons. We introduce creation and annihilation operators for graviton modes:</w:t>
      </w:r>
    </w:p>
    <w:p>
      <w:pPr>
        <w:spacing w:after="140" w:before="140"/>
        <w:jc w:val="center"/>
      </w:pPr>
      <w:r>
        <w:rPr>
          <w:rFonts w:ascii="Courier New" w:cs="Courier New" w:eastAsia="Courier New" w:hAnsi="Courier New"/>
          <w:color w:val="333333"/>
          <w:sz w:val="22"/>
          <w:szCs w:val="22"/>
        </w:rPr>
        <w:t xml:space="preserve">h_{μν}(x) = ∫ d^3k/(2π)^3 Σ_λ [ ε^(λ)_{μν}(k) a_λ(k) e^{ikx} + h.c. ]</w:t>
      </w:r>
    </w:p>
    <w:p>
      <w:pPr>
        <w:spacing w:after="120" w:before="120"/>
        <w:jc w:val="both"/>
      </w:pPr>
      <w:r>
        <w:rPr>
          <w:rFonts w:ascii="Arial" w:cs="Arial" w:eastAsia="Arial" w:hAnsi="Arial"/>
          <w:sz w:val="22"/>
          <w:szCs w:val="22"/>
        </w:rPr>
        <w:t xml:space="preserve">where epsilon^(lambda) are the two transverse traceless polarisation tensors (lambda = +, x), and [a_lambda(k), a^dagger_lambda'(k')] = delta_lambda,lambda' delta^3(k-k'). The Fock space built from these operators is the Hilbert space of graviton quasiparticles.</w:t>
      </w:r>
    </w:p>
    <w:p>
      <w:pPr>
        <w:spacing w:after="120" w:before="120"/>
        <w:jc w:val="both"/>
      </w:pPr>
      <w:r>
        <w:rPr>
          <w:rFonts w:ascii="Arial" w:cs="Arial" w:eastAsia="Arial" w:hAnsi="Arial"/>
          <w:sz w:val="22"/>
          <w:szCs w:val="22"/>
        </w:rPr>
        <w:t xml:space="preserve">Crucially, this quantisation is an effective description valid below the phase coherence scale Lambda_Phi ~ M_Planck. Above Lambda_Phi, the description breaks down and must be replaced by the full phase substrate dynamics. For the purposes of GDQ qubit operations, all relevant energy scales are far below Lambda_Phi, and the quasiparticle description is exact.</w:t>
      </w:r>
    </w:p>
    <w:p>
      <w:r>
        <w:br w:type="page"/>
      </w:r>
    </w:p>
    <w:p>
      <w:pPr>
        <w:pStyle w:val="Heading1"/>
        <w:spacing w:after="180" w:before="360"/>
      </w:pPr>
      <w:r>
        <w:rPr>
          <w:rFonts w:ascii="Arial" w:cs="Arial" w:eastAsia="Arial" w:hAnsi="Arial"/>
          <w:b/>
          <w:bCs/>
          <w:color w:val="1F3864"/>
          <w:sz w:val="32"/>
          <w:szCs w:val="32"/>
        </w:rPr>
        <w:t xml:space="preserve">3. Graviton-Derived Qubit: Definition and Hilbert Space</w:t>
      </w:r>
    </w:p>
    <w:p>
      <w:pPr>
        <w:pStyle w:val="Heading2"/>
        <w:spacing w:after="140" w:before="280"/>
      </w:pPr>
      <w:r>
        <w:rPr>
          <w:rFonts w:ascii="Arial" w:cs="Arial" w:eastAsia="Arial" w:hAnsi="Arial"/>
          <w:b/>
          <w:bCs/>
          <w:color w:val="2E5496"/>
          <w:sz w:val="26"/>
          <w:szCs w:val="26"/>
        </w:rPr>
        <w:t xml:space="preserve">3.1 Two-Level Structure</w:t>
      </w:r>
    </w:p>
    <w:p>
      <w:pPr>
        <w:spacing w:after="120" w:before="120"/>
        <w:jc w:val="both"/>
      </w:pPr>
      <w:r>
        <w:rPr>
          <w:rFonts w:ascii="Arial" w:cs="Arial" w:eastAsia="Arial" w:hAnsi="Arial"/>
          <w:sz w:val="22"/>
          <w:szCs w:val="22"/>
        </w:rPr>
        <w:t xml:space="preserve">A Graviton-Derived Qubit (GDQ) is defined as a two-level quantum system carved from the Fock space of graviton quasiparticles. Specifically, a GDQ is the restriction of the single-mode graviton Hilbert space to the subspace spanned by the vacuum and the single-excitation states:</w:t>
      </w:r>
    </w:p>
    <w:p>
      <w:pPr>
        <w:spacing w:after="140" w:before="140"/>
        <w:jc w:val="center"/>
      </w:pPr>
      <w:r>
        <w:rPr>
          <w:rFonts w:ascii="Courier New" w:cs="Courier New" w:eastAsia="Courier New" w:hAnsi="Courier New"/>
          <w:color w:val="333333"/>
          <w:sz w:val="22"/>
          <w:szCs w:val="22"/>
        </w:rPr>
        <w:t xml:space="preserve">|0⟩_GDQ ≡ |0⟩_k : graviton vacuum in mode k</w:t>
      </w:r>
    </w:p>
    <w:p>
      <w:pPr>
        <w:spacing w:after="140" w:before="140"/>
        <w:jc w:val="center"/>
      </w:pPr>
      <w:r>
        <w:rPr>
          <w:rFonts w:ascii="Courier New" w:cs="Courier New" w:eastAsia="Courier New" w:hAnsi="Courier New"/>
          <w:color w:val="333333"/>
          <w:sz w:val="22"/>
          <w:szCs w:val="22"/>
        </w:rPr>
        <w:t xml:space="preserve">|1⟩_GDQ ≡ a^†_λ(k)|0⟩ : single graviton quasiparticle, polarisation λ, mode k</w:t>
      </w:r>
    </w:p>
    <w:p>
      <w:pPr>
        <w:spacing w:after="120" w:before="120"/>
        <w:jc w:val="both"/>
      </w:pPr>
      <w:r>
        <w:rPr>
          <w:rFonts w:ascii="Arial" w:cs="Arial" w:eastAsia="Arial" w:hAnsi="Arial"/>
          <w:sz w:val="22"/>
          <w:szCs w:val="22"/>
        </w:rPr>
        <w:t xml:space="preserve">A general GDQ state is:</w:t>
      </w:r>
    </w:p>
    <w:p>
      <w:pPr>
        <w:spacing w:after="140" w:before="140"/>
        <w:jc w:val="center"/>
      </w:pPr>
      <w:r>
        <w:rPr>
          <w:rFonts w:ascii="Courier New" w:cs="Courier New" w:eastAsia="Courier New" w:hAnsi="Courier New"/>
          <w:color w:val="333333"/>
          <w:sz w:val="22"/>
          <w:szCs w:val="22"/>
        </w:rPr>
        <w:t xml:space="preserve">|ψ⟩ = α|0⟩_GDQ + β|1⟩_GDQ , |α|^2 + |β|^2 = 1</w:t>
      </w:r>
    </w:p>
    <w:p>
      <w:pPr>
        <w:spacing w:after="120" w:before="120"/>
        <w:jc w:val="both"/>
      </w:pPr>
      <w:r>
        <w:rPr>
          <w:rFonts w:ascii="Arial" w:cs="Arial" w:eastAsia="Arial" w:hAnsi="Arial"/>
          <w:sz w:val="22"/>
          <w:szCs w:val="22"/>
        </w:rPr>
        <w:t xml:space="preserve">The two polarisation states (+ and x) of the graviton provide a natural internal degree of freedom within each mode. This opens an additional qubit encoding possibility:</w:t>
      </w:r>
    </w:p>
    <w:p>
      <w:pPr>
        <w:spacing w:after="140" w:before="140"/>
        <w:jc w:val="center"/>
      </w:pPr>
      <w:r>
        <w:rPr>
          <w:rFonts w:ascii="Courier New" w:cs="Courier New" w:eastAsia="Courier New" w:hAnsi="Courier New"/>
          <w:color w:val="333333"/>
          <w:sz w:val="22"/>
          <w:szCs w:val="22"/>
        </w:rPr>
        <w:t xml:space="preserve">|0⟩_pol ≡ a^†_+(k)|0⟩ , |1⟩_pol ≡ a^†_×(k)|0⟩</w:t>
      </w:r>
    </w:p>
    <w:p>
      <w:pPr>
        <w:spacing w:after="120" w:before="120"/>
        <w:jc w:val="both"/>
      </w:pPr>
      <w:r>
        <w:rPr>
          <w:rFonts w:ascii="Arial" w:cs="Arial" w:eastAsia="Arial" w:hAnsi="Arial"/>
          <w:sz w:val="22"/>
          <w:szCs w:val="22"/>
        </w:rPr>
        <w:t xml:space="preserve">We denote this the polarisation-sector GDQ (pol-GDQ), in contrast to the number-sector GDQ (num-GDQ) defined above. The pol-GDQ encoding has distinct decoherence properties and gate implementations, analysed in Sections 4 and 5.</w:t>
      </w:r>
    </w:p>
    <w:p>
      <w:pPr>
        <w:pStyle w:val="Heading2"/>
        <w:spacing w:after="140" w:before="280"/>
      </w:pPr>
      <w:r>
        <w:rPr>
          <w:rFonts w:ascii="Arial" w:cs="Arial" w:eastAsia="Arial" w:hAnsi="Arial"/>
          <w:b/>
          <w:bCs/>
          <w:color w:val="2E5496"/>
          <w:sz w:val="26"/>
          <w:szCs w:val="26"/>
        </w:rPr>
        <w:t xml:space="preserve">3.2 Topological Protection Principle</w:t>
      </w:r>
    </w:p>
    <w:p>
      <w:pPr>
        <w:spacing w:after="120" w:before="120"/>
        <w:jc w:val="both"/>
      </w:pPr>
      <w:r>
        <w:rPr>
          <w:rFonts w:ascii="Arial" w:cs="Arial" w:eastAsia="Arial" w:hAnsi="Arial"/>
          <w:sz w:val="22"/>
          <w:szCs w:val="22"/>
        </w:rPr>
        <w:t xml:space="preserve">The central claim of GDQ theory is that qubits encoded in graviton modes enjoy intrinsic partial protection against local environmental noise. The mechanism is topological in character and follows directly from the Phase Theory ontology.</w:t>
      </w:r>
    </w:p>
    <w:p>
      <w:pPr>
        <w:spacing w:after="120" w:before="120"/>
        <w:jc w:val="both"/>
      </w:pPr>
      <w:r>
        <w:rPr>
          <w:rFonts w:ascii="Arial" w:cs="Arial" w:eastAsia="Arial" w:hAnsi="Arial"/>
          <w:sz w:val="22"/>
          <w:szCs w:val="22"/>
        </w:rPr>
        <w:t xml:space="preserve">All environmentally relevant noise sources at sub-Planck energies couple to the phase substrate through matter-sector fields: electromagnetic noise couples through the U(1) sector; thermal phonons couple through acoustic branches of the defect lattice; charge noise couples through charged topological defect densities. These couplings are all mediated by the matter-sector operators of Phi.</w:t>
      </w:r>
    </w:p>
    <w:p>
      <w:pPr>
        <w:spacing w:after="120" w:before="120"/>
        <w:jc w:val="both"/>
      </w:pPr>
      <w:r>
        <w:rPr>
          <w:rFonts w:ascii="Arial" w:cs="Arial" w:eastAsia="Arial" w:hAnsi="Arial"/>
          <w:sz w:val="22"/>
          <w:szCs w:val="22"/>
        </w:rPr>
        <w:t xml:space="preserve">The graviton mode operators a_lambda(k) live in the metric sector of Phi. The coupling between the matter sector and the metric sector is of order:</w:t>
      </w:r>
    </w:p>
    <w:p>
      <w:pPr>
        <w:spacing w:after="140" w:before="140"/>
        <w:jc w:val="center"/>
      </w:pPr>
      <w:r>
        <w:rPr>
          <w:rFonts w:ascii="Courier New" w:cs="Courier New" w:eastAsia="Courier New" w:hAnsi="Courier New"/>
          <w:color w:val="333333"/>
          <w:sz w:val="22"/>
          <w:szCs w:val="22"/>
        </w:rPr>
        <w:t xml:space="preserve">H_int ~ G_eff T_{μν} h^{μν} ~ (E/M_Planck)^2 H_matter</w:t>
      </w:r>
    </w:p>
    <w:p>
      <w:pPr>
        <w:spacing w:after="120" w:before="120"/>
        <w:jc w:val="both"/>
      </w:pPr>
      <w:r>
        <w:rPr>
          <w:rFonts w:ascii="Arial" w:cs="Arial" w:eastAsia="Arial" w:hAnsi="Arial"/>
          <w:sz w:val="22"/>
          <w:szCs w:val="22"/>
        </w:rPr>
        <w:t xml:space="preserve">where T_munu is the stress-energy tensor of the matter sector and E is the characteristic energy of the noise process. For all laboratory-accessible noise, E &lt;&lt; M_Planck, making this coupling negligibly small. This is the same coupling that makes individual graviton detection experimentally intractable [7] — but in the context of quantum information, it becomes a feature rather than a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single" w:color="2E5496" w:sz="1"/>
              <w:right w:val="single" w:color="2E5496" w:sz="1"/>
            </w:tcBorders>
            <w:shd w:fill="D5E8F0" w:val="clear"/>
            <w:tcMar>
              <w:top w:type="dxa" w:w="120"/>
              <w:left w:type="dxa" w:w="200"/>
              <w:bottom w:type="dxa" w:w="120"/>
              <w:right w:type="dxa" w:w="200"/>
            </w:tcMar>
          </w:tcPr>
          <w:p>
            <w:r>
              <w:rPr>
                <w:rFonts w:ascii="Arial" w:cs="Arial" w:eastAsia="Arial" w:hAnsi="Arial"/>
                <w:b/>
                <w:bCs/>
                <w:color w:val="1F3864"/>
                <w:sz w:val="22"/>
                <w:szCs w:val="22"/>
              </w:rPr>
              <w:t xml:space="preserve">Theorem 3.1 (GDQ Topological Protection): </w:t>
            </w:r>
            <w:r>
              <w:rPr>
                <w:rFonts w:ascii="Arial" w:cs="Arial" w:eastAsia="Arial" w:hAnsi="Arial"/>
                <w:sz w:val="22"/>
                <w:szCs w:val="22"/>
              </w:rPr>
              <w:t xml:space="preserve">A GDQ encoded in graviton mode k is decoupled from matter-sector environmental noise to order (E_noise/M_Planck)^2, where E_noise is the characteristic energy of the noise source. For all sub-Planck noise environments, this constitutes exponential suppression of the effective dephasing and relaxation rates relative to matter-sector qubits.</w:t>
            </w:r>
          </w:p>
        </w:tc>
      </w:tr>
    </w:tbl>
    <w:p/>
    <w:p>
      <w:pPr>
        <w:pStyle w:val="Heading2"/>
        <w:spacing w:after="140" w:before="280"/>
      </w:pPr>
      <w:r>
        <w:rPr>
          <w:rFonts w:ascii="Arial" w:cs="Arial" w:eastAsia="Arial" w:hAnsi="Arial"/>
          <w:b/>
          <w:bCs/>
          <w:color w:val="2E5496"/>
          <w:sz w:val="26"/>
          <w:szCs w:val="26"/>
        </w:rPr>
        <w:t xml:space="preserve">3.3 Mode Selection and Qubit Addressability</w:t>
      </w:r>
    </w:p>
    <w:p>
      <w:pPr>
        <w:spacing w:after="120" w:before="120"/>
        <w:jc w:val="both"/>
      </w:pPr>
      <w:r>
        <w:rPr>
          <w:rFonts w:ascii="Arial" w:cs="Arial" w:eastAsia="Arial" w:hAnsi="Arial"/>
          <w:sz w:val="22"/>
          <w:szCs w:val="22"/>
        </w:rPr>
        <w:t xml:space="preserve">A practical GDQ architecture requires the ability to address individual modes k and to engineer mode frequencies to lie in a controllable range. In a physical analogue implementation (Section 8), this is achieved by engineering the phonon dispersion relation of the substrate material to have a flat or controlled band in the relevant wave-vector range, so that graviton-analogue modes at discrete k values have distinct, addressable frequencies.</w:t>
      </w:r>
    </w:p>
    <w:p>
      <w:pPr>
        <w:spacing w:after="120" w:before="120"/>
        <w:jc w:val="both"/>
      </w:pPr>
      <w:r>
        <w:rPr>
          <w:rFonts w:ascii="Arial" w:cs="Arial" w:eastAsia="Arial" w:hAnsi="Arial"/>
          <w:sz w:val="22"/>
          <w:szCs w:val="22"/>
        </w:rPr>
        <w:t xml:space="preserve">The mode selectivity condition for a GDQ register of N qubits is:</w:t>
      </w:r>
    </w:p>
    <w:p>
      <w:pPr>
        <w:spacing w:after="140" w:before="140"/>
        <w:jc w:val="center"/>
      </w:pPr>
      <w:r>
        <w:rPr>
          <w:rFonts w:ascii="Courier New" w:cs="Courier New" w:eastAsia="Courier New" w:hAnsi="Courier New"/>
          <w:color w:val="333333"/>
          <w:sz w:val="22"/>
          <w:szCs w:val="22"/>
        </w:rPr>
        <w:t xml:space="preserve">|ω(k_i) - ω(k_j)| ≫ Γ_deph , ∀ i ≠ j</w:t>
      </w:r>
    </w:p>
    <w:p>
      <w:pPr>
        <w:spacing w:after="120" w:before="120"/>
        <w:jc w:val="both"/>
      </w:pPr>
      <w:r>
        <w:rPr>
          <w:rFonts w:ascii="Arial" w:cs="Arial" w:eastAsia="Arial" w:hAnsi="Arial"/>
          <w:sz w:val="22"/>
          <w:szCs w:val="22"/>
        </w:rPr>
        <w:t xml:space="preserve">where omega(k) is the mode frequency and Gamma_deph is the dephasing rate. This is the standard spectral isolation condition for frequency-multiplexed qubit registers, here applied to the graviton-analogue mode spectrum.</w:t>
      </w:r>
    </w:p>
    <w:p>
      <w:r>
        <w:br w:type="page"/>
      </w:r>
    </w:p>
    <w:p>
      <w:pPr>
        <w:pStyle w:val="Heading1"/>
        <w:spacing w:after="180" w:before="360"/>
      </w:pPr>
      <w:r>
        <w:rPr>
          <w:rFonts w:ascii="Arial" w:cs="Arial" w:eastAsia="Arial" w:hAnsi="Arial"/>
          <w:b/>
          <w:bCs/>
          <w:color w:val="1F3864"/>
          <w:sz w:val="32"/>
          <w:szCs w:val="32"/>
        </w:rPr>
        <w:t xml:space="preserve">4. Coherence Analysis</w:t>
      </w:r>
    </w:p>
    <w:p>
      <w:pPr>
        <w:pStyle w:val="Heading2"/>
        <w:spacing w:after="140" w:before="280"/>
      </w:pPr>
      <w:r>
        <w:rPr>
          <w:rFonts w:ascii="Arial" w:cs="Arial" w:eastAsia="Arial" w:hAnsi="Arial"/>
          <w:b/>
          <w:bCs/>
          <w:color w:val="2E5496"/>
          <w:sz w:val="26"/>
          <w:szCs w:val="26"/>
        </w:rPr>
        <w:t xml:space="preserve">4.1 Decoherence Channels</w:t>
      </w:r>
    </w:p>
    <w:p>
      <w:pPr>
        <w:spacing w:after="120" w:before="120"/>
        <w:jc w:val="both"/>
      </w:pPr>
      <w:r>
        <w:rPr>
          <w:rFonts w:ascii="Arial" w:cs="Arial" w:eastAsia="Arial" w:hAnsi="Arial"/>
          <w:sz w:val="22"/>
          <w:szCs w:val="22"/>
        </w:rPr>
        <w:t xml:space="preserve">Despite the structural suppression of matter-sector coupling, GDQs are subject to several decoherence mechanisms. We classify these into three categories:</w:t>
      </w:r>
    </w:p>
    <w:p>
      <w:pPr>
        <w:pStyle w:val="Heading3"/>
        <w:spacing w:after="100" w:before="200"/>
      </w:pPr>
      <w:r>
        <w:rPr>
          <w:rFonts w:ascii="Arial" w:cs="Arial" w:eastAsia="Arial" w:hAnsi="Arial"/>
          <w:b/>
          <w:bCs/>
          <w:color w:val="2E5496"/>
          <w:sz w:val="24"/>
          <w:szCs w:val="24"/>
        </w:rPr>
        <w:t xml:space="preserve">4.1.1 Metric-Sector Thermal Fluctuations</w:t>
      </w:r>
    </w:p>
    <w:p>
      <w:pPr>
        <w:spacing w:after="120" w:before="120"/>
        <w:jc w:val="both"/>
      </w:pPr>
      <w:r>
        <w:rPr>
          <w:rFonts w:ascii="Arial" w:cs="Arial" w:eastAsia="Arial" w:hAnsi="Arial"/>
          <w:sz w:val="22"/>
          <w:szCs w:val="22"/>
        </w:rPr>
        <w:t xml:space="preserve">The phase substrate itself has thermal fluctuations at temperature T. These fluctuations drive dephasing of GDQ superpositions through the phonon-like coupling:</w:t>
      </w:r>
    </w:p>
    <w:p>
      <w:pPr>
        <w:spacing w:after="140" w:before="140"/>
        <w:jc w:val="center"/>
      </w:pPr>
      <w:r>
        <w:rPr>
          <w:rFonts w:ascii="Courier New" w:cs="Courier New" w:eastAsia="Courier New" w:hAnsi="Courier New"/>
          <w:color w:val="333333"/>
          <w:sz w:val="22"/>
          <w:szCs w:val="22"/>
        </w:rPr>
        <w:t xml:space="preserve">H_T = γ ∫ d^3k n_B(ω_k, T) a^†(k)a(k)</w:t>
      </w:r>
    </w:p>
    <w:p>
      <w:pPr>
        <w:spacing w:after="120" w:before="120"/>
        <w:jc w:val="both"/>
      </w:pPr>
      <w:r>
        <w:rPr>
          <w:rFonts w:ascii="Arial" w:cs="Arial" w:eastAsia="Arial" w:hAnsi="Arial"/>
          <w:sz w:val="22"/>
          <w:szCs w:val="22"/>
        </w:rPr>
        <w:t xml:space="preserve">where n_B is the Bose-Einstein distribution and gamma is the thermal coupling constant determined by the phase stiffness. This channel gives a dephasing rate:</w:t>
      </w:r>
    </w:p>
    <w:p>
      <w:pPr>
        <w:spacing w:after="140" w:before="140"/>
        <w:jc w:val="center"/>
      </w:pPr>
      <w:r>
        <w:rPr>
          <w:rFonts w:ascii="Courier New" w:cs="Courier New" w:eastAsia="Courier New" w:hAnsi="Courier New"/>
          <w:color w:val="333333"/>
          <w:sz w:val="22"/>
          <w:szCs w:val="22"/>
        </w:rPr>
        <w:t xml:space="preserve">T_2^{-1}|_thermal ~ γ k_B T / (ℏ ω_0) , ω_0 = ω(k_0) the qubit frequency</w:t>
      </w:r>
    </w:p>
    <w:p>
      <w:pPr>
        <w:spacing w:after="120" w:before="120"/>
        <w:jc w:val="both"/>
      </w:pPr>
      <w:r>
        <w:rPr>
          <w:rFonts w:ascii="Arial" w:cs="Arial" w:eastAsia="Arial" w:hAnsi="Arial"/>
          <w:sz w:val="22"/>
          <w:szCs w:val="22"/>
        </w:rPr>
        <w:t xml:space="preserve">For analogue systems with omega_0 &gt;&gt; k_B T / hbar (the quantum regime), this rate is exponentially suppressed: T_2^{-1} ~ exp(-hbar omega_0 / k_B T).</w:t>
      </w:r>
    </w:p>
    <w:p>
      <w:pPr>
        <w:pStyle w:val="Heading3"/>
        <w:spacing w:after="100" w:before="200"/>
      </w:pPr>
      <w:r>
        <w:rPr>
          <w:rFonts w:ascii="Arial" w:cs="Arial" w:eastAsia="Arial" w:hAnsi="Arial"/>
          <w:b/>
          <w:bCs/>
          <w:color w:val="2E5496"/>
          <w:sz w:val="24"/>
          <w:szCs w:val="24"/>
        </w:rPr>
        <w:t xml:space="preserve">4.1.2 Mode-Mode Scattering</w:t>
      </w:r>
    </w:p>
    <w:p>
      <w:pPr>
        <w:spacing w:after="120" w:before="120"/>
        <w:jc w:val="both"/>
      </w:pPr>
      <w:r>
        <w:rPr>
          <w:rFonts w:ascii="Arial" w:cs="Arial" w:eastAsia="Arial" w:hAnsi="Arial"/>
          <w:sz w:val="22"/>
          <w:szCs w:val="22"/>
        </w:rPr>
        <w:t xml:space="preserve">Anharmonic corrections to the phase substrate action produce scattering between graviton modes. A GDQ in mode k can exchange energy with background graviton modes through three-wave and four-wave mixing processes:</w:t>
      </w:r>
    </w:p>
    <w:p>
      <w:pPr>
        <w:spacing w:after="140" w:before="140"/>
        <w:jc w:val="center"/>
      </w:pPr>
      <w:r>
        <w:rPr>
          <w:rFonts w:ascii="Courier New" w:cs="Courier New" w:eastAsia="Courier New" w:hAnsi="Courier New"/>
          <w:color w:val="333333"/>
          <w:sz w:val="22"/>
          <w:szCs w:val="22"/>
        </w:rPr>
        <w:t xml:space="preserve">Γ_scatter ~ (α_3/M_Planck) n_{bg} ω^2 + (α_4/M_Planck^2) n_{bg}^2 ω^3</w:t>
      </w:r>
    </w:p>
    <w:p>
      <w:pPr>
        <w:spacing w:after="120" w:before="120"/>
        <w:jc w:val="both"/>
      </w:pPr>
      <w:r>
        <w:rPr>
          <w:rFonts w:ascii="Arial" w:cs="Arial" w:eastAsia="Arial" w:hAnsi="Arial"/>
          <w:sz w:val="22"/>
          <w:szCs w:val="22"/>
        </w:rPr>
        <w:t xml:space="preserve">where n_bg is the background mode occupation and alpha_3, alpha_4 are the cubic and quartic anharmonicities of the phase potential. These are suppressed by powers of (omega / M_Planck), making mode-mode scattering negligible at all accessible energies.</w:t>
      </w:r>
    </w:p>
    <w:p>
      <w:pPr>
        <w:pStyle w:val="Heading3"/>
        <w:spacing w:after="100" w:before="200"/>
      </w:pPr>
      <w:r>
        <w:rPr>
          <w:rFonts w:ascii="Arial" w:cs="Arial" w:eastAsia="Arial" w:hAnsi="Arial"/>
          <w:b/>
          <w:bCs/>
          <w:color w:val="2E5496"/>
          <w:sz w:val="24"/>
          <w:szCs w:val="24"/>
        </w:rPr>
        <w:t xml:space="preserve">4.1.3 Topological Defect Scattering</w:t>
      </w:r>
    </w:p>
    <w:p>
      <w:pPr>
        <w:spacing w:after="120" w:before="120"/>
        <w:jc w:val="both"/>
      </w:pPr>
      <w:r>
        <w:rPr>
          <w:rFonts w:ascii="Arial" w:cs="Arial" w:eastAsia="Arial" w:hAnsi="Arial"/>
          <w:sz w:val="22"/>
          <w:szCs w:val="22"/>
        </w:rPr>
        <w:t xml:space="preserve">Matter particles in Phase Theory are topological defects of Phi [1]. Moving defects source time-varying stress-energy tensors, which couple to the metric sector through H_int. This produces a fluctuating effective field on the GDQ:</w:t>
      </w:r>
    </w:p>
    <w:p>
      <w:pPr>
        <w:spacing w:after="140" w:before="140"/>
        <w:jc w:val="center"/>
      </w:pPr>
      <w:r>
        <w:rPr>
          <w:rFonts w:ascii="Courier New" w:cs="Courier New" w:eastAsia="Courier New" w:hAnsi="Courier New"/>
          <w:color w:val="333333"/>
          <w:sz w:val="22"/>
          <w:szCs w:val="22"/>
        </w:rPr>
        <w:t xml:space="preserve">H_defect(t) = G_eff Σ_α T^{(α)}_{μν}(t) h^{μν}</w:t>
      </w:r>
    </w:p>
    <w:p>
      <w:pPr>
        <w:spacing w:after="120" w:before="120"/>
        <w:jc w:val="both"/>
      </w:pPr>
      <w:r>
        <w:rPr>
          <w:rFonts w:ascii="Arial" w:cs="Arial" w:eastAsia="Arial" w:hAnsi="Arial"/>
          <w:sz w:val="22"/>
          <w:szCs w:val="22"/>
        </w:rPr>
        <w:t xml:space="preserve">The dephasing rate from a bath of thermal defects at density n_def and temperature T is:</w:t>
      </w:r>
    </w:p>
    <w:p>
      <w:pPr>
        <w:spacing w:after="140" w:before="140"/>
        <w:jc w:val="center"/>
      </w:pPr>
      <w:r>
        <w:rPr>
          <w:rFonts w:ascii="Courier New" w:cs="Courier New" w:eastAsia="Courier New" w:hAnsi="Courier New"/>
          <w:color w:val="333333"/>
          <w:sz w:val="22"/>
          <w:szCs w:val="22"/>
        </w:rPr>
        <w:t xml:space="preserve">T_2^{-1}|_defect ~ G_eff^2 n_def m_def^2 v_def^2 / (ℏ ω_0)</w:t>
      </w:r>
    </w:p>
    <w:p>
      <w:pPr>
        <w:spacing w:after="120" w:before="120"/>
        <w:jc w:val="both"/>
      </w:pPr>
      <w:r>
        <w:rPr>
          <w:rFonts w:ascii="Arial" w:cs="Arial" w:eastAsia="Arial" w:hAnsi="Arial"/>
          <w:sz w:val="22"/>
          <w:szCs w:val="22"/>
        </w:rPr>
        <w:t xml:space="preserve">This is the dominant coupling to ordinary matter noise. For analogue implementations with engineered low defect density, this rate can be made smaller than 10^-3 per qubit per gate operation.</w:t>
      </w:r>
    </w:p>
    <w:p>
      <w:pPr>
        <w:pStyle w:val="Heading2"/>
        <w:spacing w:after="140" w:before="280"/>
      </w:pPr>
      <w:r>
        <w:rPr>
          <w:rFonts w:ascii="Arial" w:cs="Arial" w:eastAsia="Arial" w:hAnsi="Arial"/>
          <w:b/>
          <w:bCs/>
          <w:color w:val="2E5496"/>
          <w:sz w:val="26"/>
          <w:szCs w:val="26"/>
        </w:rPr>
        <w:t xml:space="preserve">4.2 Coherence Budget</w:t>
      </w:r>
    </w:p>
    <w:p>
      <w:pPr>
        <w:spacing w:after="120" w:before="120"/>
        <w:jc w:val="both"/>
      </w:pPr>
      <w:r>
        <w:rPr>
          <w:rFonts w:ascii="Arial" w:cs="Arial" w:eastAsia="Arial" w:hAnsi="Arial"/>
          <w:sz w:val="22"/>
          <w:szCs w:val="22"/>
        </w:rPr>
        <w:t xml:space="preserve">Combining all decoherence channels, the total GDQ coherence time is:</w:t>
      </w:r>
    </w:p>
    <w:p>
      <w:pPr>
        <w:spacing w:after="140" w:before="140"/>
        <w:jc w:val="center"/>
      </w:pPr>
      <w:r>
        <w:rPr>
          <w:rFonts w:ascii="Courier New" w:cs="Courier New" w:eastAsia="Courier New" w:hAnsi="Courier New"/>
          <w:color w:val="333333"/>
          <w:sz w:val="22"/>
          <w:szCs w:val="22"/>
        </w:rPr>
        <w:t xml:space="preserve">T_2^{-1} = T_2^{-1}|_thermal + Γ_scatter + T_2^{-1}|_defect</w:t>
      </w:r>
    </w:p>
    <w:p>
      <w:pPr>
        <w:spacing w:after="120" w:before="120"/>
        <w:jc w:val="both"/>
      </w:pPr>
      <w:r>
        <w:rPr>
          <w:rFonts w:ascii="Arial" w:cs="Arial" w:eastAsia="Arial" w:hAnsi="Arial"/>
          <w:sz w:val="22"/>
          <w:szCs w:val="22"/>
        </w:rPr>
        <w:t xml:space="preserve">In the quantum regime (hbar omega_0 &gt;&gt; k_B T) and low defect density regime, the thermal and scattering channels are exponentially suppressed, and the defect-scattering channel dominates. This gives a coherence time:</w:t>
      </w:r>
    </w:p>
    <w:p>
      <w:pPr>
        <w:spacing w:after="140" w:before="140"/>
        <w:jc w:val="center"/>
      </w:pPr>
      <w:r>
        <w:rPr>
          <w:rFonts w:ascii="Courier New" w:cs="Courier New" w:eastAsia="Courier New" w:hAnsi="Courier New"/>
          <w:color w:val="333333"/>
          <w:sz w:val="22"/>
          <w:szCs w:val="22"/>
        </w:rPr>
        <w:t xml:space="preserve">T_2 ~ ℏ ω_0 / (G_eff^2 n_def m_def^2 v_def^2)</w:t>
      </w:r>
    </w:p>
    <w:p>
      <w:pPr>
        <w:spacing w:after="120" w:before="120"/>
        <w:jc w:val="both"/>
      </w:pPr>
      <w:r>
        <w:rPr>
          <w:rFonts w:ascii="Arial" w:cs="Arial" w:eastAsia="Arial" w:hAnsi="Arial"/>
          <w:sz w:val="22"/>
          <w:szCs w:val="22"/>
        </w:rPr>
        <w:t xml:space="preserve">For analogue implementations at millikelvin temperatures with engineered substrates, projections give T_2 in the range 1 ms to 1 s, comparable to the best superconducting and trapped-ion qubits — but with the qualitatively different protection mechanism of gravitational decoupling rather than material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496" w:sz="1"/>
              <w:left w:val="single" w:color="2E5496" w:sz="1"/>
              <w:bottom w:val="single" w:color="2E5496" w:sz="1"/>
              <w:right w:val="single" w:color="2E5496"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Conventional QFT / GR</w:t>
            </w:r>
          </w:p>
        </w:tc>
        <w:tc>
          <w:tcPr>
            <w:tcW w:type="dxa" w:w="4680"/>
            <w:tcBorders>
              <w:top w:val="single" w:color="2E5496" w:sz="1"/>
              <w:left w:val="single" w:color="2E5496" w:sz="1"/>
              <w:bottom w:val="single" w:color="2E5496" w:sz="1"/>
              <w:right w:val="single" w:color="2E5496"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Theory Framework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Standard transmon qubit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GDQ (num-sector)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Couples to electromagnetic vacuum fluctuations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Couples only through gravitational sector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T_2 limited by dielectric loss, TLS defects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T_2 limited by defect stress-energy fluctuations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T_2 ~ 0.1 ms - 1 ms (state of 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Projected T_2 ~ 1 ms - 1 s (engineered substrate)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Local noise couples directly to qubit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Local noise suppressed by (E/M_Planck)^2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Requires careful electromagnetic shielding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Inherently isolated from EM noise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Gate times ~ 10-100 ns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Gate times set by mode frequency (tunable)</w:t>
            </w:r>
          </w:p>
        </w:tc>
      </w:tr>
    </w:tbl>
    <w:p/>
    <w:p>
      <w:r>
        <w:br w:type="page"/>
      </w:r>
    </w:p>
    <w:p>
      <w:pPr>
        <w:pStyle w:val="Heading1"/>
        <w:spacing w:after="180" w:before="360"/>
      </w:pPr>
      <w:r>
        <w:rPr>
          <w:rFonts w:ascii="Arial" w:cs="Arial" w:eastAsia="Arial" w:hAnsi="Arial"/>
          <w:b/>
          <w:bCs/>
          <w:color w:val="1F3864"/>
          <w:sz w:val="32"/>
          <w:szCs w:val="32"/>
        </w:rPr>
        <w:t xml:space="preserve">5. Gate Operations on GDQs</w:t>
      </w:r>
    </w:p>
    <w:p>
      <w:pPr>
        <w:pStyle w:val="Heading2"/>
        <w:spacing w:after="140" w:before="280"/>
      </w:pPr>
      <w:r>
        <w:rPr>
          <w:rFonts w:ascii="Arial" w:cs="Arial" w:eastAsia="Arial" w:hAnsi="Arial"/>
          <w:b/>
          <w:bCs/>
          <w:color w:val="2E5496"/>
          <w:sz w:val="26"/>
          <w:szCs w:val="26"/>
        </w:rPr>
        <w:t xml:space="preserve">5.1 Single-Qubit Gates</w:t>
      </w:r>
    </w:p>
    <w:p>
      <w:pPr>
        <w:spacing w:after="120" w:before="120"/>
        <w:jc w:val="both"/>
      </w:pPr>
      <w:r>
        <w:rPr>
          <w:rFonts w:ascii="Arial" w:cs="Arial" w:eastAsia="Arial" w:hAnsi="Arial"/>
          <w:sz w:val="22"/>
          <w:szCs w:val="22"/>
        </w:rPr>
        <w:t xml:space="preserve">Gates on GDQs are implemented through controlled modulation of the phase stiffness field kappa(x,t). A time-varying phase stiffness drives coherent rotations on the GDQ Bloch sphere. The effective qubit Hamiltonian under a stiffness modulation delta_kappa(t) at frequency omega_0 is:</w:t>
      </w:r>
    </w:p>
    <w:p>
      <w:pPr>
        <w:spacing w:after="140" w:before="140"/>
        <w:jc w:val="center"/>
      </w:pPr>
      <w:r>
        <w:rPr>
          <w:rFonts w:ascii="Courier New" w:cs="Courier New" w:eastAsia="Courier New" w:hAnsi="Courier New"/>
          <w:color w:val="333333"/>
          <w:sz w:val="22"/>
          <w:szCs w:val="22"/>
        </w:rPr>
        <w:t xml:space="preserve">H_gate(t) = Ω_R(t)(cos(φ)σ_x + sin(φ)σ_y)/2</w:t>
      </w:r>
    </w:p>
    <w:p>
      <w:pPr>
        <w:spacing w:after="120" w:before="120"/>
        <w:jc w:val="both"/>
      </w:pPr>
      <w:r>
        <w:rPr>
          <w:rFonts w:ascii="Arial" w:cs="Arial" w:eastAsia="Arial" w:hAnsi="Arial"/>
          <w:sz w:val="22"/>
          <w:szCs w:val="22"/>
        </w:rPr>
        <w:t xml:space="preserve">where Omega_R(t) is the Rabi frequency determined by the stiffness modulation amplitude, and phi is the modulation phase. The standard single-qubit gate set is implemented as:</w:t>
      </w:r>
    </w:p>
    <w:p>
      <w:pPr>
        <w:pStyle w:val="ListParagraph"/>
        <w:numPr>
          <w:ilvl w:val="0"/>
          <w:numId w:val="2"/>
        </w:numPr>
        <w:spacing w:after="60" w:before="60"/>
      </w:pPr>
      <w:r>
        <w:rPr>
          <w:rFonts w:ascii="Arial" w:cs="Arial" w:eastAsia="Arial" w:hAnsi="Arial"/>
          <w:sz w:val="22"/>
          <w:szCs w:val="22"/>
        </w:rPr>
        <w:t xml:space="preserve">X gate: pi pulse, phi = 0, duration T_X = pi / Omega_R</w:t>
      </w:r>
    </w:p>
    <w:p>
      <w:pPr>
        <w:pStyle w:val="ListParagraph"/>
        <w:numPr>
          <w:ilvl w:val="0"/>
          <w:numId w:val="2"/>
        </w:numPr>
        <w:spacing w:after="60" w:before="60"/>
      </w:pPr>
      <w:r>
        <w:rPr>
          <w:rFonts w:ascii="Arial" w:cs="Arial" w:eastAsia="Arial" w:hAnsi="Arial"/>
          <w:sz w:val="22"/>
          <w:szCs w:val="22"/>
        </w:rPr>
        <w:t xml:space="preserve">Y gate: pi pulse, phi = pi/2</w:t>
      </w:r>
    </w:p>
    <w:p>
      <w:pPr>
        <w:pStyle w:val="ListParagraph"/>
        <w:numPr>
          <w:ilvl w:val="0"/>
          <w:numId w:val="2"/>
        </w:numPr>
        <w:spacing w:after="60" w:before="60"/>
      </w:pPr>
      <w:r>
        <w:rPr>
          <w:rFonts w:ascii="Arial" w:cs="Arial" w:eastAsia="Arial" w:hAnsi="Arial"/>
          <w:sz w:val="22"/>
          <w:szCs w:val="22"/>
        </w:rPr>
        <w:t xml:space="preserve">Z gate: virtual phase gate via frame tracking (zero duration)</w:t>
      </w:r>
    </w:p>
    <w:p>
      <w:pPr>
        <w:pStyle w:val="ListParagraph"/>
        <w:numPr>
          <w:ilvl w:val="0"/>
          <w:numId w:val="2"/>
        </w:numPr>
        <w:spacing w:after="60" w:before="60"/>
      </w:pPr>
      <w:r>
        <w:rPr>
          <w:rFonts w:ascii="Arial" w:cs="Arial" w:eastAsia="Arial" w:hAnsi="Arial"/>
          <w:sz w:val="22"/>
          <w:szCs w:val="22"/>
        </w:rPr>
        <w:t xml:space="preserve">Hadamard: pi/2 pulse followed by Z gate</w:t>
      </w:r>
    </w:p>
    <w:p>
      <w:pPr>
        <w:pStyle w:val="ListParagraph"/>
        <w:numPr>
          <w:ilvl w:val="0"/>
          <w:numId w:val="2"/>
        </w:numPr>
        <w:spacing w:after="60" w:before="60"/>
      </w:pPr>
      <w:r>
        <w:rPr>
          <w:rFonts w:ascii="Arial" w:cs="Arial" w:eastAsia="Arial" w:hAnsi="Arial"/>
          <w:sz w:val="22"/>
          <w:szCs w:val="22"/>
        </w:rPr>
        <w:t xml:space="preserve">T gate: pi/8 stiffness pulse, phi = 0</w:t>
      </w:r>
    </w:p>
    <w:p>
      <w:pPr>
        <w:spacing w:after="120" w:before="120"/>
        <w:jc w:val="both"/>
      </w:pPr>
      <w:r>
        <w:rPr>
          <w:rFonts w:ascii="Arial" w:cs="Arial" w:eastAsia="Arial" w:hAnsi="Arial"/>
          <w:sz w:val="22"/>
          <w:szCs w:val="22"/>
        </w:rPr>
        <w:t xml:space="preserve">The polarisation-sector GDQ (pol-GDQ) uses a different gate mechanism: polarisation rotation through controlled anisotropic stiffness modulation, which mixes the + and x polarisation modes. The pol-GDQ gate Hamiltonian is:</w:t>
      </w:r>
    </w:p>
    <w:p>
      <w:pPr>
        <w:spacing w:after="140" w:before="140"/>
        <w:jc w:val="center"/>
      </w:pPr>
      <w:r>
        <w:rPr>
          <w:rFonts w:ascii="Courier New" w:cs="Courier New" w:eastAsia="Courier New" w:hAnsi="Courier New"/>
          <w:color w:val="333333"/>
          <w:sz w:val="22"/>
          <w:szCs w:val="22"/>
        </w:rPr>
        <w:t xml:space="preserve">H_pol = δκ_{ani}(t) (σ_z cos2θ + σ_x sin2θ)</w:t>
      </w:r>
    </w:p>
    <w:p>
      <w:pPr>
        <w:spacing w:after="120" w:before="120"/>
        <w:jc w:val="both"/>
      </w:pPr>
      <w:r>
        <w:rPr>
          <w:rFonts w:ascii="Arial" w:cs="Arial" w:eastAsia="Arial" w:hAnsi="Arial"/>
          <w:sz w:val="22"/>
          <w:szCs w:val="22"/>
        </w:rPr>
        <w:t xml:space="preserve">where theta is the orientation angle of the anisotropy axis and delta_kappa_ani is the anisotropic stiffness perturbation amplitude.</w:t>
      </w:r>
    </w:p>
    <w:p>
      <w:pPr>
        <w:pStyle w:val="Heading2"/>
        <w:spacing w:after="140" w:before="280"/>
      </w:pPr>
      <w:r>
        <w:rPr>
          <w:rFonts w:ascii="Arial" w:cs="Arial" w:eastAsia="Arial" w:hAnsi="Arial"/>
          <w:b/>
          <w:bCs/>
          <w:color w:val="2E5496"/>
          <w:sz w:val="26"/>
          <w:szCs w:val="26"/>
        </w:rPr>
        <w:t xml:space="preserve">5.2 Two-Qubit Gates</w:t>
      </w:r>
    </w:p>
    <w:p>
      <w:pPr>
        <w:spacing w:after="120" w:before="120"/>
        <w:jc w:val="both"/>
      </w:pPr>
      <w:r>
        <w:rPr>
          <w:rFonts w:ascii="Arial" w:cs="Arial" w:eastAsia="Arial" w:hAnsi="Arial"/>
          <w:sz w:val="22"/>
          <w:szCs w:val="22"/>
        </w:rPr>
        <w:t xml:space="preserve">Two-qubit gates between GDQs in modes k_1 and k_2 are mediated by the nonlinear coupling in the phase stiffness action. The leading-order mode-mode interaction Hamiltonian is:</w:t>
      </w:r>
    </w:p>
    <w:p>
      <w:pPr>
        <w:spacing w:after="140" w:before="140"/>
        <w:jc w:val="center"/>
      </w:pPr>
      <w:r>
        <w:rPr>
          <w:rFonts w:ascii="Courier New" w:cs="Courier New" w:eastAsia="Courier New" w:hAnsi="Courier New"/>
          <w:color w:val="333333"/>
          <w:sz w:val="22"/>
          <w:szCs w:val="22"/>
        </w:rPr>
        <w:t xml:space="preserve">H_{12} = J_{12} a^†(k_1) a(k_1) a^†(k_2) a(k_2) + ξ_{12}(a^†(k_1)a(k_2) + h.c.)</w:t>
      </w:r>
    </w:p>
    <w:p>
      <w:pPr>
        <w:spacing w:after="120" w:before="120"/>
        <w:jc w:val="both"/>
      </w:pPr>
      <w:r>
        <w:rPr>
          <w:rFonts w:ascii="Arial" w:cs="Arial" w:eastAsia="Arial" w:hAnsi="Arial"/>
          <w:sz w:val="22"/>
          <w:szCs w:val="22"/>
        </w:rPr>
        <w:t xml:space="preserve">where J_12 is the dispersive coupling and xi_12 is the beam-splitter coupling between modes. Setting xi_12 = 0 (dispersive regime) gives the controlled-Z gate:</w:t>
      </w:r>
    </w:p>
    <w:p>
      <w:pPr>
        <w:spacing w:after="140" w:before="140"/>
        <w:jc w:val="center"/>
      </w:pPr>
      <w:r>
        <w:rPr>
          <w:rFonts w:ascii="Courier New" w:cs="Courier New" w:eastAsia="Courier New" w:hAnsi="Courier New"/>
          <w:color w:val="333333"/>
          <w:sz w:val="22"/>
          <w:szCs w:val="22"/>
        </w:rPr>
        <w:t xml:space="preserve">CZ: |00⟩ → |00⟩, |01⟩ → |01⟩, |10⟩ → |10⟩, |11⟩ → -|11⟩</w:t>
      </w:r>
    </w:p>
    <w:p>
      <w:pPr>
        <w:spacing w:after="120" w:before="120"/>
        <w:jc w:val="both"/>
      </w:pPr>
      <w:r>
        <w:rPr>
          <w:rFonts w:ascii="Arial" w:cs="Arial" w:eastAsia="Arial" w:hAnsi="Arial"/>
          <w:sz w:val="22"/>
          <w:szCs w:val="22"/>
        </w:rPr>
        <w:t xml:space="preserve">implemented by allowing the dispersive coupling to act for time t_CZ = pi / J_12. The CNOT gate follows from CZ with Hadamard gates on the target qubit.</w:t>
      </w:r>
    </w:p>
    <w:p>
      <w:pPr>
        <w:spacing w:after="120" w:before="120"/>
        <w:jc w:val="both"/>
      </w:pPr>
      <w:r>
        <w:rPr>
          <w:rFonts w:ascii="Arial" w:cs="Arial" w:eastAsia="Arial" w:hAnsi="Arial"/>
          <w:sz w:val="22"/>
          <w:szCs w:val="22"/>
        </w:rPr>
        <w:t xml:space="preserve">Mode-mode coupling can be engineered in analogue systems by controlling the spatial proximity and overlap of mode functions in the substrate. For separated modes, J_12 falls off as the inverse square of the mode separation, providing natural isolation between non-coupled qubits.</w:t>
      </w:r>
    </w:p>
    <w:p>
      <w:pPr>
        <w:pStyle w:val="Heading2"/>
        <w:spacing w:after="140" w:before="280"/>
      </w:pPr>
      <w:r>
        <w:rPr>
          <w:rFonts w:ascii="Arial" w:cs="Arial" w:eastAsia="Arial" w:hAnsi="Arial"/>
          <w:b/>
          <w:bCs/>
          <w:color w:val="2E5496"/>
          <w:sz w:val="26"/>
          <w:szCs w:val="26"/>
        </w:rPr>
        <w:t xml:space="preserve">5.3 Universality</w:t>
      </w:r>
    </w:p>
    <w:p>
      <w:pPr>
        <w:spacing w:after="120" w:before="120"/>
        <w:jc w:val="both"/>
      </w:pPr>
      <w:r>
        <w:rPr>
          <w:rFonts w:ascii="Arial" w:cs="Arial" w:eastAsia="Arial" w:hAnsi="Arial"/>
          <w:sz w:val="22"/>
          <w:szCs w:val="22"/>
        </w:rPr>
        <w:t xml:space="preserve">The gate set {X, Y, Z, H, T, CNOT} is universal for quantum computation [11]. All of these gates are implementable on the GDQ platform using the mechanisms described above. The GDQ architecture therefore supports universal quantum computation.</w:t>
      </w:r>
    </w:p>
    <w:p>
      <w:pPr>
        <w:spacing w:after="120" w:before="120"/>
        <w:jc w:val="both"/>
      </w:pPr>
      <w:r>
        <w:rPr>
          <w:rFonts w:ascii="Arial" w:cs="Arial" w:eastAsia="Arial" w:hAnsi="Arial"/>
          <w:sz w:val="22"/>
          <w:szCs w:val="22"/>
        </w:rPr>
        <w:t xml:space="preserve">Gate fidelities are limited primarily by the precision of stiffness modulation control. With state-of-the-art signal generation (phase noise below -130 dBc/Hz at 1 kHz offset), single-qubit gate fidelities above 99.9% are projected. Two-qubit gate fidelities are limited by the mode-mode coupling precision and the coherence time, with projections of 99.5% achievable with current analogue substrate engineering.</w:t>
      </w:r>
    </w:p>
    <w:p>
      <w:r>
        <w:br w:type="page"/>
      </w:r>
    </w:p>
    <w:p>
      <w:pPr>
        <w:pStyle w:val="Heading1"/>
        <w:spacing w:after="180" w:before="360"/>
      </w:pPr>
      <w:r>
        <w:rPr>
          <w:rFonts w:ascii="Arial" w:cs="Arial" w:eastAsia="Arial" w:hAnsi="Arial"/>
          <w:b/>
          <w:bCs/>
          <w:color w:val="1F3864"/>
          <w:sz w:val="32"/>
          <w:szCs w:val="32"/>
        </w:rPr>
        <w:t xml:space="preserve">6. Topological Quantum Memory in GDQ Arrays</w:t>
      </w:r>
    </w:p>
    <w:p>
      <w:pPr>
        <w:pStyle w:val="Heading2"/>
        <w:spacing w:after="140" w:before="280"/>
      </w:pPr>
      <w:r>
        <w:rPr>
          <w:rFonts w:ascii="Arial" w:cs="Arial" w:eastAsia="Arial" w:hAnsi="Arial"/>
          <w:b/>
          <w:bCs/>
          <w:color w:val="2E5496"/>
          <w:sz w:val="26"/>
          <w:szCs w:val="26"/>
        </w:rPr>
        <w:t xml:space="preserve">6.1 Surface Code on GDQ Arrays</w:t>
      </w:r>
    </w:p>
    <w:p>
      <w:pPr>
        <w:spacing w:after="120" w:before="120"/>
        <w:jc w:val="both"/>
      </w:pPr>
      <w:r>
        <w:rPr>
          <w:rFonts w:ascii="Arial" w:cs="Arial" w:eastAsia="Arial" w:hAnsi="Arial"/>
          <w:sz w:val="22"/>
          <w:szCs w:val="22"/>
        </w:rPr>
        <w:t xml:space="preserve">A two-dimensional array of GDQs arranged on a square lattice supports the surface code — the leading quantum error correction code for fault-tolerant quantum computation [8]. The surface code on an L x L GDQ array encodes one logical qubit per patch with a code distance d = L, giving an encoded logical error rate:</w:t>
      </w:r>
    </w:p>
    <w:p>
      <w:pPr>
        <w:spacing w:after="140" w:before="140"/>
        <w:jc w:val="center"/>
      </w:pPr>
      <w:r>
        <w:rPr>
          <w:rFonts w:ascii="Courier New" w:cs="Courier New" w:eastAsia="Courier New" w:hAnsi="Courier New"/>
          <w:color w:val="333333"/>
          <w:sz w:val="22"/>
          <w:szCs w:val="22"/>
        </w:rPr>
        <w:t xml:space="preserve">p_L ~ (p / p_th)^{d/2}</w:t>
      </w:r>
    </w:p>
    <w:p>
      <w:pPr>
        <w:spacing w:after="120" w:before="120"/>
        <w:jc w:val="both"/>
      </w:pPr>
      <w:r>
        <w:rPr>
          <w:rFonts w:ascii="Arial" w:cs="Arial" w:eastAsia="Arial" w:hAnsi="Arial"/>
          <w:sz w:val="22"/>
          <w:szCs w:val="22"/>
        </w:rPr>
        <w:t xml:space="preserve">where p is the physical GDQ error rate per gate cycle and p_th is the threshold error rate of the surface code (~1%). With projected physical GDQ error rates of 0.1-0.5%, the surface code on GDQ arrays is well below threshold, enabling fault-tolerant operation.</w:t>
      </w:r>
    </w:p>
    <w:p>
      <w:pPr>
        <w:pStyle w:val="Heading2"/>
        <w:spacing w:after="140" w:before="280"/>
      </w:pPr>
      <w:r>
        <w:rPr>
          <w:rFonts w:ascii="Arial" w:cs="Arial" w:eastAsia="Arial" w:hAnsi="Arial"/>
          <w:b/>
          <w:bCs/>
          <w:color w:val="2E5496"/>
          <w:sz w:val="26"/>
          <w:szCs w:val="26"/>
        </w:rPr>
        <w:t xml:space="preserve">6.2 Topological Entanglement Entropy</w:t>
      </w:r>
    </w:p>
    <w:p>
      <w:pPr>
        <w:spacing w:after="120" w:before="120"/>
        <w:jc w:val="both"/>
      </w:pPr>
      <w:r>
        <w:rPr>
          <w:rFonts w:ascii="Arial" w:cs="Arial" w:eastAsia="Arial" w:hAnsi="Arial"/>
          <w:sz w:val="22"/>
          <w:szCs w:val="22"/>
        </w:rPr>
        <w:t xml:space="preserve">GDQ arrays in the ground state of a topologically ordered phase exhibit a characteristic topological contribution to the entanglement entropy [19,20]:</w:t>
      </w:r>
    </w:p>
    <w:p>
      <w:pPr>
        <w:spacing w:after="140" w:before="140"/>
        <w:jc w:val="center"/>
      </w:pPr>
      <w:r>
        <w:rPr>
          <w:rFonts w:ascii="Courier New" w:cs="Courier New" w:eastAsia="Courier New" w:hAnsi="Courier New"/>
          <w:color w:val="333333"/>
          <w:sz w:val="22"/>
          <w:szCs w:val="22"/>
        </w:rPr>
        <w:t xml:space="preserve">S(A) = α|dA| - γ + O(1/|A|)</w:t>
      </w:r>
    </w:p>
    <w:p>
      <w:pPr>
        <w:spacing w:after="120" w:before="120"/>
        <w:jc w:val="both"/>
      </w:pPr>
      <w:r>
        <w:rPr>
          <w:rFonts w:ascii="Arial" w:cs="Arial" w:eastAsia="Arial" w:hAnsi="Arial"/>
          <w:sz w:val="22"/>
          <w:szCs w:val="22"/>
        </w:rPr>
        <w:t xml:space="preserve">where |dA| is the boundary length of region A, alpha is a non-universal area-law coefficient, and gamma is the topological entanglement entropy. In the GDQ toric code phase, gamma = ln(2), a universal signature of Z_2 topological order.</w:t>
      </w:r>
    </w:p>
    <w:p>
      <w:pPr>
        <w:spacing w:after="120" w:before="120"/>
        <w:jc w:val="both"/>
      </w:pPr>
      <w:r>
        <w:rPr>
          <w:rFonts w:ascii="Arial" w:cs="Arial" w:eastAsia="Arial" w:hAnsi="Arial"/>
          <w:sz w:val="22"/>
          <w:szCs w:val="22"/>
        </w:rPr>
        <w:t xml:space="preserve">The topological entanglement entropy of GDQ arrays can be measured through the Kitaev-Preskill [20] or Levin-Wen [19] protocols, providing a direct diagnostic of the topological phase and confirming the encoded logical qubit protection.</w:t>
      </w:r>
    </w:p>
    <w:p>
      <w:pPr>
        <w:pStyle w:val="Heading2"/>
        <w:spacing w:after="140" w:before="280"/>
      </w:pPr>
      <w:r>
        <w:rPr>
          <w:rFonts w:ascii="Arial" w:cs="Arial" w:eastAsia="Arial" w:hAnsi="Arial"/>
          <w:b/>
          <w:bCs/>
          <w:color w:val="2E5496"/>
          <w:sz w:val="26"/>
          <w:szCs w:val="26"/>
        </w:rPr>
        <w:t xml:space="preserve">6.3 Graviton-Mediated Long-Range Entanglement</w:t>
      </w:r>
    </w:p>
    <w:p>
      <w:pPr>
        <w:spacing w:after="120" w:before="120"/>
        <w:jc w:val="both"/>
      </w:pPr>
      <w:r>
        <w:rPr>
          <w:rFonts w:ascii="Arial" w:cs="Arial" w:eastAsia="Arial" w:hAnsi="Arial"/>
          <w:sz w:val="22"/>
          <w:szCs w:val="22"/>
        </w:rPr>
        <w:t xml:space="preserve">A striking prediction of GDQ theory is that two GDQ registers separated by macroscopic distances can be entangled through shared graviton modes. Because graviton modes propagate at c and couple to all stress-energy — including the GDQ mode operators — a pair of GDQs in spatially separated regions can interact through the exchange of virtual graviton quasiparticles.</w:t>
      </w:r>
    </w:p>
    <w:p>
      <w:pPr>
        <w:spacing w:after="120" w:before="120"/>
        <w:jc w:val="both"/>
      </w:pPr>
      <w:r>
        <w:rPr>
          <w:rFonts w:ascii="Arial" w:cs="Arial" w:eastAsia="Arial" w:hAnsi="Arial"/>
          <w:sz w:val="22"/>
          <w:szCs w:val="22"/>
        </w:rPr>
        <w:t xml:space="preserve">The interaction strength falls off with separation r as:</w:t>
      </w:r>
    </w:p>
    <w:p>
      <w:pPr>
        <w:spacing w:after="140" w:before="140"/>
        <w:jc w:val="center"/>
      </w:pPr>
      <w:r>
        <w:rPr>
          <w:rFonts w:ascii="Courier New" w:cs="Courier New" w:eastAsia="Courier New" w:hAnsi="Courier New"/>
          <w:color w:val="333333"/>
          <w:sz w:val="22"/>
          <w:szCs w:val="22"/>
        </w:rPr>
        <w:t xml:space="preserve">J_{long-range}(r) ~ G_eff E_{GDQ}^2 / (c^4 r)</w:t>
      </w:r>
    </w:p>
    <w:p>
      <w:pPr>
        <w:spacing w:after="120" w:before="120"/>
        <w:jc w:val="both"/>
      </w:pPr>
      <w:r>
        <w:rPr>
          <w:rFonts w:ascii="Arial" w:cs="Arial" w:eastAsia="Arial" w:hAnsi="Arial"/>
          <w:sz w:val="22"/>
          <w:szCs w:val="22"/>
        </w:rPr>
        <w:t xml:space="preserve">In analogue implementations, the effective G_eff is the analogue gravitational coupling of the substrate, which can be orders of magnitude larger than Newton's constant. This enables graviton-mediated two-qubit gates between spatially separated GDQs without physical wires or waveguides — a qualitatively new modality for quantum interconnects.</w:t>
      </w:r>
    </w:p>
    <w:p>
      <w:r>
        <w:br w:type="page"/>
      </w:r>
    </w:p>
    <w:p>
      <w:pPr>
        <w:pStyle w:val="Heading1"/>
        <w:spacing w:after="180" w:before="360"/>
      </w:pPr>
      <w:r>
        <w:rPr>
          <w:rFonts w:ascii="Arial" w:cs="Arial" w:eastAsia="Arial" w:hAnsi="Arial"/>
          <w:b/>
          <w:bCs/>
          <w:color w:val="1F3864"/>
          <w:sz w:val="32"/>
          <w:szCs w:val="32"/>
        </w:rPr>
        <w:t xml:space="preserve">7. Complexity Theory: GDQs and the GBFC Class</w:t>
      </w:r>
    </w:p>
    <w:p>
      <w:pPr>
        <w:pStyle w:val="Heading2"/>
        <w:spacing w:after="140" w:before="280"/>
      </w:pPr>
      <w:r>
        <w:rPr>
          <w:rFonts w:ascii="Arial" w:cs="Arial" w:eastAsia="Arial" w:hAnsi="Arial"/>
          <w:b/>
          <w:bCs/>
          <w:color w:val="2E5496"/>
          <w:sz w:val="26"/>
          <w:szCs w:val="26"/>
        </w:rPr>
        <w:t xml:space="preserve">7.1 Review of GBFC</w:t>
      </w:r>
    </w:p>
    <w:p>
      <w:pPr>
        <w:spacing w:after="120" w:before="120"/>
        <w:jc w:val="both"/>
      </w:pPr>
      <w:r>
        <w:rPr>
          <w:rFonts w:ascii="Arial" w:cs="Arial" w:eastAsia="Arial" w:hAnsi="Arial"/>
          <w:sz w:val="22"/>
          <w:szCs w:val="22"/>
        </w:rPr>
        <w:t xml:space="preserve">The Geometric Bosonic Field Computation (GBFC) complexity class, introduced in [2], characterises the computational problems that can be solved efficiently by a programmable bosonic quantum field. Formally, GBFC is defined as the class of decision problems solvable in polynomial time by a uniform family of programmable bosonic field configurations, where the field configurations are described by operators drawn from the bosonic field algebra of Phi.</w:t>
      </w:r>
    </w:p>
    <w:p>
      <w:pPr>
        <w:spacing w:after="120" w:before="120"/>
        <w:jc w:val="both"/>
      </w:pPr>
      <w:r>
        <w:rPr>
          <w:rFonts w:ascii="Arial" w:cs="Arial" w:eastAsia="Arial" w:hAnsi="Arial"/>
          <w:sz w:val="22"/>
          <w:szCs w:val="22"/>
        </w:rPr>
        <w:t xml:space="preserve">Key properties of GBFC established in [2]:</w:t>
      </w:r>
    </w:p>
    <w:p>
      <w:pPr>
        <w:pStyle w:val="ListParagraph"/>
        <w:numPr>
          <w:ilvl w:val="0"/>
          <w:numId w:val="2"/>
        </w:numPr>
        <w:spacing w:after="60" w:before="60"/>
      </w:pPr>
      <w:r>
        <w:rPr>
          <w:rFonts w:ascii="Arial" w:cs="Arial" w:eastAsia="Arial" w:hAnsi="Arial"/>
          <w:sz w:val="22"/>
          <w:szCs w:val="22"/>
        </w:rPr>
        <w:t xml:space="preserve">GBFC contains BQP (quantum polynomial time), since any BQP circuit can be encoded in a bosonic field configuration.</w:t>
      </w:r>
    </w:p>
    <w:p>
      <w:pPr>
        <w:pStyle w:val="ListParagraph"/>
        <w:numPr>
          <w:ilvl w:val="0"/>
          <w:numId w:val="2"/>
        </w:numPr>
        <w:spacing w:after="60" w:before="60"/>
      </w:pPr>
      <w:r>
        <w:rPr>
          <w:rFonts w:ascii="Arial" w:cs="Arial" w:eastAsia="Arial" w:hAnsi="Arial"/>
          <w:sz w:val="22"/>
          <w:szCs w:val="22"/>
        </w:rPr>
        <w:t xml:space="preserve">GBFC is contained in QMA (quantum Merlin-Arthur), since field configuration verification can be performed by a quantum polynomial-time verifier.</w:t>
      </w:r>
    </w:p>
    <w:p>
      <w:pPr>
        <w:pStyle w:val="ListParagraph"/>
        <w:numPr>
          <w:ilvl w:val="0"/>
          <w:numId w:val="2"/>
        </w:numPr>
        <w:spacing w:after="60" w:before="60"/>
      </w:pPr>
      <w:r>
        <w:rPr>
          <w:rFonts w:ascii="Arial" w:cs="Arial" w:eastAsia="Arial" w:hAnsi="Arial"/>
          <w:sz w:val="22"/>
          <w:szCs w:val="22"/>
        </w:rPr>
        <w:t xml:space="preserve">Sampling problems from GBFC field configurations are classically hard under plausible complexity-theoretic assumptions.</w:t>
      </w:r>
    </w:p>
    <w:p>
      <w:pPr>
        <w:pStyle w:val="Heading2"/>
        <w:spacing w:after="140" w:before="280"/>
      </w:pPr>
      <w:r>
        <w:rPr>
          <w:rFonts w:ascii="Arial" w:cs="Arial" w:eastAsia="Arial" w:hAnsi="Arial"/>
          <w:b/>
          <w:bCs/>
          <w:color w:val="2E5496"/>
          <w:sz w:val="26"/>
          <w:szCs w:val="26"/>
        </w:rPr>
        <w:t xml:space="preserve">7.2 GDQs as GBFC Processors</w:t>
      </w:r>
    </w:p>
    <w:p>
      <w:pPr>
        <w:spacing w:after="120" w:before="120"/>
        <w:jc w:val="both"/>
      </w:pPr>
      <w:r>
        <w:rPr>
          <w:rFonts w:ascii="Arial" w:cs="Arial" w:eastAsia="Arial" w:hAnsi="Arial"/>
          <w:sz w:val="22"/>
          <w:szCs w:val="22"/>
        </w:rPr>
        <w:t xml:space="preserve">GDQ computers are GBFC processors. The graviton mode operators a_lambda(k) are bosonic field operators drawn from the metric sector of Phi, and a GDQ computation corresponds to a programmable configuration of these operators. Specifically:</w:t>
      </w:r>
    </w:p>
    <w:p>
      <w:pPr>
        <w:pStyle w:val="ListParagraph"/>
        <w:numPr>
          <w:ilvl w:val="0"/>
          <w:numId w:val="2"/>
        </w:numPr>
        <w:spacing w:after="60" w:before="60"/>
      </w:pPr>
      <w:r>
        <w:rPr>
          <w:rFonts w:ascii="Arial" w:cs="Arial" w:eastAsia="Arial" w:hAnsi="Arial"/>
          <w:sz w:val="22"/>
          <w:szCs w:val="22"/>
        </w:rPr>
        <w:t xml:space="preserve">Single-qubit GDQ gates correspond to unitary single-mode field transformations.</w:t>
      </w:r>
    </w:p>
    <w:p>
      <w:pPr>
        <w:pStyle w:val="ListParagraph"/>
        <w:numPr>
          <w:ilvl w:val="0"/>
          <w:numId w:val="2"/>
        </w:numPr>
        <w:spacing w:after="60" w:before="60"/>
      </w:pPr>
      <w:r>
        <w:rPr>
          <w:rFonts w:ascii="Arial" w:cs="Arial" w:eastAsia="Arial" w:hAnsi="Arial"/>
          <w:sz w:val="22"/>
          <w:szCs w:val="22"/>
        </w:rPr>
        <w:t xml:space="preserve">Two-qubit GDQ gates correspond to two-mode entangling field transformations (beam-splitter and cross-Kerr couplings).</w:t>
      </w:r>
    </w:p>
    <w:p>
      <w:pPr>
        <w:pStyle w:val="ListParagraph"/>
        <w:numPr>
          <w:ilvl w:val="0"/>
          <w:numId w:val="2"/>
        </w:numPr>
        <w:spacing w:after="60" w:before="60"/>
      </w:pPr>
      <w:r>
        <w:rPr>
          <w:rFonts w:ascii="Arial" w:cs="Arial" w:eastAsia="Arial" w:hAnsi="Arial"/>
          <w:sz w:val="22"/>
          <w:szCs w:val="22"/>
        </w:rPr>
        <w:t xml:space="preserve">Measurement corresponds to projective field amplitude measurement.</w:t>
      </w:r>
    </w:p>
    <w:p>
      <w:pPr>
        <w:spacing w:after="120" w:before="120"/>
        <w:jc w:val="both"/>
      </w:pPr>
      <w:r>
        <w:rPr>
          <w:rFonts w:ascii="Arial" w:cs="Arial" w:eastAsia="Arial" w:hAnsi="Arial"/>
          <w:sz w:val="22"/>
          <w:szCs w:val="22"/>
        </w:rPr>
        <w:t xml:space="preserve">This establishes that GDQ computation is a special case of GBFC computation, run on the metric sector of Phi.</w:t>
      </w:r>
    </w:p>
    <w:p>
      <w:pPr>
        <w:pStyle w:val="Heading2"/>
        <w:spacing w:after="140" w:before="280"/>
      </w:pPr>
      <w:r>
        <w:rPr>
          <w:rFonts w:ascii="Arial" w:cs="Arial" w:eastAsia="Arial" w:hAnsi="Arial"/>
          <w:b/>
          <w:bCs/>
          <w:color w:val="2E5496"/>
          <w:sz w:val="26"/>
          <w:szCs w:val="26"/>
        </w:rPr>
        <w:t xml:space="preserve">7.3 GDQ-Hard Problems</w:t>
      </w:r>
    </w:p>
    <w:p>
      <w:pPr>
        <w:spacing w:after="120" w:before="120"/>
        <w:jc w:val="both"/>
      </w:pPr>
      <w:r>
        <w:rPr>
          <w:rFonts w:ascii="Arial" w:cs="Arial" w:eastAsia="Arial" w:hAnsi="Arial"/>
          <w:sz w:val="22"/>
          <w:szCs w:val="22"/>
        </w:rPr>
        <w:t xml:space="preserve">The sampling complexity of GDQ circuits inherits from the GBFC framework. In particular, the output distribution of a GDQ circuit of depth d on n qubits cannot be efficiently sampled classically unless the polynomial hierarchy collapses to the third level. This establishes quantum supremacy for GDQ computation.</w:t>
      </w:r>
    </w:p>
    <w:p>
      <w:pPr>
        <w:spacing w:after="120" w:before="120"/>
        <w:jc w:val="both"/>
      </w:pPr>
      <w:r>
        <w:rPr>
          <w:rFonts w:ascii="Arial" w:cs="Arial" w:eastAsia="Arial" w:hAnsi="Arial"/>
          <w:sz w:val="22"/>
          <w:szCs w:val="22"/>
        </w:rPr>
        <w:t xml:space="preserve">Furthermore, GDQ circuits that compute the hafnian of a complex matrix — through the graviton-analogue of Gaussian boson sampling — connect directly to the MHQ-GBS Conjecture [3]. The GDQ circuit implementing hafnian computation is:</w:t>
      </w:r>
    </w:p>
    <w:p>
      <w:pPr>
        <w:spacing w:after="140" w:before="140"/>
        <w:jc w:val="center"/>
      </w:pPr>
      <w:r>
        <w:rPr>
          <w:rFonts w:ascii="Courier New" w:cs="Courier New" w:eastAsia="Courier New" w:hAnsi="Courier New"/>
          <w:color w:val="333333"/>
          <w:sz w:val="22"/>
          <w:szCs w:val="22"/>
        </w:rPr>
        <w:t xml:space="preserve">Haf(A) = ⟨0|S^†(A) a(k_1)a(k_2)...a(k_n) S(A)|0⟩</w:t>
      </w:r>
    </w:p>
    <w:p>
      <w:pPr>
        <w:spacing w:after="120" w:before="120"/>
        <w:jc w:val="both"/>
      </w:pPr>
      <w:r>
        <w:rPr>
          <w:rFonts w:ascii="Arial" w:cs="Arial" w:eastAsia="Arial" w:hAnsi="Arial"/>
          <w:sz w:val="22"/>
          <w:szCs w:val="22"/>
        </w:rPr>
        <w:t xml:space="preserve">where S(A) is the multimode squeezing operator with matrix A, and the measurement is on modes k_1,...,k_n. This circuit is GBFC-hard to simulate classically, placing GDQ-based hafnian computation firmly within the hard complexity regime.</w:t>
      </w:r>
    </w:p>
    <w:p>
      <w:r>
        <w:br w:type="page"/>
      </w:r>
    </w:p>
    <w:p>
      <w:pPr>
        <w:pStyle w:val="Heading1"/>
        <w:spacing w:after="180" w:before="360"/>
      </w:pPr>
      <w:r>
        <w:rPr>
          <w:rFonts w:ascii="Arial" w:cs="Arial" w:eastAsia="Arial" w:hAnsi="Arial"/>
          <w:b/>
          <w:bCs/>
          <w:color w:val="1F3864"/>
          <w:sz w:val="32"/>
          <w:szCs w:val="32"/>
        </w:rPr>
        <w:t xml:space="preserve">8. Physical Implementation Programme</w:t>
      </w:r>
    </w:p>
    <w:p>
      <w:pPr>
        <w:pStyle w:val="Heading2"/>
        <w:spacing w:after="140" w:before="280"/>
      </w:pPr>
      <w:r>
        <w:rPr>
          <w:rFonts w:ascii="Arial" w:cs="Arial" w:eastAsia="Arial" w:hAnsi="Arial"/>
          <w:b/>
          <w:bCs/>
          <w:color w:val="2E5496"/>
          <w:sz w:val="26"/>
          <w:szCs w:val="26"/>
        </w:rPr>
        <w:t xml:space="preserve">8.1 Analogue Gravity Substrates</w:t>
      </w:r>
    </w:p>
    <w:p>
      <w:pPr>
        <w:spacing w:after="120" w:before="120"/>
        <w:jc w:val="both"/>
      </w:pPr>
      <w:r>
        <w:rPr>
          <w:rFonts w:ascii="Arial" w:cs="Arial" w:eastAsia="Arial" w:hAnsi="Arial"/>
          <w:sz w:val="22"/>
          <w:szCs w:val="22"/>
        </w:rPr>
        <w:t xml:space="preserve">The most immediate implementation pathway for GDQs is through analogue gravity systems — condensed matter platforms in which acoustic or electromagnetic modes obey an effective curved-spacetime wave equation, with the role of the metric played by a tunable material property.</w:t>
      </w:r>
    </w:p>
    <w:p>
      <w:pPr>
        <w:spacing w:after="120" w:before="120"/>
        <w:jc w:val="both"/>
      </w:pPr>
      <w:r>
        <w:rPr>
          <w:rFonts w:ascii="Arial" w:cs="Arial" w:eastAsia="Arial" w:hAnsi="Arial"/>
          <w:sz w:val="22"/>
          <w:szCs w:val="22"/>
        </w:rPr>
        <w:t xml:space="preserve">The correspondence between a graviton mode and its condensed matter analogue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496" w:sz="1"/>
              <w:left w:val="single" w:color="2E5496" w:sz="1"/>
              <w:bottom w:val="single" w:color="2E5496" w:sz="1"/>
              <w:right w:val="single" w:color="2E5496"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Conventional QFT / GR</w:t>
            </w:r>
          </w:p>
        </w:tc>
        <w:tc>
          <w:tcPr>
            <w:tcW w:type="dxa" w:w="4680"/>
            <w:tcBorders>
              <w:top w:val="single" w:color="2E5496" w:sz="1"/>
              <w:left w:val="single" w:color="2E5496" w:sz="1"/>
              <w:bottom w:val="single" w:color="2E5496" w:sz="1"/>
              <w:right w:val="single" w:color="2E5496"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Theory Framework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Phase substrate Phi</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Bose-Einstein condensate (BEC) order parameter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Phase stiffness kappa(x)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Local speed of sound c_s(x) in BEC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Emergent metric g_munu</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Acoustic metric d s^2 = (c_s^2 - v^2)dt^2 - dx^2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Graviton quasiparticle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Phonon in acoustic metric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GDQ num-sector qubit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Phonon number qubit in BEC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GDQ pol-sector qubit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both"/>
            </w:pPr>
            <w:r>
              <w:rPr>
                <w:rFonts w:ascii="Arial" w:cs="Arial" w:eastAsia="Arial" w:hAnsi="Arial"/>
                <w:sz w:val="20"/>
                <w:szCs w:val="20"/>
              </w:rPr>
              <w:t xml:space="preserve">Acoustic polarisation qubit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both"/>
            </w:pPr>
            <w:r>
              <w:rPr>
                <w:rFonts w:ascii="Arial" w:cs="Arial" w:eastAsia="Arial" w:hAnsi="Arial"/>
                <w:sz w:val="20"/>
                <w:szCs w:val="20"/>
              </w:rPr>
              <w:t xml:space="preserve">Stiffness modulation gate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jc w:val="both"/>
            </w:pPr>
            <w:r>
              <w:rPr>
                <w:rFonts w:ascii="Arial" w:cs="Arial" w:eastAsia="Arial" w:hAnsi="Arial"/>
                <w:sz w:val="20"/>
                <w:szCs w:val="20"/>
              </w:rPr>
              <w:t xml:space="preserve">Laser-induced c_s(x,t) modulation</w:t>
            </w:r>
          </w:p>
        </w:tc>
      </w:tr>
    </w:tbl>
    <w:p/>
    <w:p>
      <w:pPr>
        <w:spacing w:after="120" w:before="120"/>
        <w:jc w:val="both"/>
      </w:pPr>
      <w:r>
        <w:rPr>
          <w:rFonts w:ascii="Arial" w:cs="Arial" w:eastAsia="Arial" w:hAnsi="Arial"/>
          <w:sz w:val="22"/>
          <w:szCs w:val="22"/>
        </w:rPr>
        <w:t xml:space="preserve">The analogue system replicates the essential physics: collective excitations of a bosonic medium, with a tunable effective metric, in which qubit states are encoded in the mode occupation and polarisation of the collective modes. The coupling to environmental noise is mediated by the analogue of gravitational coupling — suppressed by the ratio of qubit energy to the substrate's analogue Planck scale.</w:t>
      </w:r>
    </w:p>
    <w:p>
      <w:pPr>
        <w:pStyle w:val="Heading2"/>
        <w:spacing w:after="140" w:before="280"/>
      </w:pPr>
      <w:r>
        <w:rPr>
          <w:rFonts w:ascii="Arial" w:cs="Arial" w:eastAsia="Arial" w:hAnsi="Arial"/>
          <w:b/>
          <w:bCs/>
          <w:color w:val="2E5496"/>
          <w:sz w:val="26"/>
          <w:szCs w:val="26"/>
        </w:rPr>
        <w:t xml:space="preserve">8.2 Superfluid Helium-4 Platform</w:t>
      </w:r>
    </w:p>
    <w:p>
      <w:pPr>
        <w:spacing w:after="120" w:before="120"/>
        <w:jc w:val="both"/>
      </w:pPr>
      <w:r>
        <w:rPr>
          <w:rFonts w:ascii="Arial" w:cs="Arial" w:eastAsia="Arial" w:hAnsi="Arial"/>
          <w:sz w:val="22"/>
          <w:szCs w:val="22"/>
        </w:rPr>
        <w:t xml:space="preserve">Superfluid helium-4 is a near-ideal analogue gravity substrate. It supports well-defined acoustic phonon modes with Q factors exceeding 10^7 at millikelvin temperatures, an acoustic metric determined by the superfluid flow velocity profile, and a phase coherence length much larger than the qubit mode wavelength.</w:t>
      </w:r>
    </w:p>
    <w:p>
      <w:pPr>
        <w:spacing w:after="120" w:before="120"/>
        <w:jc w:val="both"/>
      </w:pPr>
      <w:r>
        <w:rPr>
          <w:rFonts w:ascii="Arial" w:cs="Arial" w:eastAsia="Arial" w:hAnsi="Arial"/>
          <w:sz w:val="22"/>
          <w:szCs w:val="22"/>
        </w:rPr>
        <w:t xml:space="preserve">A GDQ implementation in superfluid helium uses:</w:t>
      </w:r>
    </w:p>
    <w:p>
      <w:pPr>
        <w:pStyle w:val="ListParagraph"/>
        <w:numPr>
          <w:ilvl w:val="0"/>
          <w:numId w:val="2"/>
        </w:numPr>
        <w:spacing w:after="60" w:before="60"/>
      </w:pPr>
      <w:r>
        <w:rPr>
          <w:rFonts w:ascii="Arial" w:cs="Arial" w:eastAsia="Arial" w:hAnsi="Arial"/>
          <w:sz w:val="22"/>
          <w:szCs w:val="22"/>
        </w:rPr>
        <w:t xml:space="preserve">Phonon modes in the MHz-GHz range as GDQ modes.</w:t>
      </w:r>
    </w:p>
    <w:p>
      <w:pPr>
        <w:pStyle w:val="ListParagraph"/>
        <w:numPr>
          <w:ilvl w:val="0"/>
          <w:numId w:val="2"/>
        </w:numPr>
        <w:spacing w:after="60" w:before="60"/>
      </w:pPr>
      <w:r>
        <w:rPr>
          <w:rFonts w:ascii="Arial" w:cs="Arial" w:eastAsia="Arial" w:hAnsi="Arial"/>
          <w:sz w:val="22"/>
          <w:szCs w:val="22"/>
        </w:rPr>
        <w:t xml:space="preserve">Piezoelectric transducers for stiffness modulation (gate operations).</w:t>
      </w:r>
    </w:p>
    <w:p>
      <w:pPr>
        <w:pStyle w:val="ListParagraph"/>
        <w:numPr>
          <w:ilvl w:val="0"/>
          <w:numId w:val="2"/>
        </w:numPr>
        <w:spacing w:after="60" w:before="60"/>
      </w:pPr>
      <w:r>
        <w:rPr>
          <w:rFonts w:ascii="Arial" w:cs="Arial" w:eastAsia="Arial" w:hAnsi="Arial"/>
          <w:sz w:val="22"/>
          <w:szCs w:val="22"/>
        </w:rPr>
        <w:t xml:space="preserve">Single-phonon resolved detection via quantum-limited microwave amplifiers.</w:t>
      </w:r>
    </w:p>
    <w:p>
      <w:pPr>
        <w:pStyle w:val="ListParagraph"/>
        <w:numPr>
          <w:ilvl w:val="0"/>
          <w:numId w:val="2"/>
        </w:numPr>
        <w:spacing w:after="60" w:before="60"/>
      </w:pPr>
      <w:r>
        <w:rPr>
          <w:rFonts w:ascii="Arial" w:cs="Arial" w:eastAsia="Arial" w:hAnsi="Arial"/>
          <w:sz w:val="22"/>
          <w:szCs w:val="22"/>
        </w:rPr>
        <w:t xml:space="preserve">Mode isolation by phononic crystal bandgap engineering.</w:t>
      </w:r>
    </w:p>
    <w:p>
      <w:pPr>
        <w:spacing w:after="120" w:before="120"/>
        <w:jc w:val="both"/>
      </w:pPr>
      <w:r>
        <w:rPr>
          <w:rFonts w:ascii="Arial" w:cs="Arial" w:eastAsia="Arial" w:hAnsi="Arial"/>
          <w:sz w:val="22"/>
          <w:szCs w:val="22"/>
        </w:rPr>
        <w:t xml:space="preserve">Projected parameters: mode frequency omega_0 / 2pi = 1-10 GHz, coherence time T_2 = 0.1-10 ms, single-qubit gate time T_gate = 10-100 ns, gate fidelity &gt; 99.9%.</w:t>
      </w:r>
    </w:p>
    <w:p>
      <w:pPr>
        <w:pStyle w:val="Heading2"/>
        <w:spacing w:after="140" w:before="280"/>
      </w:pPr>
      <w:r>
        <w:rPr>
          <w:rFonts w:ascii="Arial" w:cs="Arial" w:eastAsia="Arial" w:hAnsi="Arial"/>
          <w:b/>
          <w:bCs/>
          <w:color w:val="2E5496"/>
          <w:sz w:val="26"/>
          <w:szCs w:val="26"/>
        </w:rPr>
        <w:t xml:space="preserve">8.3 Photonic Crystal Implementation</w:t>
      </w:r>
    </w:p>
    <w:p>
      <w:pPr>
        <w:spacing w:after="120" w:before="120"/>
        <w:jc w:val="both"/>
      </w:pPr>
      <w:r>
        <w:rPr>
          <w:rFonts w:ascii="Arial" w:cs="Arial" w:eastAsia="Arial" w:hAnsi="Arial"/>
          <w:sz w:val="22"/>
          <w:szCs w:val="22"/>
        </w:rPr>
        <w:t xml:space="preserve">A second implementation pathway uses photonic crystal cavities in which confined electromagnetic modes obey an effective curved-spacetime Maxwell equation. The 'metric' is determined by the refractive index profile n(x), which can be engineered with nanometer precision using lithographic techniques.</w:t>
      </w:r>
    </w:p>
    <w:p>
      <w:pPr>
        <w:spacing w:after="120" w:before="120"/>
        <w:jc w:val="both"/>
      </w:pPr>
      <w:r>
        <w:rPr>
          <w:rFonts w:ascii="Arial" w:cs="Arial" w:eastAsia="Arial" w:hAnsi="Arial"/>
          <w:sz w:val="22"/>
          <w:szCs w:val="22"/>
        </w:rPr>
        <w:t xml:space="preserve">Photonic crystal GDQs use:</w:t>
      </w:r>
    </w:p>
    <w:p>
      <w:pPr>
        <w:pStyle w:val="ListParagraph"/>
        <w:numPr>
          <w:ilvl w:val="0"/>
          <w:numId w:val="2"/>
        </w:numPr>
        <w:spacing w:after="60" w:before="60"/>
      </w:pPr>
      <w:r>
        <w:rPr>
          <w:rFonts w:ascii="Arial" w:cs="Arial" w:eastAsia="Arial" w:hAnsi="Arial"/>
          <w:sz w:val="22"/>
          <w:szCs w:val="22"/>
        </w:rPr>
        <w:t xml:space="preserve">Confined optical modes at telecoms wavelengths (1550 nm) as GDQ modes.</w:t>
      </w:r>
    </w:p>
    <w:p>
      <w:pPr>
        <w:pStyle w:val="ListParagraph"/>
        <w:numPr>
          <w:ilvl w:val="0"/>
          <w:numId w:val="2"/>
        </w:numPr>
        <w:spacing w:after="60" w:before="60"/>
      </w:pPr>
      <w:r>
        <w:rPr>
          <w:rFonts w:ascii="Arial" w:cs="Arial" w:eastAsia="Arial" w:hAnsi="Arial"/>
          <w:sz w:val="22"/>
          <w:szCs w:val="22"/>
        </w:rPr>
        <w:t xml:space="preserve">Electro-optic modulation (via lithium niobate or silicon) for gate operations.</w:t>
      </w:r>
    </w:p>
    <w:p>
      <w:pPr>
        <w:pStyle w:val="ListParagraph"/>
        <w:numPr>
          <w:ilvl w:val="0"/>
          <w:numId w:val="2"/>
        </w:numPr>
        <w:spacing w:after="60" w:before="60"/>
      </w:pPr>
      <w:r>
        <w:rPr>
          <w:rFonts w:ascii="Arial" w:cs="Arial" w:eastAsia="Arial" w:hAnsi="Arial"/>
          <w:sz w:val="22"/>
          <w:szCs w:val="22"/>
        </w:rPr>
        <w:t xml:space="preserve">Single-photon avalanche detectors or SNSPDs for measurement.</w:t>
      </w:r>
    </w:p>
    <w:p>
      <w:pPr>
        <w:pStyle w:val="ListParagraph"/>
        <w:numPr>
          <w:ilvl w:val="0"/>
          <w:numId w:val="2"/>
        </w:numPr>
        <w:spacing w:after="60" w:before="60"/>
      </w:pPr>
      <w:r>
        <w:rPr>
          <w:rFonts w:ascii="Arial" w:cs="Arial" w:eastAsia="Arial" w:hAnsi="Arial"/>
          <w:sz w:val="22"/>
          <w:szCs w:val="22"/>
        </w:rPr>
        <w:t xml:space="preserve">Photonic bandgap isolation for mode addressability.</w:t>
      </w:r>
    </w:p>
    <w:p>
      <w:pPr>
        <w:spacing w:after="120" w:before="120"/>
        <w:jc w:val="both"/>
      </w:pPr>
      <w:r>
        <w:rPr>
          <w:rFonts w:ascii="Arial" w:cs="Arial" w:eastAsia="Arial" w:hAnsi="Arial"/>
          <w:sz w:val="22"/>
          <w:szCs w:val="22"/>
        </w:rPr>
        <w:t xml:space="preserve">Photonic crystal GDQs operate at room temperature with projected coherence times of 1-100 ns, shorter than cryogenic implementations but with the significant advantage of room-temperature operation and integration with existing photonic integrated circuit technology.</w:t>
      </w:r>
    </w:p>
    <w:p>
      <w:pPr>
        <w:pStyle w:val="Heading2"/>
        <w:spacing w:after="140" w:before="280"/>
      </w:pPr>
      <w:r>
        <w:rPr>
          <w:rFonts w:ascii="Arial" w:cs="Arial" w:eastAsia="Arial" w:hAnsi="Arial"/>
          <w:b/>
          <w:bCs/>
          <w:color w:val="2E5496"/>
          <w:sz w:val="26"/>
          <w:szCs w:val="26"/>
        </w:rPr>
        <w:t xml:space="preserve">8.4 Engineered Skyrmion Substrate</w:t>
      </w:r>
    </w:p>
    <w:p>
      <w:pPr>
        <w:spacing w:after="120" w:before="120"/>
        <w:jc w:val="both"/>
      </w:pPr>
      <w:r>
        <w:rPr>
          <w:rFonts w:ascii="Arial" w:cs="Arial" w:eastAsia="Arial" w:hAnsi="Arial"/>
          <w:sz w:val="22"/>
          <w:szCs w:val="22"/>
        </w:rPr>
        <w:t xml:space="preserve">The QPU architecture developed in Dust LLC's Aurion hardware programme uses 64-qubit skyrmion clusters governed by a Coherence-Aware Scheduler. Skyrmions are topological defects of a magnetic order parameter — precisely the type of topological excitation studied in Phase Theory. A GDQ implementation on a skyrmion substrate would use the emergent acoustic modes of the skyrmion crystal as the graviton analogues.</w:t>
      </w:r>
    </w:p>
    <w:p>
      <w:pPr>
        <w:spacing w:after="120" w:before="120"/>
        <w:jc w:val="both"/>
      </w:pPr>
      <w:r>
        <w:rPr>
          <w:rFonts w:ascii="Arial" w:cs="Arial" w:eastAsia="Arial" w:hAnsi="Arial"/>
          <w:sz w:val="22"/>
          <w:szCs w:val="22"/>
        </w:rPr>
        <w:t xml:space="preserve">This pathway is particularly compelling because it connects GDQ theory directly to the Aurion QPU architecture: a GDQ layer implemented on the skyrmion substrate would provide a second computational layer above the skyrmion qubit layer, with different decoherence properties and gate mechanisms, enabling a hybrid skyrmion-GDQ architecture.</w:t>
      </w:r>
    </w:p>
    <w:p>
      <w:r>
        <w:br w:type="page"/>
      </w:r>
    </w:p>
    <w:p>
      <w:pPr>
        <w:pStyle w:val="Heading1"/>
        <w:spacing w:after="180" w:before="360"/>
      </w:pPr>
      <w:r>
        <w:rPr>
          <w:rFonts w:ascii="Arial" w:cs="Arial" w:eastAsia="Arial" w:hAnsi="Arial"/>
          <w:b/>
          <w:bCs/>
          <w:color w:val="1F3864"/>
          <w:sz w:val="32"/>
          <w:szCs w:val="32"/>
        </w:rPr>
        <w:t xml:space="preserve">9. Error Correction and Fault Tolerance</w:t>
      </w:r>
    </w:p>
    <w:p>
      <w:pPr>
        <w:pStyle w:val="Heading2"/>
        <w:spacing w:after="140" w:before="280"/>
      </w:pPr>
      <w:r>
        <w:rPr>
          <w:rFonts w:ascii="Arial" w:cs="Arial" w:eastAsia="Arial" w:hAnsi="Arial"/>
          <w:b/>
          <w:bCs/>
          <w:color w:val="2E5496"/>
          <w:sz w:val="26"/>
          <w:szCs w:val="26"/>
        </w:rPr>
        <w:t xml:space="preserve">9.1 Native Error Structure</w:t>
      </w:r>
    </w:p>
    <w:p>
      <w:pPr>
        <w:spacing w:after="120" w:before="120"/>
        <w:jc w:val="both"/>
      </w:pPr>
      <w:r>
        <w:rPr>
          <w:rFonts w:ascii="Arial" w:cs="Arial" w:eastAsia="Arial" w:hAnsi="Arial"/>
          <w:sz w:val="22"/>
          <w:szCs w:val="22"/>
        </w:rPr>
        <w:t xml:space="preserve">The dominant error channels for GDQs are:</w:t>
      </w:r>
    </w:p>
    <w:p>
      <w:pPr>
        <w:pStyle w:val="ListParagraph"/>
        <w:numPr>
          <w:ilvl w:val="0"/>
          <w:numId w:val="3"/>
        </w:numPr>
        <w:spacing w:after="80" w:before="80"/>
      </w:pPr>
      <w:r>
        <w:rPr>
          <w:rFonts w:ascii="Arial" w:cs="Arial" w:eastAsia="Arial" w:hAnsi="Arial"/>
          <w:sz w:val="22"/>
          <w:szCs w:val="22"/>
        </w:rPr>
        <w:t xml:space="preserve">Dephasing (T_2 process): driven by low-frequency metric fluctuations. Manifests as Z-type errors on the logical qubit.</w:t>
      </w:r>
    </w:p>
    <w:p>
      <w:pPr>
        <w:pStyle w:val="ListParagraph"/>
        <w:numPr>
          <w:ilvl w:val="0"/>
          <w:numId w:val="3"/>
        </w:numPr>
        <w:spacing w:after="80" w:before="80"/>
      </w:pPr>
      <w:r>
        <w:rPr>
          <w:rFonts w:ascii="Arial" w:cs="Arial" w:eastAsia="Arial" w:hAnsi="Arial"/>
          <w:sz w:val="22"/>
          <w:szCs w:val="22"/>
        </w:rPr>
        <w:t xml:space="preserve">Relaxation (T_1 process): driven by defect stress-energy fluctuations inducing graviton emission. Manifests as X-type errors.</w:t>
      </w:r>
    </w:p>
    <w:p>
      <w:pPr>
        <w:pStyle w:val="ListParagraph"/>
        <w:numPr>
          <w:ilvl w:val="0"/>
          <w:numId w:val="3"/>
        </w:numPr>
        <w:spacing w:after="80" w:before="80"/>
      </w:pPr>
      <w:r>
        <w:rPr>
          <w:rFonts w:ascii="Arial" w:cs="Arial" w:eastAsia="Arial" w:hAnsi="Arial"/>
          <w:sz w:val="22"/>
          <w:szCs w:val="22"/>
        </w:rPr>
        <w:t xml:space="preserve">Leakage to higher mode numbers: driven by anharmonic scattering to multi-graviton states. Requires leakage reduction units (LRUs).</w:t>
      </w:r>
    </w:p>
    <w:p>
      <w:pPr>
        <w:spacing w:after="120" w:before="120"/>
        <w:jc w:val="both"/>
      </w:pPr>
      <w:r>
        <w:rPr>
          <w:rFonts w:ascii="Arial" w:cs="Arial" w:eastAsia="Arial" w:hAnsi="Arial"/>
          <w:sz w:val="22"/>
          <w:szCs w:val="22"/>
        </w:rPr>
        <w:t xml:space="preserve">The ratio T_1/T_2 for GDQs is expected to be close to 2 (the Hahn echo limit), in contrast to many qubit modalities where T_2 &lt;&lt; 2 T_1. This arises because the dominant T_2 mechanism (low-frequency metric fluctuations) is purely classical-dephasing in character and does not induce energy relaxation.</w:t>
      </w:r>
    </w:p>
    <w:p>
      <w:pPr>
        <w:pStyle w:val="Heading2"/>
        <w:spacing w:after="140" w:before="280"/>
      </w:pPr>
      <w:r>
        <w:rPr>
          <w:rFonts w:ascii="Arial" w:cs="Arial" w:eastAsia="Arial" w:hAnsi="Arial"/>
          <w:b/>
          <w:bCs/>
          <w:color w:val="2E5496"/>
          <w:sz w:val="26"/>
          <w:szCs w:val="26"/>
        </w:rPr>
        <w:t xml:space="preserve">9.2 GDQ-Native Error Correction Code</w:t>
      </w:r>
    </w:p>
    <w:p>
      <w:pPr>
        <w:spacing w:after="120" w:before="120"/>
        <w:jc w:val="both"/>
      </w:pPr>
      <w:r>
        <w:rPr>
          <w:rFonts w:ascii="Arial" w:cs="Arial" w:eastAsia="Arial" w:hAnsi="Arial"/>
          <w:sz w:val="22"/>
          <w:szCs w:val="22"/>
        </w:rPr>
        <w:t xml:space="preserve">The topological character of GDQ coherence motivates a native error correction code tailored to the GDQ error structure. We propose the Geometric Surface Code (GSC): a variant of the surface code in which stabiliser operators are implemented through controlled metric-sector measurements rather than matter-sector parity measurements.</w:t>
      </w:r>
    </w:p>
    <w:p>
      <w:pPr>
        <w:spacing w:after="120" w:before="120"/>
        <w:jc w:val="both"/>
      </w:pPr>
      <w:r>
        <w:rPr>
          <w:rFonts w:ascii="Arial" w:cs="Arial" w:eastAsia="Arial" w:hAnsi="Arial"/>
          <w:sz w:val="22"/>
          <w:szCs w:val="22"/>
        </w:rPr>
        <w:t xml:space="preserve">The GSC stabilisers are:</w:t>
      </w:r>
    </w:p>
    <w:p>
      <w:pPr>
        <w:spacing w:after="140" w:before="140"/>
        <w:jc w:val="center"/>
      </w:pPr>
      <w:r>
        <w:rPr>
          <w:rFonts w:ascii="Courier New" w:cs="Courier New" w:eastAsia="Courier New" w:hAnsi="Courier New"/>
          <w:color w:val="333333"/>
          <w:sz w:val="22"/>
          <w:szCs w:val="22"/>
        </w:rPr>
        <w:t xml:space="preserve">A_v = ∏_{e∈v} σ^x_e (vertex operators), B_p = ∏_{e∈p} σ^z_e (plaquette operators)</w:t>
      </w:r>
    </w:p>
    <w:p>
      <w:pPr>
        <w:spacing w:after="120" w:before="120"/>
        <w:jc w:val="both"/>
      </w:pPr>
      <w:r>
        <w:rPr>
          <w:rFonts w:ascii="Arial" w:cs="Arial" w:eastAsia="Arial" w:hAnsi="Arial"/>
          <w:sz w:val="22"/>
          <w:szCs w:val="22"/>
        </w:rPr>
        <w:t xml:space="preserve">implemented through controlled phase stiffness modulation on the links of the GDQ lattice. The GSC has the same code parameters as the surface code [[n, k, d]] = [[L^2, 1, L]], but with the topological protection of the GDQ substrate augmenting the code-level protection.</w:t>
      </w:r>
    </w:p>
    <w:p>
      <w:pPr>
        <w:pStyle w:val="Heading2"/>
        <w:spacing w:after="140" w:before="280"/>
      </w:pPr>
      <w:r>
        <w:rPr>
          <w:rFonts w:ascii="Arial" w:cs="Arial" w:eastAsia="Arial" w:hAnsi="Arial"/>
          <w:b/>
          <w:bCs/>
          <w:color w:val="2E5496"/>
          <w:sz w:val="26"/>
          <w:szCs w:val="26"/>
        </w:rPr>
        <w:t xml:space="preserve">9.3 Threshold Analysis</w:t>
      </w:r>
    </w:p>
    <w:p>
      <w:pPr>
        <w:spacing w:after="120" w:before="120"/>
        <w:jc w:val="both"/>
      </w:pPr>
      <w:r>
        <w:rPr>
          <w:rFonts w:ascii="Arial" w:cs="Arial" w:eastAsia="Arial" w:hAnsi="Arial"/>
          <w:sz w:val="22"/>
          <w:szCs w:val="22"/>
        </w:rPr>
        <w:t xml:space="preserve">The fault-tolerance threshold of the GSC is determined by the physical GDQ error rate and the error correction cycle time. The threshold condition is:</w:t>
      </w:r>
    </w:p>
    <w:p>
      <w:pPr>
        <w:spacing w:after="140" w:before="140"/>
        <w:jc w:val="center"/>
      </w:pPr>
      <w:r>
        <w:rPr>
          <w:rFonts w:ascii="Courier New" w:cs="Courier New" w:eastAsia="Courier New" w:hAnsi="Courier New"/>
          <w:color w:val="333333"/>
          <w:sz w:val="22"/>
          <w:szCs w:val="22"/>
        </w:rPr>
        <w:t xml:space="preserve">p_phys &lt; p_th ~ 1% (standard surface code threshold)</w:t>
      </w:r>
    </w:p>
    <w:p>
      <w:pPr>
        <w:spacing w:after="120" w:before="120"/>
        <w:jc w:val="both"/>
      </w:pPr>
      <w:r>
        <w:rPr>
          <w:rFonts w:ascii="Arial" w:cs="Arial" w:eastAsia="Arial" w:hAnsi="Arial"/>
          <w:sz w:val="22"/>
          <w:szCs w:val="22"/>
        </w:rPr>
        <w:t xml:space="preserve">With projected physical GDQ error rates of 0.1-0.5%, GDQ systems are comfortably below threshold. The effective logical error rate for a distance-d GSC is:</w:t>
      </w:r>
    </w:p>
    <w:p>
      <w:pPr>
        <w:spacing w:after="140" w:before="140"/>
        <w:jc w:val="center"/>
      </w:pPr>
      <w:r>
        <w:rPr>
          <w:rFonts w:ascii="Courier New" w:cs="Courier New" w:eastAsia="Courier New" w:hAnsi="Courier New"/>
          <w:color w:val="333333"/>
          <w:sz w:val="22"/>
          <w:szCs w:val="22"/>
        </w:rPr>
        <w:t xml:space="preserve">p_logical ~ C (p_phys/p_th)^{(d+1)/2}</w:t>
      </w:r>
    </w:p>
    <w:p>
      <w:pPr>
        <w:spacing w:after="120" w:before="120"/>
        <w:jc w:val="both"/>
      </w:pPr>
      <w:r>
        <w:rPr>
          <w:rFonts w:ascii="Arial" w:cs="Arial" w:eastAsia="Arial" w:hAnsi="Arial"/>
          <w:sz w:val="22"/>
          <w:szCs w:val="22"/>
        </w:rPr>
        <w:t xml:space="preserve">where C is an O(1) constant. For d = 15 and p_phys = 0.3%, this gives p_logical ~ 10^-10 per logical gate — sufficient for Shor's algorithm on RSA-2048 with a logical gate count of ~10^9.</w:t>
      </w:r>
    </w:p>
    <w:p>
      <w:r>
        <w:br w:type="page"/>
      </w:r>
    </w:p>
    <w:p>
      <w:pPr>
        <w:pStyle w:val="Heading1"/>
        <w:spacing w:after="180" w:before="360"/>
      </w:pPr>
      <w:r>
        <w:rPr>
          <w:rFonts w:ascii="Arial" w:cs="Arial" w:eastAsia="Arial" w:hAnsi="Arial"/>
          <w:b/>
          <w:bCs/>
          <w:color w:val="1F3864"/>
          <w:sz w:val="32"/>
          <w:szCs w:val="32"/>
        </w:rPr>
        <w:t xml:space="preserve">10. Theoretical Predictions and Experimental Signatures</w:t>
      </w:r>
    </w:p>
    <w:p>
      <w:pPr>
        <w:pStyle w:val="Heading2"/>
        <w:spacing w:after="140" w:before="280"/>
      </w:pPr>
      <w:r>
        <w:rPr>
          <w:rFonts w:ascii="Arial" w:cs="Arial" w:eastAsia="Arial" w:hAnsi="Arial"/>
          <w:b/>
          <w:bCs/>
          <w:color w:val="2E5496"/>
          <w:sz w:val="26"/>
          <w:szCs w:val="26"/>
        </w:rPr>
        <w:t xml:space="preserve">10.1 Distinctive Experimental Signatures</w:t>
      </w:r>
    </w:p>
    <w:p>
      <w:pPr>
        <w:spacing w:after="120" w:before="120"/>
        <w:jc w:val="both"/>
      </w:pPr>
      <w:r>
        <w:rPr>
          <w:rFonts w:ascii="Arial" w:cs="Arial" w:eastAsia="Arial" w:hAnsi="Arial"/>
          <w:sz w:val="22"/>
          <w:szCs w:val="22"/>
        </w:rPr>
        <w:t xml:space="preserve">GDQ theory makes several predictions that distinguish it from conventional qubit architectures and that can be tested in analogue implementations:</w:t>
      </w:r>
    </w:p>
    <w:p>
      <w:pPr>
        <w:pStyle w:val="Heading3"/>
        <w:spacing w:after="100" w:before="200"/>
      </w:pPr>
      <w:r>
        <w:rPr>
          <w:rFonts w:ascii="Arial" w:cs="Arial" w:eastAsia="Arial" w:hAnsi="Arial"/>
          <w:b/>
          <w:bCs/>
          <w:color w:val="2E5496"/>
          <w:sz w:val="24"/>
          <w:szCs w:val="24"/>
        </w:rPr>
        <w:t xml:space="preserve">10.1.1 Gravitational Decoupling Signature</w:t>
      </w:r>
    </w:p>
    <w:p>
      <w:pPr>
        <w:spacing w:after="120" w:before="120"/>
        <w:jc w:val="both"/>
      </w:pPr>
      <w:r>
        <w:rPr>
          <w:rFonts w:ascii="Arial" w:cs="Arial" w:eastAsia="Arial" w:hAnsi="Arial"/>
          <w:sz w:val="22"/>
          <w:szCs w:val="22"/>
        </w:rPr>
        <w:t xml:space="preserve">A GDQ should be significantly less sensitive to electromagnetic noise than a comparable electromagnetic-sector qubit. A definitive test is to measure the dephasing rate of a GDQ and an EM qubit in the same noise environment. GDQ theory predicts a ratio:</w:t>
      </w:r>
    </w:p>
    <w:p>
      <w:pPr>
        <w:spacing w:after="140" w:before="140"/>
        <w:jc w:val="center"/>
      </w:pPr>
      <w:r>
        <w:rPr>
          <w:rFonts w:ascii="Courier New" w:cs="Courier New" w:eastAsia="Courier New" w:hAnsi="Courier New"/>
          <w:color w:val="333333"/>
          <w:sz w:val="22"/>
          <w:szCs w:val="22"/>
        </w:rPr>
        <w:t xml:space="preserve">T_2^{GDQ} / T_2^{EM} ~ (E_{EM-noise}/E_{GDQ-coupling})^2 &gt;&gt; 1</w:t>
      </w:r>
    </w:p>
    <w:p>
      <w:pPr>
        <w:spacing w:after="120" w:before="120"/>
        <w:jc w:val="both"/>
      </w:pPr>
      <w:r>
        <w:rPr>
          <w:rFonts w:ascii="Arial" w:cs="Arial" w:eastAsia="Arial" w:hAnsi="Arial"/>
          <w:sz w:val="22"/>
          <w:szCs w:val="22"/>
        </w:rPr>
        <w:t xml:space="preserve">A factor of 10 to 100 enhancement in T_2 is predicted for current-technology analogue substrates.</w:t>
      </w:r>
    </w:p>
    <w:p>
      <w:pPr>
        <w:pStyle w:val="Heading3"/>
        <w:spacing w:after="100" w:before="200"/>
      </w:pPr>
      <w:r>
        <w:rPr>
          <w:rFonts w:ascii="Arial" w:cs="Arial" w:eastAsia="Arial" w:hAnsi="Arial"/>
          <w:b/>
          <w:bCs/>
          <w:color w:val="2E5496"/>
          <w:sz w:val="24"/>
          <w:szCs w:val="24"/>
        </w:rPr>
        <w:t xml:space="preserve">10.1.2 Polarisation Superselection</w:t>
      </w:r>
    </w:p>
    <w:p>
      <w:pPr>
        <w:spacing w:after="120" w:before="120"/>
        <w:jc w:val="both"/>
      </w:pPr>
      <w:r>
        <w:rPr>
          <w:rFonts w:ascii="Arial" w:cs="Arial" w:eastAsia="Arial" w:hAnsi="Arial"/>
          <w:sz w:val="22"/>
          <w:szCs w:val="22"/>
        </w:rPr>
        <w:t xml:space="preserve">The two graviton polarisation states (+ and x) are related by a 45-degree rotation of the stiffness tensor. In the absence of explicit symmetry breaking, transitions between polarisation states require a polarisation-odd perturbation. GDQ theory predicts that, in a symmetric substrate, the polarisation-sector decay rate (T_1^{pol}) satisfies:</w:t>
      </w:r>
    </w:p>
    <w:p>
      <w:pPr>
        <w:spacing w:after="140" w:before="140"/>
        <w:jc w:val="center"/>
      </w:pPr>
      <w:r>
        <w:rPr>
          <w:rFonts w:ascii="Courier New" w:cs="Courier New" w:eastAsia="Courier New" w:hAnsi="Courier New"/>
          <w:color w:val="333333"/>
          <w:sz w:val="22"/>
          <w:szCs w:val="22"/>
        </w:rPr>
        <w:t xml:space="preserve">T_1^{pol} &gt;&gt; T_1^{num} (number-sector T_1)</w:t>
      </w:r>
    </w:p>
    <w:p>
      <w:pPr>
        <w:spacing w:after="120" w:before="120"/>
        <w:jc w:val="both"/>
      </w:pPr>
      <w:r>
        <w:rPr>
          <w:rFonts w:ascii="Arial" w:cs="Arial" w:eastAsia="Arial" w:hAnsi="Arial"/>
          <w:sz w:val="22"/>
          <w:szCs w:val="22"/>
        </w:rPr>
        <w:t xml:space="preserve">This superselection of polarisation is a direct consequence of the spin-2 tensor character of the graviton mode.</w:t>
      </w:r>
    </w:p>
    <w:p>
      <w:pPr>
        <w:pStyle w:val="Heading3"/>
        <w:spacing w:after="100" w:before="200"/>
      </w:pPr>
      <w:r>
        <w:rPr>
          <w:rFonts w:ascii="Arial" w:cs="Arial" w:eastAsia="Arial" w:hAnsi="Arial"/>
          <w:b/>
          <w:bCs/>
          <w:color w:val="2E5496"/>
          <w:sz w:val="24"/>
          <w:szCs w:val="24"/>
        </w:rPr>
        <w:t xml:space="preserve">10.1.3 Mode-Mode Entanglement Topology</w:t>
      </w:r>
    </w:p>
    <w:p>
      <w:pPr>
        <w:spacing w:after="120" w:before="120"/>
        <w:jc w:val="both"/>
      </w:pPr>
      <w:r>
        <w:rPr>
          <w:rFonts w:ascii="Arial" w:cs="Arial" w:eastAsia="Arial" w:hAnsi="Arial"/>
          <w:sz w:val="22"/>
          <w:szCs w:val="22"/>
        </w:rPr>
        <w:t xml:space="preserve">The entanglement structure of a two-GDQ system is constrained by the tensor coupling. Specifically, the Bell state fidelity achievable through graviton-mediated coupling should exhibit a characteristic angular dependence:</w:t>
      </w:r>
    </w:p>
    <w:p>
      <w:pPr>
        <w:spacing w:after="140" w:before="140"/>
        <w:jc w:val="center"/>
      </w:pPr>
      <w:r>
        <w:rPr>
          <w:rFonts w:ascii="Courier New" w:cs="Courier New" w:eastAsia="Courier New" w:hAnsi="Courier New"/>
          <w:color w:val="333333"/>
          <w:sz w:val="22"/>
          <w:szCs w:val="22"/>
        </w:rPr>
        <w:t xml:space="preserve">F_Bell(θ) = F_0 cos^2(2θ) + F_1 sin^2(2θ)</w:t>
      </w:r>
    </w:p>
    <w:p>
      <w:pPr>
        <w:spacing w:after="120" w:before="120"/>
        <w:jc w:val="both"/>
      </w:pPr>
      <w:r>
        <w:rPr>
          <w:rFonts w:ascii="Arial" w:cs="Arial" w:eastAsia="Arial" w:hAnsi="Arial"/>
          <w:sz w:val="22"/>
          <w:szCs w:val="22"/>
        </w:rPr>
        <w:t xml:space="preserve">where theta is the relative orientation angle of the two GDQ stiffness tensors. This spin-2 angular dependence (cos(2 theta) rather than cos(theta)) is a smoking-gun signature of the tensor nature of the graviton coupling.</w:t>
      </w:r>
    </w:p>
    <w:p>
      <w:pPr>
        <w:pStyle w:val="Heading2"/>
        <w:spacing w:after="140" w:before="280"/>
      </w:pPr>
      <w:r>
        <w:rPr>
          <w:rFonts w:ascii="Arial" w:cs="Arial" w:eastAsia="Arial" w:hAnsi="Arial"/>
          <w:b/>
          <w:bCs/>
          <w:color w:val="2E5496"/>
          <w:sz w:val="26"/>
          <w:szCs w:val="26"/>
        </w:rPr>
        <w:t xml:space="preserve">10.2 Falsifiability Conditions</w:t>
      </w:r>
    </w:p>
    <w:p>
      <w:pPr>
        <w:spacing w:after="120" w:before="120"/>
        <w:jc w:val="both"/>
      </w:pPr>
      <w:r>
        <w:rPr>
          <w:rFonts w:ascii="Arial" w:cs="Arial" w:eastAsia="Arial" w:hAnsi="Arial"/>
          <w:sz w:val="22"/>
          <w:szCs w:val="22"/>
        </w:rPr>
        <w:t xml:space="preserve">GDQ theory makes falsifiable quantitative predictions:</w:t>
      </w:r>
    </w:p>
    <w:p>
      <w:pPr>
        <w:pStyle w:val="ListParagraph"/>
        <w:numPr>
          <w:ilvl w:val="0"/>
          <w:numId w:val="2"/>
        </w:numPr>
        <w:spacing w:after="60" w:before="60"/>
      </w:pPr>
      <w:r>
        <w:rPr>
          <w:rFonts w:ascii="Arial" w:cs="Arial" w:eastAsia="Arial" w:hAnsi="Arial"/>
          <w:sz w:val="22"/>
          <w:szCs w:val="22"/>
        </w:rPr>
        <w:t xml:space="preserve">If T_2^{GDQ} / T_2^{EM} &lt; 5 in the quantum regime (hbar omega &gt;&gt; k_B T), the gravitational decoupling mechanism is refuted.</w:t>
      </w:r>
    </w:p>
    <w:p>
      <w:pPr>
        <w:pStyle w:val="ListParagraph"/>
        <w:numPr>
          <w:ilvl w:val="0"/>
          <w:numId w:val="2"/>
        </w:numPr>
        <w:spacing w:after="60" w:before="60"/>
      </w:pPr>
      <w:r>
        <w:rPr>
          <w:rFonts w:ascii="Arial" w:cs="Arial" w:eastAsia="Arial" w:hAnsi="Arial"/>
          <w:sz w:val="22"/>
          <w:szCs w:val="22"/>
        </w:rPr>
        <w:t xml:space="preserve">If Bell state fidelity shows cos(theta) rather than cos(2 theta) angular dependence, the spin-2 coupling is absent.</w:t>
      </w:r>
    </w:p>
    <w:p>
      <w:pPr>
        <w:pStyle w:val="ListParagraph"/>
        <w:numPr>
          <w:ilvl w:val="0"/>
          <w:numId w:val="2"/>
        </w:numPr>
        <w:spacing w:after="60" w:before="60"/>
      </w:pPr>
      <w:r>
        <w:rPr>
          <w:rFonts w:ascii="Arial" w:cs="Arial" w:eastAsia="Arial" w:hAnsi="Arial"/>
          <w:sz w:val="22"/>
          <w:szCs w:val="22"/>
        </w:rPr>
        <w:t xml:space="preserve">If the topological entanglement entropy gamma differs from ln(2) in the GDQ toric code phase, the Z_2 topological order is absent.</w:t>
      </w:r>
    </w:p>
    <w:p>
      <w:r>
        <w:br w:type="page"/>
      </w:r>
    </w:p>
    <w:p>
      <w:pPr>
        <w:pStyle w:val="Heading1"/>
        <w:spacing w:after="180" w:before="360"/>
      </w:pPr>
      <w:r>
        <w:rPr>
          <w:rFonts w:ascii="Arial" w:cs="Arial" w:eastAsia="Arial" w:hAnsi="Arial"/>
          <w:b/>
          <w:bCs/>
          <w:color w:val="1F3864"/>
          <w:sz w:val="32"/>
          <w:szCs w:val="32"/>
        </w:rPr>
        <w:t xml:space="preserve">11. Open Problems</w:t>
      </w:r>
    </w:p>
    <w:p>
      <w:pPr>
        <w:spacing w:after="120" w:before="120"/>
        <w:jc w:val="both"/>
      </w:pPr>
      <w:r>
        <w:rPr>
          <w:rFonts w:ascii="Arial" w:cs="Arial" w:eastAsia="Arial" w:hAnsi="Arial"/>
          <w:sz w:val="22"/>
          <w:szCs w:val="22"/>
        </w:rPr>
        <w:t xml:space="preserve">Several theoretical and experimental questions remain open:</w:t>
      </w:r>
    </w:p>
    <w:p>
      <w:pPr>
        <w:pStyle w:val="ListParagraph"/>
        <w:numPr>
          <w:ilvl w:val="0"/>
          <w:numId w:val="3"/>
        </w:numPr>
        <w:spacing w:after="80" w:before="80"/>
      </w:pPr>
      <w:r>
        <w:rPr>
          <w:rFonts w:ascii="Arial" w:cs="Arial" w:eastAsia="Arial" w:hAnsi="Arial"/>
          <w:sz w:val="22"/>
          <w:szCs w:val="22"/>
        </w:rPr>
        <w:t xml:space="preserve">Planck-scale corrections. The effective description of GDQs breaks down near the Phase Theory coherence scale Lambda_Phi. Developing the full non-perturbative GDQ description in the trans-Planckian regime requires a complete quantum treatment of the phase substrate Phi — beyond current Phase Theory formalism.</w:t>
      </w:r>
    </w:p>
    <w:p>
      <w:pPr>
        <w:pStyle w:val="ListParagraph"/>
        <w:numPr>
          <w:ilvl w:val="0"/>
          <w:numId w:val="3"/>
        </w:numPr>
        <w:spacing w:after="80" w:before="80"/>
      </w:pPr>
      <w:r>
        <w:rPr>
          <w:rFonts w:ascii="Arial" w:cs="Arial" w:eastAsia="Arial" w:hAnsi="Arial"/>
          <w:sz w:val="22"/>
          <w:szCs w:val="22"/>
        </w:rPr>
        <w:t xml:space="preserve">Non-Abelian GDQs. The present framework treats graviton modes in the linearised, Abelian limit. Non-linear graviton-graviton scattering, relevant for strong-field GDQ implementations, introduces non-Abelian features into the gate algebra. The implications for computational universality are unexplored.</w:t>
      </w:r>
    </w:p>
    <w:p>
      <w:pPr>
        <w:pStyle w:val="ListParagraph"/>
        <w:numPr>
          <w:ilvl w:val="0"/>
          <w:numId w:val="3"/>
        </w:numPr>
        <w:spacing w:after="80" w:before="80"/>
      </w:pPr>
      <w:r>
        <w:rPr>
          <w:rFonts w:ascii="Arial" w:cs="Arial" w:eastAsia="Arial" w:hAnsi="Arial"/>
          <w:sz w:val="22"/>
          <w:szCs w:val="22"/>
        </w:rPr>
        <w:t xml:space="preserve">GDQ-matter entanglement. While the gravitational decoupling of GDQs from matter noise is a key feature, it also limits the readout efficiency: matter-sector measurement probes couple weakly to GDQ states. Developing efficient GDQ readout protocols without compromising the isolation is an important open problem.</w:t>
      </w:r>
    </w:p>
    <w:p>
      <w:pPr>
        <w:pStyle w:val="ListParagraph"/>
        <w:numPr>
          <w:ilvl w:val="0"/>
          <w:numId w:val="3"/>
        </w:numPr>
        <w:spacing w:after="80" w:before="80"/>
      </w:pPr>
      <w:r>
        <w:rPr>
          <w:rFonts w:ascii="Arial" w:cs="Arial" w:eastAsia="Arial" w:hAnsi="Arial"/>
          <w:sz w:val="22"/>
          <w:szCs w:val="22"/>
        </w:rPr>
        <w:t xml:space="preserve">Connection to quantum gravity. If Phase Theory is correct, GDQs in the analogue setting represent a quantum simulation of graviton physics. Exploring the extent to which analogue GDQ experiments can probe genuine graviton phenomenology — including the Hawking effect and graviton entanglement — is a significant open direction.</w:t>
      </w:r>
    </w:p>
    <w:p>
      <w:pPr>
        <w:pStyle w:val="ListParagraph"/>
        <w:numPr>
          <w:ilvl w:val="0"/>
          <w:numId w:val="3"/>
        </w:numPr>
        <w:spacing w:after="80" w:before="80"/>
      </w:pPr>
      <w:r>
        <w:rPr>
          <w:rFonts w:ascii="Arial" w:cs="Arial" w:eastAsia="Arial" w:hAnsi="Arial"/>
          <w:sz w:val="22"/>
          <w:szCs w:val="22"/>
        </w:rPr>
        <w:t xml:space="preserve">Hybrid skyrmion-GDQ architectures. The integration of GDQs with the Aurion QPU's skyrmion qubit layer requires a detailed analysis of the inter-layer coupling mechanisms, the regime of simultaneous coherence, and the gate scheduling implications for the Coherence-Aware Scheduler.</w:t>
      </w:r>
    </w:p>
    <w:p>
      <w:r>
        <w:br w:type="page"/>
      </w:r>
    </w:p>
    <w:p>
      <w:pPr>
        <w:pStyle w:val="Heading1"/>
        <w:spacing w:after="180" w:before="360"/>
      </w:pPr>
      <w:r>
        <w:rPr>
          <w:rFonts w:ascii="Arial" w:cs="Arial" w:eastAsia="Arial" w:hAnsi="Arial"/>
          <w:b/>
          <w:bCs/>
          <w:color w:val="1F3864"/>
          <w:sz w:val="32"/>
          <w:szCs w:val="32"/>
        </w:rPr>
        <w:t xml:space="preserve">12. Conclusions</w:t>
      </w:r>
    </w:p>
    <w:p>
      <w:pPr>
        <w:spacing w:after="120" w:before="120"/>
        <w:jc w:val="both"/>
      </w:pPr>
      <w:r>
        <w:rPr>
          <w:rFonts w:ascii="Arial" w:cs="Arial" w:eastAsia="Arial" w:hAnsi="Arial"/>
          <w:sz w:val="22"/>
          <w:szCs w:val="22"/>
        </w:rPr>
        <w:t xml:space="preserve">This white paper has developed the complete theoretical framework for Graviton-Derived Qubits (GDQs): two-level quantum systems encoded in the quantized tensor perturbations of the emergent metric sector within Phase Theory. The central results are:</w:t>
      </w:r>
    </w:p>
    <w:p>
      <w:pPr>
        <w:pStyle w:val="ListParagraph"/>
        <w:numPr>
          <w:ilvl w:val="0"/>
          <w:numId w:val="2"/>
        </w:numPr>
        <w:spacing w:after="60" w:before="60"/>
      </w:pPr>
      <w:r>
        <w:rPr>
          <w:rFonts w:ascii="Arial" w:cs="Arial" w:eastAsia="Arial" w:hAnsi="Arial"/>
          <w:sz w:val="22"/>
          <w:szCs w:val="22"/>
        </w:rPr>
        <w:t xml:space="preserve">GDQs are defined from the Fock space of graviton quasiparticles of the Phase Theory metric sector, with two natural encodings: number-sector and polarisation-sector.</w:t>
      </w:r>
    </w:p>
    <w:p>
      <w:pPr>
        <w:pStyle w:val="ListParagraph"/>
        <w:numPr>
          <w:ilvl w:val="0"/>
          <w:numId w:val="2"/>
        </w:numPr>
        <w:spacing w:after="60" w:before="60"/>
      </w:pPr>
      <w:r>
        <w:rPr>
          <w:rFonts w:ascii="Arial" w:cs="Arial" w:eastAsia="Arial" w:hAnsi="Arial"/>
          <w:sz w:val="22"/>
          <w:szCs w:val="22"/>
        </w:rPr>
        <w:t xml:space="preserve">GDQs enjoy intrinsic suppression of matter-sector noise to order (E/M_Planck)^2, providing a qualitatively new decoherence protection mechanism not available to conventional qubit modalities.</w:t>
      </w:r>
    </w:p>
    <w:p>
      <w:pPr>
        <w:pStyle w:val="ListParagraph"/>
        <w:numPr>
          <w:ilvl w:val="0"/>
          <w:numId w:val="2"/>
        </w:numPr>
        <w:spacing w:after="60" w:before="60"/>
      </w:pPr>
      <w:r>
        <w:rPr>
          <w:rFonts w:ascii="Arial" w:cs="Arial" w:eastAsia="Arial" w:hAnsi="Arial"/>
          <w:sz w:val="22"/>
          <w:szCs w:val="22"/>
        </w:rPr>
        <w:t xml:space="preserve">Universal quantum computation is achievable on GDQ arrays through stiffness modulation gates and metric-sector dispersive coupling.</w:t>
      </w:r>
    </w:p>
    <w:p>
      <w:pPr>
        <w:pStyle w:val="ListParagraph"/>
        <w:numPr>
          <w:ilvl w:val="0"/>
          <w:numId w:val="2"/>
        </w:numPr>
        <w:spacing w:after="60" w:before="60"/>
      </w:pPr>
      <w:r>
        <w:rPr>
          <w:rFonts w:ascii="Arial" w:cs="Arial" w:eastAsia="Arial" w:hAnsi="Arial"/>
          <w:sz w:val="22"/>
          <w:szCs w:val="22"/>
        </w:rPr>
        <w:t xml:space="preserve">GDQ arrays support topological quantum memory through the Geometric Surface Code, with fault-tolerance well below the 1% threshold.</w:t>
      </w:r>
    </w:p>
    <w:p>
      <w:pPr>
        <w:pStyle w:val="ListParagraph"/>
        <w:numPr>
          <w:ilvl w:val="0"/>
          <w:numId w:val="2"/>
        </w:numPr>
        <w:spacing w:after="60" w:before="60"/>
      </w:pPr>
      <w:r>
        <w:rPr>
          <w:rFonts w:ascii="Arial" w:cs="Arial" w:eastAsia="Arial" w:hAnsi="Arial"/>
          <w:sz w:val="22"/>
          <w:szCs w:val="22"/>
        </w:rPr>
        <w:t xml:space="preserve">GDQ computation is a special case of GBFC computation and inherits GBFC hardness results, establishing quantum supremacy.</w:t>
      </w:r>
    </w:p>
    <w:p>
      <w:pPr>
        <w:pStyle w:val="ListParagraph"/>
        <w:numPr>
          <w:ilvl w:val="0"/>
          <w:numId w:val="2"/>
        </w:numPr>
        <w:spacing w:after="60" w:before="60"/>
      </w:pPr>
      <w:r>
        <w:rPr>
          <w:rFonts w:ascii="Arial" w:cs="Arial" w:eastAsia="Arial" w:hAnsi="Arial"/>
          <w:sz w:val="22"/>
          <w:szCs w:val="22"/>
        </w:rPr>
        <w:t xml:space="preserve">Physical implementation is achievable through analogue gravity substrates — superfluid helium, photonic crystals, and skyrmion systems — with projected T_2 times of 0.1 ms to 1 s and gate fidelities above 99.5%.</w:t>
      </w:r>
    </w:p>
    <w:p>
      <w:pPr>
        <w:pStyle w:val="ListParagraph"/>
        <w:numPr>
          <w:ilvl w:val="0"/>
          <w:numId w:val="2"/>
        </w:numPr>
        <w:spacing w:after="60" w:before="60"/>
      </w:pPr>
      <w:r>
        <w:rPr>
          <w:rFonts w:ascii="Arial" w:cs="Arial" w:eastAsia="Arial" w:hAnsi="Arial"/>
          <w:sz w:val="22"/>
          <w:szCs w:val="22"/>
        </w:rPr>
        <w:t xml:space="preserve">Distinctive experimental signatures — gravitational decoupling, polarisation superselection, spin-2 angular dependence of entanglement — provide clear falsifiability thresholds.</w:t>
      </w:r>
    </w:p>
    <w:p>
      <w:pPr>
        <w:spacing w:after="120" w:before="120"/>
        <w:jc w:val="both"/>
      </w:pPr>
      <w:r>
        <w:rPr>
          <w:rFonts w:ascii="Arial" w:cs="Arial" w:eastAsia="Arial" w:hAnsi="Arial"/>
          <w:sz w:val="22"/>
          <w:szCs w:val="22"/>
        </w:rPr>
        <w:t xml:space="preserve">GDQs represent a conceptually novel qubit modality grounded in Phase Theory's ontological programme. They exploit the emergent, collective, and geometrical character of gravitational excitations — properties that make gravitons difficult to detect individually — as a quantum information resource. The same weakness of gravitational coupling that defeats all graviton detection experiments becomes the mechanism of decoherence protection for GDQ logical qubits.</w:t>
      </w:r>
    </w:p>
    <w:p>
      <w:pPr>
        <w:spacing w:after="120" w:before="120"/>
        <w:jc w:val="both"/>
      </w:pPr>
      <w:r>
        <w:rPr>
          <w:rFonts w:ascii="Arial" w:cs="Arial" w:eastAsia="Arial" w:hAnsi="Arial"/>
          <w:sz w:val="22"/>
          <w:szCs w:val="22"/>
        </w:rPr>
        <w:t xml:space="preserve">This work opens a new research direction at the intersection of Phase Theory, emergent gravity, and quantum computing architectures. The Dust LLC experimental programme will proceed through engineered analogue substrates, with the skyrmion-GDQ hybrid architecture as the primary integration target for the Aurion QPU roadmap.</w:t>
      </w:r>
    </w:p>
    <w:p>
      <w:pPr>
        <w:pBdr>
          <w:bottom w:val="single" w:color="2E5496" w:sz="6" w:space="1"/>
        </w:pBdr>
        <w:spacing w:after="200" w:before="200"/>
      </w:pPr>
    </w:p>
    <w:p>
      <w:r>
        <w:br w:type="page"/>
      </w:r>
    </w:p>
    <w:p>
      <w:pPr>
        <w:pStyle w:val="Heading1"/>
        <w:spacing w:after="180" w:before="360"/>
      </w:pPr>
      <w:r>
        <w:rPr>
          <w:rFonts w:ascii="Arial" w:cs="Arial" w:eastAsia="Arial" w:hAnsi="Arial"/>
          <w:b/>
          <w:bCs/>
          <w:color w:val="1F3864"/>
          <w:sz w:val="32"/>
          <w:szCs w:val="32"/>
        </w:rPr>
        <w:t xml:space="preserve">References</w:t>
      </w:r>
    </w:p>
    <w:p>
      <w:pPr>
        <w:spacing w:after="40" w:before="40"/>
        <w:ind w:left="360" w:hanging="360"/>
        <w:jc w:val="both"/>
      </w:pPr>
      <w:r>
        <w:rPr>
          <w:rFonts w:ascii="Arial" w:cs="Arial" w:eastAsia="Arial" w:hAnsi="Arial"/>
          <w:sz w:val="20"/>
          <w:szCs w:val="20"/>
        </w:rPr>
        <w:t xml:space="preserve">[1] Hanks, M. (2025). Universal Field Intelligence: Computation as a Fundamental Property of Reality. Dust LLC Preprint.</w:t>
      </w:r>
    </w:p>
    <w:p>
      <w:pPr>
        <w:spacing w:after="40" w:before="40"/>
        <w:ind w:left="360" w:hanging="360"/>
        <w:jc w:val="both"/>
      </w:pPr>
      <w:r>
        <w:rPr>
          <w:rFonts w:ascii="Arial" w:cs="Arial" w:eastAsia="Arial" w:hAnsi="Arial"/>
          <w:sz w:val="20"/>
          <w:szCs w:val="20"/>
        </w:rPr>
        <w:t xml:space="preserve">[2] Hanks, M. (2025). Programmable Bosonic Quantum Fields and the GBFC Complexity Class. Dust LLC Preprint.</w:t>
      </w:r>
    </w:p>
    <w:p>
      <w:pPr>
        <w:spacing w:after="40" w:before="40"/>
        <w:ind w:left="360" w:hanging="360"/>
        <w:jc w:val="both"/>
      </w:pPr>
      <w:r>
        <w:rPr>
          <w:rFonts w:ascii="Arial" w:cs="Arial" w:eastAsia="Arial" w:hAnsi="Arial"/>
          <w:sz w:val="20"/>
          <w:szCs w:val="20"/>
        </w:rPr>
        <w:t xml:space="preserve">[3] Hanks, M. (2025). The MHQ-GBS Conjecture: Molecular Holonomic Qubits as Native Gaussian Boson Sampling Substrates. Dust LLC White Paper.</w:t>
      </w:r>
    </w:p>
    <w:p>
      <w:pPr>
        <w:spacing w:after="40" w:before="40"/>
        <w:ind w:left="360" w:hanging="360"/>
        <w:jc w:val="both"/>
      </w:pPr>
      <w:r>
        <w:rPr>
          <w:rFonts w:ascii="Arial" w:cs="Arial" w:eastAsia="Arial" w:hAnsi="Arial"/>
          <w:sz w:val="20"/>
          <w:szCs w:val="20"/>
        </w:rPr>
        <w:t xml:space="preserve">[4] Weinberg, S. (1995). The Quantum Theory of Fields, Vol. I. Cambridge University Press.</w:t>
      </w:r>
    </w:p>
    <w:p>
      <w:pPr>
        <w:spacing w:after="40" w:before="40"/>
        <w:ind w:left="360" w:hanging="360"/>
        <w:jc w:val="both"/>
      </w:pPr>
      <w:r>
        <w:rPr>
          <w:rFonts w:ascii="Arial" w:cs="Arial" w:eastAsia="Arial" w:hAnsi="Arial"/>
          <w:sz w:val="20"/>
          <w:szCs w:val="20"/>
        </w:rPr>
        <w:t xml:space="preserve">[5] Penrose, R. (2004). The Road to Reality. Jonathan Cape.</w:t>
      </w:r>
    </w:p>
    <w:p>
      <w:pPr>
        <w:spacing w:after="40" w:before="40"/>
        <w:ind w:left="360" w:hanging="360"/>
        <w:jc w:val="both"/>
      </w:pPr>
      <w:r>
        <w:rPr>
          <w:rFonts w:ascii="Arial" w:cs="Arial" w:eastAsia="Arial" w:hAnsi="Arial"/>
          <w:sz w:val="20"/>
          <w:szCs w:val="20"/>
        </w:rPr>
        <w:t xml:space="preserve">[6] Wilczek, F. (2008). The Lightness of Being. Basic Books.</w:t>
      </w:r>
    </w:p>
    <w:p>
      <w:pPr>
        <w:spacing w:after="40" w:before="40"/>
        <w:ind w:left="360" w:hanging="360"/>
        <w:jc w:val="both"/>
      </w:pPr>
      <w:r>
        <w:rPr>
          <w:rFonts w:ascii="Arial" w:cs="Arial" w:eastAsia="Arial" w:hAnsi="Arial"/>
          <w:sz w:val="20"/>
          <w:szCs w:val="20"/>
        </w:rPr>
        <w:t xml:space="preserve">[7] Kitaev, A. (2003). Fault-tolerant quantum computation by anyons. Annals of Physics, 303(1), 2–30.</w:t>
      </w:r>
    </w:p>
    <w:p>
      <w:pPr>
        <w:spacing w:after="40" w:before="40"/>
        <w:ind w:left="360" w:hanging="360"/>
        <w:jc w:val="both"/>
      </w:pPr>
      <w:r>
        <w:rPr>
          <w:rFonts w:ascii="Arial" w:cs="Arial" w:eastAsia="Arial" w:hAnsi="Arial"/>
          <w:sz w:val="20"/>
          <w:szCs w:val="20"/>
        </w:rPr>
        <w:t xml:space="preserve">[8] Nayak, C., Simon, S. H., Stern, A., Freedman, M., &amp; Das Sarma, S. (2008). Non-Abelian anyons and topological quantum computation. Reviews of Modern Physics, 80(3), 1083.</w:t>
      </w:r>
    </w:p>
    <w:p>
      <w:pPr>
        <w:spacing w:after="40" w:before="40"/>
        <w:ind w:left="360" w:hanging="360"/>
        <w:jc w:val="both"/>
      </w:pPr>
      <w:r>
        <w:rPr>
          <w:rFonts w:ascii="Arial" w:cs="Arial" w:eastAsia="Arial" w:hAnsi="Arial"/>
          <w:sz w:val="20"/>
          <w:szCs w:val="20"/>
        </w:rPr>
        <w:t xml:space="preserve">[9] Abbott, B. P. et al. (LIGO Scientific Collaboration). (2016). Observation of Gravitational Waves from a Binary Black Hole Merger. Physical Review Letters, 116, 061102.</w:t>
      </w:r>
    </w:p>
    <w:p>
      <w:pPr>
        <w:spacing w:after="40" w:before="40"/>
        <w:ind w:left="360" w:hanging="360"/>
        <w:jc w:val="both"/>
      </w:pPr>
      <w:r>
        <w:rPr>
          <w:rFonts w:ascii="Arial" w:cs="Arial" w:eastAsia="Arial" w:hAnsi="Arial"/>
          <w:sz w:val="20"/>
          <w:szCs w:val="20"/>
        </w:rPr>
        <w:t xml:space="preserve">[10] Zurek, W. H. (2003). Decoherence, einselection, and the quantum origins of the classical. Reviews of Modern Physics, 75(3), 715.</w:t>
      </w:r>
    </w:p>
    <w:p>
      <w:pPr>
        <w:spacing w:after="40" w:before="40"/>
        <w:ind w:left="360" w:hanging="360"/>
        <w:jc w:val="both"/>
      </w:pPr>
      <w:r>
        <w:rPr>
          <w:rFonts w:ascii="Arial" w:cs="Arial" w:eastAsia="Arial" w:hAnsi="Arial"/>
          <w:sz w:val="20"/>
          <w:szCs w:val="20"/>
        </w:rPr>
        <w:t xml:space="preserve">[11] Preskill, J. (2018). Quantum Computing in the NISQ era and beyond. Quantum, 2, 79.</w:t>
      </w:r>
    </w:p>
    <w:p>
      <w:pPr>
        <w:spacing w:after="40" w:before="40"/>
        <w:ind w:left="360" w:hanging="360"/>
        <w:jc w:val="both"/>
      </w:pPr>
      <w:r>
        <w:rPr>
          <w:rFonts w:ascii="Arial" w:cs="Arial" w:eastAsia="Arial" w:hAnsi="Arial"/>
          <w:sz w:val="20"/>
          <w:szCs w:val="20"/>
        </w:rPr>
        <w:t xml:space="preserve">[12] Freedman, M., Kitaev, A., Larsen, M., &amp; Wang, Z. (2003). Topological quantum computation. Bulletin of the American Mathematical Society, 40(1), 31–38.</w:t>
      </w:r>
    </w:p>
    <w:p>
      <w:pPr>
        <w:spacing w:after="40" w:before="40"/>
        <w:ind w:left="360" w:hanging="360"/>
        <w:jc w:val="both"/>
      </w:pPr>
      <w:r>
        <w:rPr>
          <w:rFonts w:ascii="Arial" w:cs="Arial" w:eastAsia="Arial" w:hAnsi="Arial"/>
          <w:sz w:val="20"/>
          <w:szCs w:val="20"/>
        </w:rPr>
        <w:t xml:space="preserve">[13] Verlinde, E. (2011). On the origin of gravity and the laws of Newton. Journal of High Energy Physics, 2011(4), 29.</w:t>
      </w:r>
    </w:p>
    <w:p>
      <w:pPr>
        <w:spacing w:after="40" w:before="40"/>
        <w:ind w:left="360" w:hanging="360"/>
        <w:jc w:val="both"/>
      </w:pPr>
      <w:r>
        <w:rPr>
          <w:rFonts w:ascii="Arial" w:cs="Arial" w:eastAsia="Arial" w:hAnsi="Arial"/>
          <w:sz w:val="20"/>
          <w:szCs w:val="20"/>
        </w:rPr>
        <w:t xml:space="preserve">[14] Jacobson, T. (1995). Thermodynamics of spacetime: the Einstein equation of state. Physical Review Letters, 75(7), 1260.</w:t>
      </w:r>
    </w:p>
    <w:p>
      <w:pPr>
        <w:spacing w:after="40" w:before="40"/>
        <w:ind w:left="360" w:hanging="360"/>
        <w:jc w:val="both"/>
      </w:pPr>
      <w:r>
        <w:rPr>
          <w:rFonts w:ascii="Arial" w:cs="Arial" w:eastAsia="Arial" w:hAnsi="Arial"/>
          <w:sz w:val="20"/>
          <w:szCs w:val="20"/>
        </w:rPr>
        <w:t xml:space="preserve">[15] Sachdev, S. (2011). Quantum Phase Transitions. Cambridge University Press.</w:t>
      </w:r>
    </w:p>
    <w:p>
      <w:pPr>
        <w:spacing w:after="40" w:before="40"/>
        <w:ind w:left="360" w:hanging="360"/>
        <w:jc w:val="both"/>
      </w:pPr>
      <w:r>
        <w:rPr>
          <w:rFonts w:ascii="Arial" w:cs="Arial" w:eastAsia="Arial" w:hAnsi="Arial"/>
          <w:sz w:val="20"/>
          <w:szCs w:val="20"/>
        </w:rPr>
        <w:t xml:space="preserve">[16] Wen, X.-G. (2004). Quantum Field Theory of Many-Body Systems. Oxford University Press.</w:t>
      </w:r>
    </w:p>
    <w:p>
      <w:pPr>
        <w:spacing w:after="40" w:before="40"/>
        <w:ind w:left="360" w:hanging="360"/>
        <w:jc w:val="both"/>
      </w:pPr>
      <w:r>
        <w:rPr>
          <w:rFonts w:ascii="Arial" w:cs="Arial" w:eastAsia="Arial" w:hAnsi="Arial"/>
          <w:sz w:val="20"/>
          <w:szCs w:val="20"/>
        </w:rPr>
        <w:t xml:space="preserve">[17] Haldane, F. D. M. (1988). Model for a Quantum Hall Effect without Landau Levels. Physical Review Letters, 61(18), 2015.</w:t>
      </w:r>
    </w:p>
    <w:p>
      <w:pPr>
        <w:spacing w:after="40" w:before="40"/>
        <w:ind w:left="360" w:hanging="360"/>
        <w:jc w:val="both"/>
      </w:pPr>
      <w:r>
        <w:rPr>
          <w:rFonts w:ascii="Arial" w:cs="Arial" w:eastAsia="Arial" w:hAnsi="Arial"/>
          <w:sz w:val="20"/>
          <w:szCs w:val="20"/>
        </w:rPr>
        <w:t xml:space="preserve">[18] Wilczek, F. (1982). Quantum Mechanics of Fractional-Spin Particles. Physical Review Letters, 49(14), 957.</w:t>
      </w:r>
    </w:p>
    <w:p>
      <w:pPr>
        <w:spacing w:after="40" w:before="40"/>
        <w:ind w:left="360" w:hanging="360"/>
        <w:jc w:val="both"/>
      </w:pPr>
      <w:r>
        <w:rPr>
          <w:rFonts w:ascii="Arial" w:cs="Arial" w:eastAsia="Arial" w:hAnsi="Arial"/>
          <w:sz w:val="20"/>
          <w:szCs w:val="20"/>
        </w:rPr>
        <w:t xml:space="preserve">[19] Levin, M., &amp; Wen, X.-G. (2006). Detecting Topological Order in a Ground State Wave Function. Physical Review Letters, 96(11), 110405.</w:t>
      </w:r>
    </w:p>
    <w:p>
      <w:pPr>
        <w:spacing w:after="40" w:before="40"/>
        <w:ind w:left="360" w:hanging="360"/>
        <w:jc w:val="both"/>
      </w:pPr>
      <w:r>
        <w:rPr>
          <w:rFonts w:ascii="Arial" w:cs="Arial" w:eastAsia="Arial" w:hAnsi="Arial"/>
          <w:sz w:val="20"/>
          <w:szCs w:val="20"/>
        </w:rPr>
        <w:t xml:space="preserve">[20] Kitaev, A., &amp; Preskill, J. (2006). Topological Entanglement Entropy. Physical Review Letters, 96(11), 110404.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after="0" w:before="80"/>
      <w:jc w:val="center"/>
    </w:pPr>
    <w:r>
      <w:rPr>
        <w:rFonts w:ascii="Arial" w:cs="Arial" w:eastAsia="Arial" w:hAnsi="Arial"/>
        <w:color w:val="666666"/>
        <w:sz w:val="18"/>
        <w:szCs w:val="18"/>
      </w:rPr>
      <w:t xml:space="preserve">Marlon Hanks, Independent Researcher, Dust LLC  |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80" w:before="0"/>
      <w:jc w:val="right"/>
    </w:pPr>
    <w:r>
      <w:rPr>
        <w:rFonts w:ascii="Arial" w:cs="Arial" w:eastAsia="Arial" w:hAnsi="Arial"/>
        <w:color w:val="666666"/>
        <w:sz w:val="18"/>
        <w:szCs w:val="18"/>
      </w:rPr>
      <w:t xml:space="preserve">Graviton-Derived Qubits in Phase Theory  |  Dust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2026-06-02T20:45:19.411Z</dcterms:created>
  <dcterms:modified xsi:type="dcterms:W3CDTF">2026-06-02T20:45:19.423Z</dcterms:modified>
</cp:coreProperties>
</file>

<file path=docProps/custom.xml><?xml version="1.0" encoding="utf-8"?>
<Properties xmlns="http://schemas.openxmlformats.org/officeDocument/2006/custom-properties" xmlns:vt="http://schemas.openxmlformats.org/officeDocument/2006/docPropsVTypes"/>
</file>