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ec4048615231ab4861747898df67d0e252e070e"/>
    <w:p>
      <w:pPr>
        <w:pStyle w:val="Heading1"/>
      </w:pPr>
      <w:r>
        <w:t xml:space="preserve">EEG Classification Analysis: HC vs FTD vs AD</w:t>
      </w:r>
    </w:p>
    <w:bookmarkStart w:id="20" w:name="Xdb3592e3e1a1cd45449413d4b0c9d34fc15484f"/>
    <w:p>
      <w:pPr>
        <w:pStyle w:val="Heading2"/>
      </w:pPr>
      <w:r>
        <w:t xml:space="preserve">Comprehensive Results Summary and Interpretation</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study analyzed EEG data to classify between Healthy Controls (HC-Class 0), Frontotemporal Dementia (FTD-Class 1), and Alzheimer’s Disease (AD-Class 2) across five brain regions (Central, Frontal, Occipital, Parietal, and Temporal) using different window sizes (4s and 6s) and overlap percentages (0% and 50%).</w:t>
      </w:r>
    </w:p>
    <w:p>
      <w:pPr>
        <w:pStyle w:val="BodyText"/>
      </w:pPr>
      <w:r>
        <w:rPr>
          <w:b/>
          <w:bCs/>
        </w:rPr>
        <w:t xml:space="preserve">Key Findings:</w:t>
      </w:r>
      <w:r>
        <w:t xml:space="preserve"> </w:t>
      </w:r>
      <w:r>
        <w:t xml:space="preserve">-</w:t>
      </w:r>
      <w:r>
        <w:t xml:space="preserve"> </w:t>
      </w:r>
      <w:r>
        <w:rPr>
          <w:b/>
          <w:bCs/>
        </w:rPr>
        <w:t xml:space="preserve">Best performing region:</w:t>
      </w:r>
      <w:r>
        <w:t xml:space="preserve"> </w:t>
      </w:r>
      <w:r>
        <w:t xml:space="preserve">Temporal lobe (F1: 0.84-0.89)</w:t>
      </w:r>
      <w:r>
        <w:t xml:space="preserve"> </w:t>
      </w:r>
      <w:r>
        <w:t xml:space="preserve">-</w:t>
      </w:r>
      <w:r>
        <w:t xml:space="preserve"> </w:t>
      </w:r>
      <w:r>
        <w:rPr>
          <w:b/>
          <w:bCs/>
        </w:rPr>
        <w:t xml:space="preserve">Most challenging region:</w:t>
      </w:r>
      <w:r>
        <w:t xml:space="preserve"> </w:t>
      </w:r>
      <w:r>
        <w:t xml:space="preserve">Occipital lobe (F1: 0.40-0.65)</w:t>
      </w:r>
      <w:r>
        <w:t xml:space="preserve"> </w:t>
      </w:r>
      <w:r>
        <w:t xml:space="preserve">-</w:t>
      </w:r>
      <w:r>
        <w:t xml:space="preserve"> </w:t>
      </w:r>
      <w:r>
        <w:rPr>
          <w:b/>
          <w:bCs/>
        </w:rPr>
        <w:t xml:space="preserve">Optimal window configuration:</w:t>
      </w:r>
      <w:r>
        <w:t xml:space="preserve"> </w:t>
      </w:r>
      <w:r>
        <w:t xml:space="preserve">Window size 4s with 0% overlap</w:t>
      </w:r>
      <w:r>
        <w:t xml:space="preserve"> </w:t>
      </w:r>
      <w:r>
        <w:t xml:space="preserve">-</w:t>
      </w:r>
      <w:r>
        <w:t xml:space="preserve"> </w:t>
      </w:r>
      <w:r>
        <w:rPr>
          <w:b/>
          <w:bCs/>
        </w:rPr>
        <w:t xml:space="preserve">Band importance:</w:t>
      </w:r>
      <w:r>
        <w:t xml:space="preserve"> </w:t>
      </w:r>
      <w:r>
        <w:t xml:space="preserve">Relatively balanced between alpha and beta bands across most regions</w:t>
      </w:r>
    </w:p>
    <w:p>
      <w:r>
        <w:pict>
          <v:rect style="width:0;height:1.5pt" o:hralign="center" o:hrstd="t" o:hr="t"/>
        </w:pict>
      </w:r>
    </w:p>
    <w:bookmarkEnd w:id="21"/>
    <w:bookmarkStart w:id="26" w:name="performance-summary-tables"/>
    <w:p>
      <w:pPr>
        <w:pStyle w:val="Heading2"/>
      </w:pPr>
      <w:r>
        <w:t xml:space="preserve">2. Performance Summary Tables</w:t>
      </w:r>
    </w:p>
    <w:bookmarkStart w:id="22" w:name="X294fd678616bae098e1891585aae3dfd55bdab2"/>
    <w:p>
      <w:pPr>
        <w:pStyle w:val="Heading3"/>
      </w:pPr>
      <w:r>
        <w:t xml:space="preserve">Table 1: HC vs FTD Classification (Class 0-1) - Window Size 4s</w:t>
      </w:r>
    </w:p>
    <w:tbl>
      <w:tblPr>
        <w:tblStyle w:val="Table"/>
        <w:tblW w:type="pct" w:w="5000"/>
        <w:jc w:val="left"/>
        <w:tblLayout w:type="fixed"/>
        <w:tblLook w:firstRow="1" w:lastRow="0" w:firstColumn="0" w:lastColumn="0" w:noHBand="0" w:noVBand="0" w:val="0020"/>
      </w:tblPr>
      <w:tblGrid>
        <w:gridCol w:w="1540"/>
        <w:gridCol w:w="990"/>
        <w:gridCol w:w="1100"/>
        <w:gridCol w:w="1100"/>
        <w:gridCol w:w="1210"/>
        <w:gridCol w:w="990"/>
        <w:gridCol w:w="990"/>
      </w:tblGrid>
      <w:tr>
        <w:trPr>
          <w:tblHeader w:val="on"/>
        </w:trPr>
        <w:tc>
          <w:tcPr/>
          <w:p>
            <w:pPr>
              <w:pStyle w:val="Compact"/>
              <w:jc w:val="left"/>
            </w:pPr>
            <w:r>
              <w:t xml:space="preserve">Brain Region</w:t>
            </w:r>
          </w:p>
        </w:tc>
        <w:tc>
          <w:tcPr/>
          <w:p>
            <w:pPr>
              <w:pStyle w:val="Compact"/>
              <w:jc w:val="left"/>
            </w:pPr>
            <w:r>
              <w:t xml:space="preserve">Overlap</w:t>
            </w:r>
          </w:p>
        </w:tc>
        <w:tc>
          <w:tcPr/>
          <w:p>
            <w:pPr>
              <w:pStyle w:val="Compact"/>
              <w:jc w:val="left"/>
            </w:pPr>
            <w:r>
              <w:t xml:space="preserve">F1 Score</w:t>
            </w:r>
          </w:p>
        </w:tc>
        <w:tc>
          <w:tcPr/>
          <w:p>
            <w:pPr>
              <w:pStyle w:val="Compact"/>
              <w:jc w:val="left"/>
            </w:pPr>
            <w:r>
              <w:t xml:space="preserve">Accuracy</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Std Dev</w:t>
            </w:r>
          </w:p>
        </w:tc>
      </w:tr>
      <w:tr>
        <w:tc>
          <w:tcPr/>
          <w:p>
            <w:pPr>
              <w:pStyle w:val="Compact"/>
              <w:jc w:val="left"/>
            </w:pPr>
            <w:r>
              <w:rPr>
                <w:b/>
                <w:bCs/>
              </w:rPr>
              <w:t xml:space="preserve">Temporal</w:t>
            </w:r>
          </w:p>
        </w:tc>
        <w:tc>
          <w:tcPr/>
          <w:p>
            <w:pPr>
              <w:pStyle w:val="Compact"/>
              <w:jc w:val="left"/>
            </w:pPr>
            <w:r>
              <w:t xml:space="preserve">0%</w:t>
            </w:r>
          </w:p>
        </w:tc>
        <w:tc>
          <w:tcPr/>
          <w:p>
            <w:pPr>
              <w:pStyle w:val="Compact"/>
              <w:jc w:val="left"/>
            </w:pPr>
            <w:r>
              <w:rPr>
                <w:b/>
                <w:bCs/>
              </w:rPr>
              <w:t xml:space="preserve">0.8614</w:t>
            </w:r>
          </w:p>
        </w:tc>
        <w:tc>
          <w:tcPr/>
          <w:p>
            <w:pPr>
              <w:pStyle w:val="Compact"/>
              <w:jc w:val="left"/>
            </w:pPr>
            <w:r>
              <w:t xml:space="preserve">0.8691</w:t>
            </w:r>
          </w:p>
        </w:tc>
        <w:tc>
          <w:tcPr/>
          <w:p>
            <w:pPr>
              <w:pStyle w:val="Compact"/>
              <w:jc w:val="left"/>
            </w:pPr>
            <w:r>
              <w:t xml:space="preserve">0.9039</w:t>
            </w:r>
          </w:p>
        </w:tc>
        <w:tc>
          <w:tcPr/>
          <w:p>
            <w:pPr>
              <w:pStyle w:val="Compact"/>
              <w:jc w:val="left"/>
            </w:pPr>
            <w:r>
              <w:t xml:space="preserve">0.8691</w:t>
            </w:r>
          </w:p>
        </w:tc>
        <w:tc>
          <w:tcPr/>
          <w:p>
            <w:pPr>
              <w:pStyle w:val="Compact"/>
              <w:jc w:val="left"/>
            </w:pPr>
            <w:r>
              <w:t xml:space="preserve">0.1013</w:t>
            </w:r>
          </w:p>
        </w:tc>
      </w:tr>
      <w:tr>
        <w:tc>
          <w:tcPr/>
          <w:p>
            <w:pPr>
              <w:pStyle w:val="Compact"/>
              <w:jc w:val="left"/>
            </w:pPr>
            <w:r>
              <w:rPr>
                <w:b/>
                <w:bCs/>
              </w:rPr>
              <w:t xml:space="preserve">Temporal</w:t>
            </w:r>
          </w:p>
        </w:tc>
        <w:tc>
          <w:tcPr/>
          <w:p>
            <w:pPr>
              <w:pStyle w:val="Compact"/>
              <w:jc w:val="left"/>
            </w:pPr>
            <w:r>
              <w:t xml:space="preserve">50%</w:t>
            </w:r>
          </w:p>
        </w:tc>
        <w:tc>
          <w:tcPr/>
          <w:p>
            <w:pPr>
              <w:pStyle w:val="Compact"/>
              <w:jc w:val="left"/>
            </w:pPr>
            <w:r>
              <w:rPr>
                <w:b/>
                <w:bCs/>
              </w:rPr>
              <w:t xml:space="preserve">0.8840</w:t>
            </w:r>
          </w:p>
        </w:tc>
        <w:tc>
          <w:tcPr/>
          <w:p>
            <w:pPr>
              <w:pStyle w:val="Compact"/>
              <w:jc w:val="left"/>
            </w:pPr>
            <w:r>
              <w:t xml:space="preserve">0.8855</w:t>
            </w:r>
          </w:p>
        </w:tc>
        <w:tc>
          <w:tcPr/>
          <w:p>
            <w:pPr>
              <w:pStyle w:val="Compact"/>
              <w:jc w:val="left"/>
            </w:pPr>
            <w:r>
              <w:t xml:space="preserve">0.9033</w:t>
            </w:r>
          </w:p>
        </w:tc>
        <w:tc>
          <w:tcPr/>
          <w:p>
            <w:pPr>
              <w:pStyle w:val="Compact"/>
              <w:jc w:val="left"/>
            </w:pPr>
            <w:r>
              <w:t xml:space="preserve">0.8855</w:t>
            </w:r>
          </w:p>
        </w:tc>
        <w:tc>
          <w:tcPr/>
          <w:p>
            <w:pPr>
              <w:pStyle w:val="Compact"/>
              <w:jc w:val="left"/>
            </w:pPr>
            <w:r>
              <w:t xml:space="preserve">0.1098</w:t>
            </w:r>
          </w:p>
        </w:tc>
      </w:tr>
      <w:tr>
        <w:tc>
          <w:tcPr/>
          <w:p>
            <w:pPr>
              <w:pStyle w:val="Compact"/>
              <w:jc w:val="left"/>
            </w:pPr>
            <w:r>
              <w:rPr>
                <w:b/>
                <w:bCs/>
              </w:rPr>
              <w:t xml:space="preserve">Parietal</w:t>
            </w:r>
          </w:p>
        </w:tc>
        <w:tc>
          <w:tcPr/>
          <w:p>
            <w:pPr>
              <w:pStyle w:val="Compact"/>
              <w:jc w:val="left"/>
            </w:pPr>
            <w:r>
              <w:t xml:space="preserve">0%</w:t>
            </w:r>
          </w:p>
        </w:tc>
        <w:tc>
          <w:tcPr/>
          <w:p>
            <w:pPr>
              <w:pStyle w:val="Compact"/>
              <w:jc w:val="left"/>
            </w:pPr>
            <w:r>
              <w:rPr>
                <w:b/>
                <w:bCs/>
              </w:rPr>
              <w:t xml:space="preserve">0.8461</w:t>
            </w:r>
          </w:p>
        </w:tc>
        <w:tc>
          <w:tcPr/>
          <w:p>
            <w:pPr>
              <w:pStyle w:val="Compact"/>
              <w:jc w:val="left"/>
            </w:pPr>
            <w:r>
              <w:t xml:space="preserve">0.8473</w:t>
            </w:r>
          </w:p>
        </w:tc>
        <w:tc>
          <w:tcPr/>
          <w:p>
            <w:pPr>
              <w:pStyle w:val="Compact"/>
              <w:jc w:val="left"/>
            </w:pPr>
            <w:r>
              <w:t xml:space="preserve">0.8814</w:t>
            </w:r>
          </w:p>
        </w:tc>
        <w:tc>
          <w:tcPr/>
          <w:p>
            <w:pPr>
              <w:pStyle w:val="Compact"/>
              <w:jc w:val="left"/>
            </w:pPr>
            <w:r>
              <w:t xml:space="preserve">0.8473</w:t>
            </w:r>
          </w:p>
        </w:tc>
        <w:tc>
          <w:tcPr/>
          <w:p>
            <w:pPr>
              <w:pStyle w:val="Compact"/>
              <w:jc w:val="left"/>
            </w:pPr>
            <w:r>
              <w:t xml:space="preserve">0.0773</w:t>
            </w:r>
          </w:p>
        </w:tc>
      </w:tr>
      <w:tr>
        <w:tc>
          <w:tcPr/>
          <w:p>
            <w:pPr>
              <w:pStyle w:val="Compact"/>
              <w:jc w:val="left"/>
            </w:pPr>
            <w:r>
              <w:rPr>
                <w:b/>
                <w:bCs/>
              </w:rPr>
              <w:t xml:space="preserve">Parietal</w:t>
            </w:r>
          </w:p>
        </w:tc>
        <w:tc>
          <w:tcPr/>
          <w:p>
            <w:pPr>
              <w:pStyle w:val="Compact"/>
              <w:jc w:val="left"/>
            </w:pPr>
            <w:r>
              <w:t xml:space="preserve">50%</w:t>
            </w:r>
          </w:p>
        </w:tc>
        <w:tc>
          <w:tcPr/>
          <w:p>
            <w:pPr>
              <w:pStyle w:val="Compact"/>
              <w:jc w:val="left"/>
            </w:pPr>
            <w:r>
              <w:t xml:space="preserve">0.7683</w:t>
            </w:r>
          </w:p>
        </w:tc>
        <w:tc>
          <w:tcPr/>
          <w:p>
            <w:pPr>
              <w:pStyle w:val="Compact"/>
              <w:jc w:val="left"/>
            </w:pPr>
            <w:r>
              <w:t xml:space="preserve">0.7709</w:t>
            </w:r>
          </w:p>
        </w:tc>
        <w:tc>
          <w:tcPr/>
          <w:p>
            <w:pPr>
              <w:pStyle w:val="Compact"/>
              <w:jc w:val="left"/>
            </w:pPr>
            <w:r>
              <w:t xml:space="preserve">0.7923</w:t>
            </w:r>
          </w:p>
        </w:tc>
        <w:tc>
          <w:tcPr/>
          <w:p>
            <w:pPr>
              <w:pStyle w:val="Compact"/>
              <w:jc w:val="left"/>
            </w:pPr>
            <w:r>
              <w:t xml:space="preserve">0.7709</w:t>
            </w:r>
          </w:p>
        </w:tc>
        <w:tc>
          <w:tcPr/>
          <w:p>
            <w:pPr>
              <w:pStyle w:val="Compact"/>
              <w:jc w:val="left"/>
            </w:pPr>
            <w:r>
              <w:t xml:space="preserve">0.0708</w:t>
            </w:r>
          </w:p>
        </w:tc>
      </w:tr>
      <w:tr>
        <w:tc>
          <w:tcPr/>
          <w:p>
            <w:pPr>
              <w:pStyle w:val="Compact"/>
              <w:jc w:val="left"/>
            </w:pPr>
            <w:r>
              <w:rPr>
                <w:b/>
                <w:bCs/>
              </w:rPr>
              <w:t xml:space="preserve">Frontal</w:t>
            </w:r>
          </w:p>
        </w:tc>
        <w:tc>
          <w:tcPr/>
          <w:p>
            <w:pPr>
              <w:pStyle w:val="Compact"/>
              <w:jc w:val="left"/>
            </w:pPr>
            <w:r>
              <w:t xml:space="preserve">0%</w:t>
            </w:r>
          </w:p>
        </w:tc>
        <w:tc>
          <w:tcPr/>
          <w:p>
            <w:pPr>
              <w:pStyle w:val="Compact"/>
              <w:jc w:val="left"/>
            </w:pPr>
            <w:r>
              <w:t xml:space="preserve">0.7906</w:t>
            </w:r>
          </w:p>
        </w:tc>
        <w:tc>
          <w:tcPr/>
          <w:p>
            <w:pPr>
              <w:pStyle w:val="Compact"/>
              <w:jc w:val="left"/>
            </w:pPr>
            <w:r>
              <w:t xml:space="preserve">0.7909</w:t>
            </w:r>
          </w:p>
        </w:tc>
        <w:tc>
          <w:tcPr/>
          <w:p>
            <w:pPr>
              <w:pStyle w:val="Compact"/>
              <w:jc w:val="left"/>
            </w:pPr>
            <w:r>
              <w:t xml:space="preserve">0.8053</w:t>
            </w:r>
          </w:p>
        </w:tc>
        <w:tc>
          <w:tcPr/>
          <w:p>
            <w:pPr>
              <w:pStyle w:val="Compact"/>
              <w:jc w:val="left"/>
            </w:pPr>
            <w:r>
              <w:t xml:space="preserve">0.7909</w:t>
            </w:r>
          </w:p>
        </w:tc>
        <w:tc>
          <w:tcPr/>
          <w:p>
            <w:pPr>
              <w:pStyle w:val="Compact"/>
              <w:jc w:val="left"/>
            </w:pPr>
            <w:r>
              <w:t xml:space="preserve">0.0897</w:t>
            </w:r>
          </w:p>
        </w:tc>
      </w:tr>
      <w:tr>
        <w:tc>
          <w:tcPr/>
          <w:p>
            <w:pPr>
              <w:pStyle w:val="Compact"/>
              <w:jc w:val="left"/>
            </w:pPr>
            <w:r>
              <w:rPr>
                <w:b/>
                <w:bCs/>
              </w:rPr>
              <w:t xml:space="preserve">Frontal</w:t>
            </w:r>
          </w:p>
        </w:tc>
        <w:tc>
          <w:tcPr/>
          <w:p>
            <w:pPr>
              <w:pStyle w:val="Compact"/>
              <w:jc w:val="left"/>
            </w:pPr>
            <w:r>
              <w:t xml:space="preserve">50%</w:t>
            </w:r>
          </w:p>
        </w:tc>
        <w:tc>
          <w:tcPr/>
          <w:p>
            <w:pPr>
              <w:pStyle w:val="Compact"/>
              <w:jc w:val="left"/>
            </w:pPr>
            <w:r>
              <w:t xml:space="preserve">0.7172</w:t>
            </w:r>
          </w:p>
        </w:tc>
        <w:tc>
          <w:tcPr/>
          <w:p>
            <w:pPr>
              <w:pStyle w:val="Compact"/>
              <w:jc w:val="left"/>
            </w:pPr>
            <w:r>
              <w:t xml:space="preserve">0.7309</w:t>
            </w:r>
          </w:p>
        </w:tc>
        <w:tc>
          <w:tcPr/>
          <w:p>
            <w:pPr>
              <w:pStyle w:val="Compact"/>
              <w:jc w:val="left"/>
            </w:pPr>
            <w:r>
              <w:t xml:space="preserve">0.7767</w:t>
            </w:r>
          </w:p>
        </w:tc>
        <w:tc>
          <w:tcPr/>
          <w:p>
            <w:pPr>
              <w:pStyle w:val="Compact"/>
              <w:jc w:val="left"/>
            </w:pPr>
            <w:r>
              <w:t xml:space="preserve">0.7309</w:t>
            </w:r>
          </w:p>
        </w:tc>
        <w:tc>
          <w:tcPr/>
          <w:p>
            <w:pPr>
              <w:pStyle w:val="Compact"/>
              <w:jc w:val="left"/>
            </w:pPr>
            <w:r>
              <w:t xml:space="preserve">0.0746</w:t>
            </w:r>
          </w:p>
        </w:tc>
      </w:tr>
      <w:tr>
        <w:tc>
          <w:tcPr/>
          <w:p>
            <w:pPr>
              <w:pStyle w:val="Compact"/>
              <w:jc w:val="left"/>
            </w:pPr>
            <w:r>
              <w:rPr>
                <w:b/>
                <w:bCs/>
              </w:rPr>
              <w:t xml:space="preserve">Central</w:t>
            </w:r>
          </w:p>
        </w:tc>
        <w:tc>
          <w:tcPr/>
          <w:p>
            <w:pPr>
              <w:pStyle w:val="Compact"/>
              <w:jc w:val="left"/>
            </w:pPr>
            <w:r>
              <w:t xml:space="preserve">0%</w:t>
            </w:r>
          </w:p>
        </w:tc>
        <w:tc>
          <w:tcPr/>
          <w:p>
            <w:pPr>
              <w:pStyle w:val="Compact"/>
              <w:jc w:val="left"/>
            </w:pPr>
            <w:r>
              <w:t xml:space="preserve">0.7226</w:t>
            </w:r>
          </w:p>
        </w:tc>
        <w:tc>
          <w:tcPr/>
          <w:p>
            <w:pPr>
              <w:pStyle w:val="Compact"/>
              <w:jc w:val="left"/>
            </w:pPr>
            <w:r>
              <w:t xml:space="preserve">0.7309</w:t>
            </w:r>
          </w:p>
        </w:tc>
        <w:tc>
          <w:tcPr/>
          <w:p>
            <w:pPr>
              <w:pStyle w:val="Compact"/>
              <w:jc w:val="left"/>
            </w:pPr>
            <w:r>
              <w:t xml:space="preserve">0.7507</w:t>
            </w:r>
          </w:p>
        </w:tc>
        <w:tc>
          <w:tcPr/>
          <w:p>
            <w:pPr>
              <w:pStyle w:val="Compact"/>
              <w:jc w:val="left"/>
            </w:pPr>
            <w:r>
              <w:t xml:space="preserve">0.7309</w:t>
            </w:r>
          </w:p>
        </w:tc>
        <w:tc>
          <w:tcPr/>
          <w:p>
            <w:pPr>
              <w:pStyle w:val="Compact"/>
              <w:jc w:val="left"/>
            </w:pPr>
            <w:r>
              <w:t xml:space="preserve">0.0631</w:t>
            </w:r>
          </w:p>
        </w:tc>
      </w:tr>
      <w:tr>
        <w:tc>
          <w:tcPr/>
          <w:p>
            <w:pPr>
              <w:pStyle w:val="Compact"/>
              <w:jc w:val="left"/>
            </w:pPr>
            <w:r>
              <w:rPr>
                <w:b/>
                <w:bCs/>
              </w:rPr>
              <w:t xml:space="preserve">Central</w:t>
            </w:r>
          </w:p>
        </w:tc>
        <w:tc>
          <w:tcPr/>
          <w:p>
            <w:pPr>
              <w:pStyle w:val="Compact"/>
              <w:jc w:val="left"/>
            </w:pPr>
            <w:r>
              <w:t xml:space="preserve">50%</w:t>
            </w:r>
          </w:p>
        </w:tc>
        <w:tc>
          <w:tcPr/>
          <w:p>
            <w:pPr>
              <w:pStyle w:val="Compact"/>
              <w:jc w:val="left"/>
            </w:pPr>
            <w:r>
              <w:t xml:space="preserve">0.7662</w:t>
            </w:r>
          </w:p>
        </w:tc>
        <w:tc>
          <w:tcPr/>
          <w:p>
            <w:pPr>
              <w:pStyle w:val="Compact"/>
              <w:jc w:val="left"/>
            </w:pPr>
            <w:r>
              <w:t xml:space="preserve">0.7691</w:t>
            </w:r>
          </w:p>
        </w:tc>
        <w:tc>
          <w:tcPr/>
          <w:p>
            <w:pPr>
              <w:pStyle w:val="Compact"/>
              <w:jc w:val="left"/>
            </w:pPr>
            <w:r>
              <w:t xml:space="preserve">0.8062</w:t>
            </w:r>
          </w:p>
        </w:tc>
        <w:tc>
          <w:tcPr/>
          <w:p>
            <w:pPr>
              <w:pStyle w:val="Compact"/>
              <w:jc w:val="left"/>
            </w:pPr>
            <w:r>
              <w:t xml:space="preserve">0.7691</w:t>
            </w:r>
          </w:p>
        </w:tc>
        <w:tc>
          <w:tcPr/>
          <w:p>
            <w:pPr>
              <w:pStyle w:val="Compact"/>
              <w:jc w:val="left"/>
            </w:pPr>
            <w:r>
              <w:t xml:space="preserve">0.0992</w:t>
            </w:r>
          </w:p>
        </w:tc>
      </w:tr>
      <w:tr>
        <w:tc>
          <w:tcPr/>
          <w:p>
            <w:pPr>
              <w:pStyle w:val="Compact"/>
              <w:jc w:val="left"/>
            </w:pPr>
            <w:r>
              <w:rPr>
                <w:b/>
                <w:bCs/>
              </w:rPr>
              <w:t xml:space="preserve">Occipital</w:t>
            </w:r>
          </w:p>
        </w:tc>
        <w:tc>
          <w:tcPr/>
          <w:p>
            <w:pPr>
              <w:pStyle w:val="Compact"/>
              <w:jc w:val="left"/>
            </w:pPr>
            <w:r>
              <w:t xml:space="preserve">0%</w:t>
            </w:r>
          </w:p>
        </w:tc>
        <w:tc>
          <w:tcPr/>
          <w:p>
            <w:pPr>
              <w:pStyle w:val="Compact"/>
              <w:jc w:val="left"/>
            </w:pPr>
            <w:r>
              <w:t xml:space="preserve">0.5570</w:t>
            </w:r>
          </w:p>
        </w:tc>
        <w:tc>
          <w:tcPr/>
          <w:p>
            <w:pPr>
              <w:pStyle w:val="Compact"/>
              <w:jc w:val="left"/>
            </w:pPr>
            <w:r>
              <w:t xml:space="preserve">0.6564</w:t>
            </w:r>
          </w:p>
        </w:tc>
        <w:tc>
          <w:tcPr/>
          <w:p>
            <w:pPr>
              <w:pStyle w:val="Compact"/>
              <w:jc w:val="left"/>
            </w:pPr>
            <w:r>
              <w:t xml:space="preserve">0.5103</w:t>
            </w:r>
          </w:p>
        </w:tc>
        <w:tc>
          <w:tcPr/>
          <w:p>
            <w:pPr>
              <w:pStyle w:val="Compact"/>
              <w:jc w:val="left"/>
            </w:pPr>
            <w:r>
              <w:t xml:space="preserve">0.6564</w:t>
            </w:r>
          </w:p>
        </w:tc>
        <w:tc>
          <w:tcPr/>
          <w:p>
            <w:pPr>
              <w:pStyle w:val="Compact"/>
              <w:jc w:val="left"/>
            </w:pPr>
            <w:r>
              <w:t xml:space="preserve">0.2412</w:t>
            </w:r>
          </w:p>
        </w:tc>
      </w:tr>
      <w:tr>
        <w:tc>
          <w:tcPr/>
          <w:p>
            <w:pPr>
              <w:pStyle w:val="Compact"/>
              <w:jc w:val="left"/>
            </w:pPr>
            <w:r>
              <w:rPr>
                <w:b/>
                <w:bCs/>
              </w:rPr>
              <w:t xml:space="preserve">Occipital</w:t>
            </w:r>
          </w:p>
        </w:tc>
        <w:tc>
          <w:tcPr/>
          <w:p>
            <w:pPr>
              <w:pStyle w:val="Compact"/>
              <w:jc w:val="left"/>
            </w:pPr>
            <w:r>
              <w:t xml:space="preserve">50%</w:t>
            </w:r>
          </w:p>
        </w:tc>
        <w:tc>
          <w:tcPr/>
          <w:p>
            <w:pPr>
              <w:pStyle w:val="Compact"/>
              <w:jc w:val="left"/>
            </w:pPr>
            <w:r>
              <w:t xml:space="preserve">0.4500</w:t>
            </w:r>
          </w:p>
        </w:tc>
        <w:tc>
          <w:tcPr/>
          <w:p>
            <w:pPr>
              <w:pStyle w:val="Compact"/>
              <w:jc w:val="left"/>
            </w:pPr>
            <w:r>
              <w:t xml:space="preserve">0.5218</w:t>
            </w:r>
          </w:p>
        </w:tc>
        <w:tc>
          <w:tcPr/>
          <w:p>
            <w:pPr>
              <w:pStyle w:val="Compact"/>
              <w:jc w:val="left"/>
            </w:pPr>
            <w:r>
              <w:t xml:space="preserve">0.4664</w:t>
            </w:r>
          </w:p>
        </w:tc>
        <w:tc>
          <w:tcPr/>
          <w:p>
            <w:pPr>
              <w:pStyle w:val="Compact"/>
              <w:jc w:val="left"/>
            </w:pPr>
            <w:r>
              <w:t xml:space="preserve">0.5218</w:t>
            </w:r>
          </w:p>
        </w:tc>
        <w:tc>
          <w:tcPr/>
          <w:p>
            <w:pPr>
              <w:pStyle w:val="Compact"/>
              <w:jc w:val="left"/>
            </w:pPr>
            <w:r>
              <w:t xml:space="preserve">0.0738</w:t>
            </w:r>
          </w:p>
        </w:tc>
      </w:tr>
    </w:tbl>
    <w:bookmarkEnd w:id="22"/>
    <w:bookmarkStart w:id="23" w:name="X9ae54c8c87f108181e5ca637226fbebadef7a1a"/>
    <w:p>
      <w:pPr>
        <w:pStyle w:val="Heading3"/>
      </w:pPr>
      <w:r>
        <w:t xml:space="preserve">Table 2: HC vs FTD Classification (Class 0-1) - Window Size 6s</w:t>
      </w:r>
    </w:p>
    <w:tbl>
      <w:tblPr>
        <w:tblStyle w:val="Table"/>
        <w:tblW w:type="pct" w:w="5000"/>
        <w:jc w:val="left"/>
        <w:tblLayout w:type="fixed"/>
        <w:tblLook w:firstRow="1" w:lastRow="0" w:firstColumn="0" w:lastColumn="0" w:noHBand="0" w:noVBand="0" w:val="0020"/>
      </w:tblPr>
      <w:tblGrid>
        <w:gridCol w:w="1540"/>
        <w:gridCol w:w="990"/>
        <w:gridCol w:w="1100"/>
        <w:gridCol w:w="1100"/>
        <w:gridCol w:w="1210"/>
        <w:gridCol w:w="990"/>
        <w:gridCol w:w="990"/>
      </w:tblGrid>
      <w:tr>
        <w:trPr>
          <w:tblHeader w:val="on"/>
        </w:trPr>
        <w:tc>
          <w:tcPr/>
          <w:p>
            <w:pPr>
              <w:pStyle w:val="Compact"/>
              <w:jc w:val="left"/>
            </w:pPr>
            <w:r>
              <w:t xml:space="preserve">Brain Region</w:t>
            </w:r>
          </w:p>
        </w:tc>
        <w:tc>
          <w:tcPr/>
          <w:p>
            <w:pPr>
              <w:pStyle w:val="Compact"/>
              <w:jc w:val="left"/>
            </w:pPr>
            <w:r>
              <w:t xml:space="preserve">Overlap</w:t>
            </w:r>
          </w:p>
        </w:tc>
        <w:tc>
          <w:tcPr/>
          <w:p>
            <w:pPr>
              <w:pStyle w:val="Compact"/>
              <w:jc w:val="left"/>
            </w:pPr>
            <w:r>
              <w:t xml:space="preserve">F1 Score</w:t>
            </w:r>
          </w:p>
        </w:tc>
        <w:tc>
          <w:tcPr/>
          <w:p>
            <w:pPr>
              <w:pStyle w:val="Compact"/>
              <w:jc w:val="left"/>
            </w:pPr>
            <w:r>
              <w:t xml:space="preserve">Accuracy</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Std Dev</w:t>
            </w:r>
          </w:p>
        </w:tc>
      </w:tr>
      <w:tr>
        <w:tc>
          <w:tcPr/>
          <w:p>
            <w:pPr>
              <w:pStyle w:val="Compact"/>
              <w:jc w:val="left"/>
            </w:pPr>
            <w:r>
              <w:rPr>
                <w:b/>
                <w:bCs/>
              </w:rPr>
              <w:t xml:space="preserve">Temporal</w:t>
            </w:r>
          </w:p>
        </w:tc>
        <w:tc>
          <w:tcPr/>
          <w:p>
            <w:pPr>
              <w:pStyle w:val="Compact"/>
              <w:jc w:val="left"/>
            </w:pPr>
            <w:r>
              <w:t xml:space="preserve">0%</w:t>
            </w:r>
          </w:p>
        </w:tc>
        <w:tc>
          <w:tcPr/>
          <w:p>
            <w:pPr>
              <w:pStyle w:val="Compact"/>
              <w:jc w:val="left"/>
            </w:pPr>
            <w:r>
              <w:rPr>
                <w:b/>
                <w:bCs/>
              </w:rPr>
              <w:t xml:space="preserve">0.8853</w:t>
            </w:r>
          </w:p>
        </w:tc>
        <w:tc>
          <w:tcPr/>
          <w:p>
            <w:pPr>
              <w:pStyle w:val="Compact"/>
              <w:jc w:val="left"/>
            </w:pPr>
            <w:r>
              <w:t xml:space="preserve">0.8873</w:t>
            </w:r>
          </w:p>
        </w:tc>
        <w:tc>
          <w:tcPr/>
          <w:p>
            <w:pPr>
              <w:pStyle w:val="Compact"/>
              <w:jc w:val="left"/>
            </w:pPr>
            <w:r>
              <w:t xml:space="preserve">0.9037</w:t>
            </w:r>
          </w:p>
        </w:tc>
        <w:tc>
          <w:tcPr/>
          <w:p>
            <w:pPr>
              <w:pStyle w:val="Compact"/>
              <w:jc w:val="left"/>
            </w:pPr>
            <w:r>
              <w:t xml:space="preserve">0.8873</w:t>
            </w:r>
          </w:p>
        </w:tc>
        <w:tc>
          <w:tcPr/>
          <w:p>
            <w:pPr>
              <w:pStyle w:val="Compact"/>
              <w:jc w:val="left"/>
            </w:pPr>
            <w:r>
              <w:t xml:space="preserve">0.1100</w:t>
            </w:r>
          </w:p>
        </w:tc>
      </w:tr>
      <w:tr>
        <w:tc>
          <w:tcPr/>
          <w:p>
            <w:pPr>
              <w:pStyle w:val="Compact"/>
              <w:jc w:val="left"/>
            </w:pPr>
            <w:r>
              <w:rPr>
                <w:b/>
                <w:bCs/>
              </w:rPr>
              <w:t xml:space="preserve">Temporal</w:t>
            </w:r>
          </w:p>
        </w:tc>
        <w:tc>
          <w:tcPr/>
          <w:p>
            <w:pPr>
              <w:pStyle w:val="Compact"/>
              <w:jc w:val="left"/>
            </w:pPr>
            <w:r>
              <w:t xml:space="preserve">50%</w:t>
            </w:r>
          </w:p>
        </w:tc>
        <w:tc>
          <w:tcPr/>
          <w:p>
            <w:pPr>
              <w:pStyle w:val="Compact"/>
              <w:jc w:val="left"/>
            </w:pPr>
            <w:r>
              <w:t xml:space="preserve">0.8285</w:t>
            </w:r>
          </w:p>
        </w:tc>
        <w:tc>
          <w:tcPr/>
          <w:p>
            <w:pPr>
              <w:pStyle w:val="Compact"/>
              <w:jc w:val="left"/>
            </w:pPr>
            <w:r>
              <w:t xml:space="preserve">0.8309</w:t>
            </w:r>
          </w:p>
        </w:tc>
        <w:tc>
          <w:tcPr/>
          <w:p>
            <w:pPr>
              <w:pStyle w:val="Compact"/>
              <w:jc w:val="left"/>
            </w:pPr>
            <w:r>
              <w:t xml:space="preserve">0.8494</w:t>
            </w:r>
          </w:p>
        </w:tc>
        <w:tc>
          <w:tcPr/>
          <w:p>
            <w:pPr>
              <w:pStyle w:val="Compact"/>
              <w:jc w:val="left"/>
            </w:pPr>
            <w:r>
              <w:t xml:space="preserve">0.8309</w:t>
            </w:r>
          </w:p>
        </w:tc>
        <w:tc>
          <w:tcPr/>
          <w:p>
            <w:pPr>
              <w:pStyle w:val="Compact"/>
              <w:jc w:val="left"/>
            </w:pPr>
            <w:r>
              <w:t xml:space="preserve">0.1072</w:t>
            </w:r>
          </w:p>
        </w:tc>
      </w:tr>
      <w:tr>
        <w:tc>
          <w:tcPr/>
          <w:p>
            <w:pPr>
              <w:pStyle w:val="Compact"/>
              <w:jc w:val="left"/>
            </w:pPr>
            <w:r>
              <w:rPr>
                <w:b/>
                <w:bCs/>
              </w:rPr>
              <w:t xml:space="preserve">Parietal</w:t>
            </w:r>
          </w:p>
        </w:tc>
        <w:tc>
          <w:tcPr/>
          <w:p>
            <w:pPr>
              <w:pStyle w:val="Compact"/>
              <w:jc w:val="left"/>
            </w:pPr>
            <w:r>
              <w:t xml:space="preserve">0%</w:t>
            </w:r>
          </w:p>
        </w:tc>
        <w:tc>
          <w:tcPr/>
          <w:p>
            <w:pPr>
              <w:pStyle w:val="Compact"/>
              <w:jc w:val="left"/>
            </w:pPr>
            <w:r>
              <w:t xml:space="preserve">0.8065</w:t>
            </w:r>
          </w:p>
        </w:tc>
        <w:tc>
          <w:tcPr/>
          <w:p>
            <w:pPr>
              <w:pStyle w:val="Compact"/>
              <w:jc w:val="left"/>
            </w:pPr>
            <w:r>
              <w:t xml:space="preserve">0.8091</w:t>
            </w:r>
          </w:p>
        </w:tc>
        <w:tc>
          <w:tcPr/>
          <w:p>
            <w:pPr>
              <w:pStyle w:val="Compact"/>
              <w:jc w:val="left"/>
            </w:pPr>
            <w:r>
              <w:t xml:space="preserve">0.8235</w:t>
            </w:r>
          </w:p>
        </w:tc>
        <w:tc>
          <w:tcPr/>
          <w:p>
            <w:pPr>
              <w:pStyle w:val="Compact"/>
              <w:jc w:val="left"/>
            </w:pPr>
            <w:r>
              <w:t xml:space="preserve">0.8091</w:t>
            </w:r>
          </w:p>
        </w:tc>
        <w:tc>
          <w:tcPr/>
          <w:p>
            <w:pPr>
              <w:pStyle w:val="Compact"/>
              <w:jc w:val="left"/>
            </w:pPr>
            <w:r>
              <w:t xml:space="preserve">0.0539</w:t>
            </w:r>
          </w:p>
        </w:tc>
      </w:tr>
      <w:tr>
        <w:tc>
          <w:tcPr/>
          <w:p>
            <w:pPr>
              <w:pStyle w:val="Compact"/>
              <w:jc w:val="left"/>
            </w:pPr>
            <w:r>
              <w:rPr>
                <w:b/>
                <w:bCs/>
              </w:rPr>
              <w:t xml:space="preserve">Parietal</w:t>
            </w:r>
          </w:p>
        </w:tc>
        <w:tc>
          <w:tcPr/>
          <w:p>
            <w:pPr>
              <w:pStyle w:val="Compact"/>
              <w:jc w:val="left"/>
            </w:pPr>
            <w:r>
              <w:t xml:space="preserve">50%</w:t>
            </w:r>
          </w:p>
        </w:tc>
        <w:tc>
          <w:tcPr/>
          <w:p>
            <w:pPr>
              <w:pStyle w:val="Compact"/>
              <w:jc w:val="left"/>
            </w:pPr>
            <w:r>
              <w:rPr>
                <w:b/>
                <w:bCs/>
              </w:rPr>
              <w:t xml:space="preserve">0.8285</w:t>
            </w:r>
          </w:p>
        </w:tc>
        <w:tc>
          <w:tcPr/>
          <w:p>
            <w:pPr>
              <w:pStyle w:val="Compact"/>
              <w:jc w:val="left"/>
            </w:pPr>
            <w:r>
              <w:t xml:space="preserve">0.8291</w:t>
            </w:r>
          </w:p>
        </w:tc>
        <w:tc>
          <w:tcPr/>
          <w:p>
            <w:pPr>
              <w:pStyle w:val="Compact"/>
              <w:jc w:val="left"/>
            </w:pPr>
            <w:r>
              <w:t xml:space="preserve">0.8419</w:t>
            </w:r>
          </w:p>
        </w:tc>
        <w:tc>
          <w:tcPr/>
          <w:p>
            <w:pPr>
              <w:pStyle w:val="Compact"/>
              <w:jc w:val="left"/>
            </w:pPr>
            <w:r>
              <w:t xml:space="preserve">0.8291</w:t>
            </w:r>
          </w:p>
        </w:tc>
        <w:tc>
          <w:tcPr/>
          <w:p>
            <w:pPr>
              <w:pStyle w:val="Compact"/>
              <w:jc w:val="left"/>
            </w:pPr>
            <w:r>
              <w:t xml:space="preserve">0.0911</w:t>
            </w:r>
          </w:p>
        </w:tc>
      </w:tr>
      <w:tr>
        <w:tc>
          <w:tcPr/>
          <w:p>
            <w:pPr>
              <w:pStyle w:val="Compact"/>
              <w:jc w:val="left"/>
            </w:pPr>
            <w:r>
              <w:rPr>
                <w:b/>
                <w:bCs/>
              </w:rPr>
              <w:t xml:space="preserve">Central</w:t>
            </w:r>
          </w:p>
        </w:tc>
        <w:tc>
          <w:tcPr/>
          <w:p>
            <w:pPr>
              <w:pStyle w:val="Compact"/>
              <w:jc w:val="left"/>
            </w:pPr>
            <w:r>
              <w:t xml:space="preserve">0%</w:t>
            </w:r>
          </w:p>
        </w:tc>
        <w:tc>
          <w:tcPr/>
          <w:p>
            <w:pPr>
              <w:pStyle w:val="Compact"/>
              <w:jc w:val="left"/>
            </w:pPr>
            <w:r>
              <w:t xml:space="preserve">0.7998</w:t>
            </w:r>
          </w:p>
        </w:tc>
        <w:tc>
          <w:tcPr/>
          <w:p>
            <w:pPr>
              <w:pStyle w:val="Compact"/>
              <w:jc w:val="left"/>
            </w:pPr>
            <w:r>
              <w:t xml:space="preserve">0.8055</w:t>
            </w:r>
          </w:p>
        </w:tc>
        <w:tc>
          <w:tcPr/>
          <w:p>
            <w:pPr>
              <w:pStyle w:val="Compact"/>
              <w:jc w:val="left"/>
            </w:pPr>
            <w:r>
              <w:t xml:space="preserve">0.8109</w:t>
            </w:r>
          </w:p>
        </w:tc>
        <w:tc>
          <w:tcPr/>
          <w:p>
            <w:pPr>
              <w:pStyle w:val="Compact"/>
              <w:jc w:val="left"/>
            </w:pPr>
            <w:r>
              <w:t xml:space="preserve">0.8055</w:t>
            </w:r>
          </w:p>
        </w:tc>
        <w:tc>
          <w:tcPr/>
          <w:p>
            <w:pPr>
              <w:pStyle w:val="Compact"/>
              <w:jc w:val="left"/>
            </w:pPr>
            <w:r>
              <w:t xml:space="preserve">0.1489</w:t>
            </w:r>
          </w:p>
        </w:tc>
      </w:tr>
      <w:tr>
        <w:tc>
          <w:tcPr/>
          <w:p>
            <w:pPr>
              <w:pStyle w:val="Compact"/>
              <w:jc w:val="left"/>
            </w:pPr>
            <w:r>
              <w:rPr>
                <w:b/>
                <w:bCs/>
              </w:rPr>
              <w:t xml:space="preserve">Central</w:t>
            </w:r>
          </w:p>
        </w:tc>
        <w:tc>
          <w:tcPr/>
          <w:p>
            <w:pPr>
              <w:pStyle w:val="Compact"/>
              <w:jc w:val="left"/>
            </w:pPr>
            <w:r>
              <w:t xml:space="preserve">50%</w:t>
            </w:r>
          </w:p>
        </w:tc>
        <w:tc>
          <w:tcPr/>
          <w:p>
            <w:pPr>
              <w:pStyle w:val="Compact"/>
              <w:jc w:val="left"/>
            </w:pPr>
            <w:r>
              <w:rPr>
                <w:b/>
                <w:bCs/>
              </w:rPr>
              <w:t xml:space="preserve">0.8073</w:t>
            </w:r>
          </w:p>
        </w:tc>
        <w:tc>
          <w:tcPr/>
          <w:p>
            <w:pPr>
              <w:pStyle w:val="Compact"/>
              <w:jc w:val="left"/>
            </w:pPr>
            <w:r>
              <w:t xml:space="preserve">0.8073</w:t>
            </w:r>
          </w:p>
        </w:tc>
        <w:tc>
          <w:tcPr/>
          <w:p>
            <w:pPr>
              <w:pStyle w:val="Compact"/>
              <w:jc w:val="left"/>
            </w:pPr>
            <w:r>
              <w:t xml:space="preserve">0.8127</w:t>
            </w:r>
          </w:p>
        </w:tc>
        <w:tc>
          <w:tcPr/>
          <w:p>
            <w:pPr>
              <w:pStyle w:val="Compact"/>
              <w:jc w:val="left"/>
            </w:pPr>
            <w:r>
              <w:t xml:space="preserve">0.8073</w:t>
            </w:r>
          </w:p>
        </w:tc>
        <w:tc>
          <w:tcPr/>
          <w:p>
            <w:pPr>
              <w:pStyle w:val="Compact"/>
              <w:jc w:val="left"/>
            </w:pPr>
            <w:r>
              <w:t xml:space="preserve">0.1392</w:t>
            </w:r>
          </w:p>
        </w:tc>
      </w:tr>
      <w:tr>
        <w:tc>
          <w:tcPr/>
          <w:p>
            <w:pPr>
              <w:pStyle w:val="Compact"/>
              <w:jc w:val="left"/>
            </w:pPr>
            <w:r>
              <w:rPr>
                <w:b/>
                <w:bCs/>
              </w:rPr>
              <w:t xml:space="preserve">Frontal</w:t>
            </w:r>
          </w:p>
        </w:tc>
        <w:tc>
          <w:tcPr/>
          <w:p>
            <w:pPr>
              <w:pStyle w:val="Compact"/>
              <w:jc w:val="left"/>
            </w:pPr>
            <w:r>
              <w:t xml:space="preserve">0%</w:t>
            </w:r>
          </w:p>
        </w:tc>
        <w:tc>
          <w:tcPr/>
          <w:p>
            <w:pPr>
              <w:pStyle w:val="Compact"/>
              <w:jc w:val="left"/>
            </w:pPr>
            <w:r>
              <w:t xml:space="preserve">0.7876</w:t>
            </w:r>
          </w:p>
        </w:tc>
        <w:tc>
          <w:tcPr/>
          <w:p>
            <w:pPr>
              <w:pStyle w:val="Compact"/>
              <w:jc w:val="left"/>
            </w:pPr>
            <w:r>
              <w:t xml:space="preserve">0.7909</w:t>
            </w:r>
          </w:p>
        </w:tc>
        <w:tc>
          <w:tcPr/>
          <w:p>
            <w:pPr>
              <w:pStyle w:val="Compact"/>
              <w:jc w:val="left"/>
            </w:pPr>
            <w:r>
              <w:t xml:space="preserve">0.8232</w:t>
            </w:r>
          </w:p>
        </w:tc>
        <w:tc>
          <w:tcPr/>
          <w:p>
            <w:pPr>
              <w:pStyle w:val="Compact"/>
              <w:jc w:val="left"/>
            </w:pPr>
            <w:r>
              <w:t xml:space="preserve">0.7909</w:t>
            </w:r>
          </w:p>
        </w:tc>
        <w:tc>
          <w:tcPr/>
          <w:p>
            <w:pPr>
              <w:pStyle w:val="Compact"/>
              <w:jc w:val="left"/>
            </w:pPr>
            <w:r>
              <w:t xml:space="preserve">0.0878</w:t>
            </w:r>
          </w:p>
        </w:tc>
      </w:tr>
      <w:tr>
        <w:tc>
          <w:tcPr/>
          <w:p>
            <w:pPr>
              <w:pStyle w:val="Compact"/>
              <w:jc w:val="left"/>
            </w:pPr>
            <w:r>
              <w:rPr>
                <w:b/>
                <w:bCs/>
              </w:rPr>
              <w:t xml:space="preserve">Frontal</w:t>
            </w:r>
          </w:p>
        </w:tc>
        <w:tc>
          <w:tcPr/>
          <w:p>
            <w:pPr>
              <w:pStyle w:val="Compact"/>
              <w:jc w:val="left"/>
            </w:pPr>
            <w:r>
              <w:t xml:space="preserve">50%</w:t>
            </w:r>
          </w:p>
        </w:tc>
        <w:tc>
          <w:tcPr/>
          <w:p>
            <w:pPr>
              <w:pStyle w:val="Compact"/>
              <w:jc w:val="left"/>
            </w:pPr>
            <w:r>
              <w:t xml:space="preserve">0.7484</w:t>
            </w:r>
          </w:p>
        </w:tc>
        <w:tc>
          <w:tcPr/>
          <w:p>
            <w:pPr>
              <w:pStyle w:val="Compact"/>
              <w:jc w:val="left"/>
            </w:pPr>
            <w:r>
              <w:t xml:space="preserve">0.7527</w:t>
            </w:r>
          </w:p>
        </w:tc>
        <w:tc>
          <w:tcPr/>
          <w:p>
            <w:pPr>
              <w:pStyle w:val="Compact"/>
              <w:jc w:val="left"/>
            </w:pPr>
            <w:r>
              <w:t xml:space="preserve">0.7623</w:t>
            </w:r>
          </w:p>
        </w:tc>
        <w:tc>
          <w:tcPr/>
          <w:p>
            <w:pPr>
              <w:pStyle w:val="Compact"/>
              <w:jc w:val="left"/>
            </w:pPr>
            <w:r>
              <w:t xml:space="preserve">0.7527</w:t>
            </w:r>
          </w:p>
        </w:tc>
        <w:tc>
          <w:tcPr/>
          <w:p>
            <w:pPr>
              <w:pStyle w:val="Compact"/>
              <w:jc w:val="left"/>
            </w:pPr>
            <w:r>
              <w:t xml:space="preserve">0.0931</w:t>
            </w:r>
          </w:p>
        </w:tc>
      </w:tr>
      <w:tr>
        <w:tc>
          <w:tcPr/>
          <w:p>
            <w:pPr>
              <w:pStyle w:val="Compact"/>
              <w:jc w:val="left"/>
            </w:pPr>
            <w:r>
              <w:rPr>
                <w:b/>
                <w:bCs/>
              </w:rPr>
              <w:t xml:space="preserve">Occipital</w:t>
            </w:r>
          </w:p>
        </w:tc>
        <w:tc>
          <w:tcPr/>
          <w:p>
            <w:pPr>
              <w:pStyle w:val="Compact"/>
              <w:jc w:val="left"/>
            </w:pPr>
            <w:r>
              <w:t xml:space="preserve">0%</w:t>
            </w:r>
          </w:p>
        </w:tc>
        <w:tc>
          <w:tcPr/>
          <w:p>
            <w:pPr>
              <w:pStyle w:val="Compact"/>
              <w:jc w:val="left"/>
            </w:pPr>
            <w:r>
              <w:t xml:space="preserve">0.5071</w:t>
            </w:r>
          </w:p>
        </w:tc>
        <w:tc>
          <w:tcPr/>
          <w:p>
            <w:pPr>
              <w:pStyle w:val="Compact"/>
              <w:jc w:val="left"/>
            </w:pPr>
            <w:r>
              <w:t xml:space="preserve">0.6145</w:t>
            </w:r>
          </w:p>
        </w:tc>
        <w:tc>
          <w:tcPr/>
          <w:p>
            <w:pPr>
              <w:pStyle w:val="Compact"/>
              <w:jc w:val="left"/>
            </w:pPr>
            <w:r>
              <w:t xml:space="preserve">0.4894</w:t>
            </w:r>
          </w:p>
        </w:tc>
        <w:tc>
          <w:tcPr/>
          <w:p>
            <w:pPr>
              <w:pStyle w:val="Compact"/>
              <w:jc w:val="left"/>
            </w:pPr>
            <w:r>
              <w:t xml:space="preserve">0.6145</w:t>
            </w:r>
          </w:p>
        </w:tc>
        <w:tc>
          <w:tcPr/>
          <w:p>
            <w:pPr>
              <w:pStyle w:val="Compact"/>
              <w:jc w:val="left"/>
            </w:pPr>
            <w:r>
              <w:t xml:space="preserve">0.1513</w:t>
            </w:r>
          </w:p>
        </w:tc>
      </w:tr>
      <w:tr>
        <w:tc>
          <w:tcPr/>
          <w:p>
            <w:pPr>
              <w:pStyle w:val="Compact"/>
              <w:jc w:val="left"/>
            </w:pPr>
            <w:r>
              <w:rPr>
                <w:b/>
                <w:bCs/>
              </w:rPr>
              <w:t xml:space="preserve">Occipital</w:t>
            </w:r>
          </w:p>
        </w:tc>
        <w:tc>
          <w:tcPr/>
          <w:p>
            <w:pPr>
              <w:pStyle w:val="Compact"/>
              <w:jc w:val="left"/>
            </w:pPr>
            <w:r>
              <w:t xml:space="preserve">50%</w:t>
            </w:r>
          </w:p>
        </w:tc>
        <w:tc>
          <w:tcPr/>
          <w:p>
            <w:pPr>
              <w:pStyle w:val="Compact"/>
              <w:jc w:val="left"/>
            </w:pPr>
            <w:r>
              <w:t xml:space="preserve">0.6543</w:t>
            </w:r>
          </w:p>
        </w:tc>
        <w:tc>
          <w:tcPr/>
          <w:p>
            <w:pPr>
              <w:pStyle w:val="Compact"/>
              <w:jc w:val="left"/>
            </w:pPr>
            <w:r>
              <w:t xml:space="preserve">0.6873</w:t>
            </w:r>
          </w:p>
        </w:tc>
        <w:tc>
          <w:tcPr/>
          <w:p>
            <w:pPr>
              <w:pStyle w:val="Compact"/>
              <w:jc w:val="left"/>
            </w:pPr>
            <w:r>
              <w:t xml:space="preserve">0.6628</w:t>
            </w:r>
          </w:p>
        </w:tc>
        <w:tc>
          <w:tcPr/>
          <w:p>
            <w:pPr>
              <w:pStyle w:val="Compact"/>
              <w:jc w:val="left"/>
            </w:pPr>
            <w:r>
              <w:t xml:space="preserve">0.6873</w:t>
            </w:r>
          </w:p>
        </w:tc>
        <w:tc>
          <w:tcPr/>
          <w:p>
            <w:pPr>
              <w:pStyle w:val="Compact"/>
              <w:jc w:val="left"/>
            </w:pPr>
            <w:r>
              <w:t xml:space="preserve">0.1544</w:t>
            </w:r>
          </w:p>
        </w:tc>
      </w:tr>
    </w:tbl>
    <w:bookmarkEnd w:id="23"/>
    <w:bookmarkStart w:id="24" w:name="X5175d028132aafa4d7e3098c175267d8098ec70"/>
    <w:p>
      <w:pPr>
        <w:pStyle w:val="Heading3"/>
      </w:pPr>
      <w:r>
        <w:t xml:space="preserve">Table 3: HC vs AD Classification (Class 0-2) - Window Size 4s</w:t>
      </w:r>
    </w:p>
    <w:tbl>
      <w:tblPr>
        <w:tblStyle w:val="Table"/>
        <w:tblW w:type="pct" w:w="5000"/>
        <w:jc w:val="left"/>
        <w:tblLayout w:type="fixed"/>
        <w:tblLook w:firstRow="1" w:lastRow="0" w:firstColumn="0" w:lastColumn="0" w:noHBand="0" w:noVBand="0" w:val="0020"/>
      </w:tblPr>
      <w:tblGrid>
        <w:gridCol w:w="1540"/>
        <w:gridCol w:w="990"/>
        <w:gridCol w:w="1100"/>
        <w:gridCol w:w="1100"/>
        <w:gridCol w:w="1210"/>
        <w:gridCol w:w="990"/>
        <w:gridCol w:w="990"/>
      </w:tblGrid>
      <w:tr>
        <w:trPr>
          <w:tblHeader w:val="on"/>
        </w:trPr>
        <w:tc>
          <w:tcPr/>
          <w:p>
            <w:pPr>
              <w:pStyle w:val="Compact"/>
              <w:jc w:val="left"/>
            </w:pPr>
            <w:r>
              <w:t xml:space="preserve">Brain Region</w:t>
            </w:r>
          </w:p>
        </w:tc>
        <w:tc>
          <w:tcPr/>
          <w:p>
            <w:pPr>
              <w:pStyle w:val="Compact"/>
              <w:jc w:val="left"/>
            </w:pPr>
            <w:r>
              <w:t xml:space="preserve">Overlap</w:t>
            </w:r>
          </w:p>
        </w:tc>
        <w:tc>
          <w:tcPr/>
          <w:p>
            <w:pPr>
              <w:pStyle w:val="Compact"/>
              <w:jc w:val="left"/>
            </w:pPr>
            <w:r>
              <w:t xml:space="preserve">F1 Score</w:t>
            </w:r>
          </w:p>
        </w:tc>
        <w:tc>
          <w:tcPr/>
          <w:p>
            <w:pPr>
              <w:pStyle w:val="Compact"/>
              <w:jc w:val="left"/>
            </w:pPr>
            <w:r>
              <w:t xml:space="preserve">Accuracy</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Std Dev</w:t>
            </w:r>
          </w:p>
        </w:tc>
      </w:tr>
      <w:tr>
        <w:tc>
          <w:tcPr/>
          <w:p>
            <w:pPr>
              <w:pStyle w:val="Compact"/>
              <w:jc w:val="left"/>
            </w:pPr>
            <w:r>
              <w:rPr>
                <w:b/>
                <w:bCs/>
              </w:rPr>
              <w:t xml:space="preserve">Temporal</w:t>
            </w:r>
          </w:p>
        </w:tc>
        <w:tc>
          <w:tcPr/>
          <w:p>
            <w:pPr>
              <w:pStyle w:val="Compact"/>
              <w:jc w:val="left"/>
            </w:pPr>
            <w:r>
              <w:t xml:space="preserve">0%</w:t>
            </w:r>
          </w:p>
        </w:tc>
        <w:tc>
          <w:tcPr/>
          <w:p>
            <w:pPr>
              <w:pStyle w:val="Compact"/>
              <w:jc w:val="left"/>
            </w:pPr>
            <w:r>
              <w:rPr>
                <w:b/>
                <w:bCs/>
              </w:rPr>
              <w:t xml:space="preserve">0.8729</w:t>
            </w:r>
          </w:p>
        </w:tc>
        <w:tc>
          <w:tcPr/>
          <w:p>
            <w:pPr>
              <w:pStyle w:val="Compact"/>
              <w:jc w:val="left"/>
            </w:pPr>
            <w:r>
              <w:t xml:space="preserve">0.8769</w:t>
            </w:r>
          </w:p>
        </w:tc>
        <w:tc>
          <w:tcPr/>
          <w:p>
            <w:pPr>
              <w:pStyle w:val="Compact"/>
              <w:jc w:val="left"/>
            </w:pPr>
            <w:r>
              <w:t xml:space="preserve">0.9051</w:t>
            </w:r>
          </w:p>
        </w:tc>
        <w:tc>
          <w:tcPr/>
          <w:p>
            <w:pPr>
              <w:pStyle w:val="Compact"/>
              <w:jc w:val="left"/>
            </w:pPr>
            <w:r>
              <w:t xml:space="preserve">0.8769</w:t>
            </w:r>
          </w:p>
        </w:tc>
        <w:tc>
          <w:tcPr/>
          <w:p>
            <w:pPr>
              <w:pStyle w:val="Compact"/>
              <w:jc w:val="left"/>
            </w:pPr>
            <w:r>
              <w:t xml:space="preserve">0.0681</w:t>
            </w:r>
          </w:p>
        </w:tc>
      </w:tr>
      <w:tr>
        <w:tc>
          <w:tcPr/>
          <w:p>
            <w:pPr>
              <w:pStyle w:val="Compact"/>
              <w:jc w:val="left"/>
            </w:pPr>
            <w:r>
              <w:rPr>
                <w:b/>
                <w:bCs/>
              </w:rPr>
              <w:t xml:space="preserve">Temporal</w:t>
            </w:r>
          </w:p>
        </w:tc>
        <w:tc>
          <w:tcPr/>
          <w:p>
            <w:pPr>
              <w:pStyle w:val="Compact"/>
              <w:jc w:val="left"/>
            </w:pPr>
            <w:r>
              <w:t xml:space="preserve">50%</w:t>
            </w:r>
          </w:p>
        </w:tc>
        <w:tc>
          <w:tcPr/>
          <w:p>
            <w:pPr>
              <w:pStyle w:val="Compact"/>
              <w:jc w:val="left"/>
            </w:pPr>
            <w:r>
              <w:rPr>
                <w:b/>
                <w:bCs/>
              </w:rPr>
              <w:t xml:space="preserve">0.8767</w:t>
            </w:r>
          </w:p>
        </w:tc>
        <w:tc>
          <w:tcPr/>
          <w:p>
            <w:pPr>
              <w:pStyle w:val="Compact"/>
              <w:jc w:val="left"/>
            </w:pPr>
            <w:r>
              <w:t xml:space="preserve">0.8769</w:t>
            </w:r>
          </w:p>
        </w:tc>
        <w:tc>
          <w:tcPr/>
          <w:p>
            <w:pPr>
              <w:pStyle w:val="Compact"/>
              <w:jc w:val="left"/>
            </w:pPr>
            <w:r>
              <w:t xml:space="preserve">0.8887</w:t>
            </w:r>
          </w:p>
        </w:tc>
        <w:tc>
          <w:tcPr/>
          <w:p>
            <w:pPr>
              <w:pStyle w:val="Compact"/>
              <w:jc w:val="left"/>
            </w:pPr>
            <w:r>
              <w:t xml:space="preserve">0.8769</w:t>
            </w:r>
          </w:p>
        </w:tc>
        <w:tc>
          <w:tcPr/>
          <w:p>
            <w:pPr>
              <w:pStyle w:val="Compact"/>
              <w:jc w:val="left"/>
            </w:pPr>
            <w:r>
              <w:t xml:space="preserve">0.0791</w:t>
            </w:r>
          </w:p>
        </w:tc>
      </w:tr>
      <w:tr>
        <w:tc>
          <w:tcPr/>
          <w:p>
            <w:pPr>
              <w:pStyle w:val="Compact"/>
              <w:jc w:val="left"/>
            </w:pPr>
            <w:r>
              <w:rPr>
                <w:b/>
                <w:bCs/>
              </w:rPr>
              <w:t xml:space="preserve">Central</w:t>
            </w:r>
          </w:p>
        </w:tc>
        <w:tc>
          <w:tcPr/>
          <w:p>
            <w:pPr>
              <w:pStyle w:val="Compact"/>
              <w:jc w:val="left"/>
            </w:pPr>
            <w:r>
              <w:t xml:space="preserve">0%</w:t>
            </w:r>
          </w:p>
        </w:tc>
        <w:tc>
          <w:tcPr/>
          <w:p>
            <w:pPr>
              <w:pStyle w:val="Compact"/>
              <w:jc w:val="left"/>
            </w:pPr>
            <w:r>
              <w:t xml:space="preserve">0.7546</w:t>
            </w:r>
          </w:p>
        </w:tc>
        <w:tc>
          <w:tcPr/>
          <w:p>
            <w:pPr>
              <w:pStyle w:val="Compact"/>
              <w:jc w:val="left"/>
            </w:pPr>
            <w:r>
              <w:t xml:space="preserve">0.7538</w:t>
            </w:r>
          </w:p>
        </w:tc>
        <w:tc>
          <w:tcPr/>
          <w:p>
            <w:pPr>
              <w:pStyle w:val="Compact"/>
              <w:jc w:val="left"/>
            </w:pPr>
            <w:r>
              <w:t xml:space="preserve">0.7656</w:t>
            </w:r>
          </w:p>
        </w:tc>
        <w:tc>
          <w:tcPr/>
          <w:p>
            <w:pPr>
              <w:pStyle w:val="Compact"/>
              <w:jc w:val="left"/>
            </w:pPr>
            <w:r>
              <w:t xml:space="preserve">0.7538</w:t>
            </w:r>
          </w:p>
        </w:tc>
        <w:tc>
          <w:tcPr/>
          <w:p>
            <w:pPr>
              <w:pStyle w:val="Compact"/>
              <w:jc w:val="left"/>
            </w:pPr>
            <w:r>
              <w:t xml:space="preserve">0.1127</w:t>
            </w:r>
          </w:p>
        </w:tc>
      </w:tr>
      <w:tr>
        <w:tc>
          <w:tcPr/>
          <w:p>
            <w:pPr>
              <w:pStyle w:val="Compact"/>
              <w:jc w:val="left"/>
            </w:pPr>
            <w:r>
              <w:rPr>
                <w:b/>
                <w:bCs/>
              </w:rPr>
              <w:t xml:space="preserve">Central</w:t>
            </w:r>
          </w:p>
        </w:tc>
        <w:tc>
          <w:tcPr/>
          <w:p>
            <w:pPr>
              <w:pStyle w:val="Compact"/>
              <w:jc w:val="left"/>
            </w:pPr>
            <w:r>
              <w:t xml:space="preserve">50%</w:t>
            </w:r>
          </w:p>
        </w:tc>
        <w:tc>
          <w:tcPr/>
          <w:p>
            <w:pPr>
              <w:pStyle w:val="Compact"/>
              <w:jc w:val="left"/>
            </w:pPr>
            <w:r>
              <w:t xml:space="preserve">0.7192</w:t>
            </w:r>
          </w:p>
        </w:tc>
        <w:tc>
          <w:tcPr/>
          <w:p>
            <w:pPr>
              <w:pStyle w:val="Compact"/>
              <w:jc w:val="left"/>
            </w:pPr>
            <w:r>
              <w:t xml:space="preserve">0.7538</w:t>
            </w:r>
          </w:p>
        </w:tc>
        <w:tc>
          <w:tcPr/>
          <w:p>
            <w:pPr>
              <w:pStyle w:val="Compact"/>
              <w:jc w:val="left"/>
            </w:pPr>
            <w:r>
              <w:t xml:space="preserve">0.7128</w:t>
            </w:r>
          </w:p>
        </w:tc>
        <w:tc>
          <w:tcPr/>
          <w:p>
            <w:pPr>
              <w:pStyle w:val="Compact"/>
              <w:jc w:val="left"/>
            </w:pPr>
            <w:r>
              <w:t xml:space="preserve">0.7538</w:t>
            </w:r>
          </w:p>
        </w:tc>
        <w:tc>
          <w:tcPr/>
          <w:p>
            <w:pPr>
              <w:pStyle w:val="Compact"/>
              <w:jc w:val="left"/>
            </w:pPr>
            <w:r>
              <w:t xml:space="preserve">0.1877</w:t>
            </w:r>
          </w:p>
        </w:tc>
      </w:tr>
      <w:tr>
        <w:tc>
          <w:tcPr/>
          <w:p>
            <w:pPr>
              <w:pStyle w:val="Compact"/>
              <w:jc w:val="left"/>
            </w:pPr>
            <w:r>
              <w:rPr>
                <w:b/>
                <w:bCs/>
              </w:rPr>
              <w:t xml:space="preserve">Frontal</w:t>
            </w:r>
          </w:p>
        </w:tc>
        <w:tc>
          <w:tcPr/>
          <w:p>
            <w:pPr>
              <w:pStyle w:val="Compact"/>
              <w:jc w:val="left"/>
            </w:pPr>
            <w:r>
              <w:t xml:space="preserve">0%</w:t>
            </w:r>
          </w:p>
        </w:tc>
        <w:tc>
          <w:tcPr/>
          <w:p>
            <w:pPr>
              <w:pStyle w:val="Compact"/>
              <w:jc w:val="left"/>
            </w:pPr>
            <w:r>
              <w:t xml:space="preserve">0.7589</w:t>
            </w:r>
          </w:p>
        </w:tc>
        <w:tc>
          <w:tcPr/>
          <w:p>
            <w:pPr>
              <w:pStyle w:val="Compact"/>
              <w:jc w:val="left"/>
            </w:pPr>
            <w:r>
              <w:t xml:space="preserve">0.7692</w:t>
            </w:r>
          </w:p>
        </w:tc>
        <w:tc>
          <w:tcPr/>
          <w:p>
            <w:pPr>
              <w:pStyle w:val="Compact"/>
              <w:jc w:val="left"/>
            </w:pPr>
            <w:r>
              <w:t xml:space="preserve">0.7938</w:t>
            </w:r>
          </w:p>
        </w:tc>
        <w:tc>
          <w:tcPr/>
          <w:p>
            <w:pPr>
              <w:pStyle w:val="Compact"/>
              <w:jc w:val="left"/>
            </w:pPr>
            <w:r>
              <w:t xml:space="preserve">0.7692</w:t>
            </w:r>
          </w:p>
        </w:tc>
        <w:tc>
          <w:tcPr/>
          <w:p>
            <w:pPr>
              <w:pStyle w:val="Compact"/>
              <w:jc w:val="left"/>
            </w:pPr>
            <w:r>
              <w:t xml:space="preserve">0.0628</w:t>
            </w:r>
          </w:p>
        </w:tc>
      </w:tr>
      <w:tr>
        <w:tc>
          <w:tcPr/>
          <w:p>
            <w:pPr>
              <w:pStyle w:val="Compact"/>
              <w:jc w:val="left"/>
            </w:pPr>
            <w:r>
              <w:rPr>
                <w:b/>
                <w:bCs/>
              </w:rPr>
              <w:t xml:space="preserve">Frontal</w:t>
            </w:r>
          </w:p>
        </w:tc>
        <w:tc>
          <w:tcPr/>
          <w:p>
            <w:pPr>
              <w:pStyle w:val="Compact"/>
              <w:jc w:val="left"/>
            </w:pPr>
            <w:r>
              <w:t xml:space="preserve">50%</w:t>
            </w:r>
          </w:p>
        </w:tc>
        <w:tc>
          <w:tcPr/>
          <w:p>
            <w:pPr>
              <w:pStyle w:val="Compact"/>
              <w:jc w:val="left"/>
            </w:pPr>
            <w:r>
              <w:t xml:space="preserve">0.5620</w:t>
            </w:r>
          </w:p>
        </w:tc>
        <w:tc>
          <w:tcPr/>
          <w:p>
            <w:pPr>
              <w:pStyle w:val="Compact"/>
              <w:jc w:val="left"/>
            </w:pPr>
            <w:r>
              <w:t xml:space="preserve">0.6000</w:t>
            </w:r>
          </w:p>
        </w:tc>
        <w:tc>
          <w:tcPr/>
          <w:p>
            <w:pPr>
              <w:pStyle w:val="Compact"/>
              <w:jc w:val="left"/>
            </w:pPr>
            <w:r>
              <w:t xml:space="preserve">0.5578</w:t>
            </w:r>
          </w:p>
        </w:tc>
        <w:tc>
          <w:tcPr/>
          <w:p>
            <w:pPr>
              <w:pStyle w:val="Compact"/>
              <w:jc w:val="left"/>
            </w:pPr>
            <w:r>
              <w:t xml:space="preserve">0.6000</w:t>
            </w:r>
          </w:p>
        </w:tc>
        <w:tc>
          <w:tcPr/>
          <w:p>
            <w:pPr>
              <w:pStyle w:val="Compact"/>
              <w:jc w:val="left"/>
            </w:pPr>
            <w:r>
              <w:t xml:space="preserve">0.0926</w:t>
            </w:r>
          </w:p>
        </w:tc>
      </w:tr>
      <w:tr>
        <w:tc>
          <w:tcPr/>
          <w:p>
            <w:pPr>
              <w:pStyle w:val="Compact"/>
              <w:jc w:val="left"/>
            </w:pPr>
            <w:r>
              <w:rPr>
                <w:b/>
                <w:bCs/>
              </w:rPr>
              <w:t xml:space="preserve">Parietal</w:t>
            </w:r>
          </w:p>
        </w:tc>
        <w:tc>
          <w:tcPr/>
          <w:p>
            <w:pPr>
              <w:pStyle w:val="Compact"/>
              <w:jc w:val="left"/>
            </w:pPr>
            <w:r>
              <w:t xml:space="preserve">0%</w:t>
            </w:r>
          </w:p>
        </w:tc>
        <w:tc>
          <w:tcPr/>
          <w:p>
            <w:pPr>
              <w:pStyle w:val="Compact"/>
              <w:jc w:val="left"/>
            </w:pPr>
            <w:r>
              <w:t xml:space="preserve">0.6889</w:t>
            </w:r>
          </w:p>
        </w:tc>
        <w:tc>
          <w:tcPr/>
          <w:p>
            <w:pPr>
              <w:pStyle w:val="Compact"/>
              <w:jc w:val="left"/>
            </w:pPr>
            <w:r>
              <w:t xml:space="preserve">0.7077</w:t>
            </w:r>
          </w:p>
        </w:tc>
        <w:tc>
          <w:tcPr/>
          <w:p>
            <w:pPr>
              <w:pStyle w:val="Compact"/>
              <w:jc w:val="left"/>
            </w:pPr>
            <w:r>
              <w:t xml:space="preserve">0.7455</w:t>
            </w:r>
          </w:p>
        </w:tc>
        <w:tc>
          <w:tcPr/>
          <w:p>
            <w:pPr>
              <w:pStyle w:val="Compact"/>
              <w:jc w:val="left"/>
            </w:pPr>
            <w:r>
              <w:t xml:space="preserve">0.7077</w:t>
            </w:r>
          </w:p>
        </w:tc>
        <w:tc>
          <w:tcPr/>
          <w:p>
            <w:pPr>
              <w:pStyle w:val="Compact"/>
              <w:jc w:val="left"/>
            </w:pPr>
            <w:r>
              <w:t xml:space="preserve">0.0341</w:t>
            </w:r>
          </w:p>
        </w:tc>
      </w:tr>
      <w:tr>
        <w:tc>
          <w:tcPr/>
          <w:p>
            <w:pPr>
              <w:pStyle w:val="Compact"/>
              <w:jc w:val="left"/>
            </w:pPr>
            <w:r>
              <w:rPr>
                <w:b/>
                <w:bCs/>
              </w:rPr>
              <w:t xml:space="preserve">Parietal</w:t>
            </w:r>
          </w:p>
        </w:tc>
        <w:tc>
          <w:tcPr/>
          <w:p>
            <w:pPr>
              <w:pStyle w:val="Compact"/>
              <w:jc w:val="left"/>
            </w:pPr>
            <w:r>
              <w:t xml:space="preserve">50%</w:t>
            </w:r>
          </w:p>
        </w:tc>
        <w:tc>
          <w:tcPr/>
          <w:p>
            <w:pPr>
              <w:pStyle w:val="Compact"/>
              <w:jc w:val="left"/>
            </w:pPr>
            <w:r>
              <w:t xml:space="preserve">0.6987</w:t>
            </w:r>
          </w:p>
        </w:tc>
        <w:tc>
          <w:tcPr/>
          <w:p>
            <w:pPr>
              <w:pStyle w:val="Compact"/>
              <w:jc w:val="left"/>
            </w:pPr>
            <w:r>
              <w:t xml:space="preserve">0.7231</w:t>
            </w:r>
          </w:p>
        </w:tc>
        <w:tc>
          <w:tcPr/>
          <w:p>
            <w:pPr>
              <w:pStyle w:val="Compact"/>
              <w:jc w:val="left"/>
            </w:pPr>
            <w:r>
              <w:t xml:space="preserve">0.7667</w:t>
            </w:r>
          </w:p>
        </w:tc>
        <w:tc>
          <w:tcPr/>
          <w:p>
            <w:pPr>
              <w:pStyle w:val="Compact"/>
              <w:jc w:val="left"/>
            </w:pPr>
            <w:r>
              <w:t xml:space="preserve">0.7231</w:t>
            </w:r>
          </w:p>
        </w:tc>
        <w:tc>
          <w:tcPr/>
          <w:p>
            <w:pPr>
              <w:pStyle w:val="Compact"/>
              <w:jc w:val="left"/>
            </w:pPr>
            <w:r>
              <w:t xml:space="preserve">0.1037</w:t>
            </w:r>
          </w:p>
        </w:tc>
      </w:tr>
      <w:tr>
        <w:tc>
          <w:tcPr/>
          <w:p>
            <w:pPr>
              <w:pStyle w:val="Compact"/>
              <w:jc w:val="left"/>
            </w:pPr>
            <w:r>
              <w:rPr>
                <w:b/>
                <w:bCs/>
              </w:rPr>
              <w:t xml:space="preserve">Occipital</w:t>
            </w:r>
          </w:p>
        </w:tc>
        <w:tc>
          <w:tcPr/>
          <w:p>
            <w:pPr>
              <w:pStyle w:val="Compact"/>
              <w:jc w:val="left"/>
            </w:pPr>
            <w:r>
              <w:t xml:space="preserve">0%</w:t>
            </w:r>
          </w:p>
        </w:tc>
        <w:tc>
          <w:tcPr/>
          <w:p>
            <w:pPr>
              <w:pStyle w:val="Compact"/>
              <w:jc w:val="left"/>
            </w:pPr>
            <w:r>
              <w:t xml:space="preserve">0.3953</w:t>
            </w:r>
          </w:p>
        </w:tc>
        <w:tc>
          <w:tcPr/>
          <w:p>
            <w:pPr>
              <w:pStyle w:val="Compact"/>
              <w:jc w:val="left"/>
            </w:pPr>
            <w:r>
              <w:t xml:space="preserve">0.5538</w:t>
            </w:r>
          </w:p>
        </w:tc>
        <w:tc>
          <w:tcPr/>
          <w:p>
            <w:pPr>
              <w:pStyle w:val="Compact"/>
              <w:jc w:val="left"/>
            </w:pPr>
            <w:r>
              <w:t xml:space="preserve">0.3077</w:t>
            </w:r>
          </w:p>
        </w:tc>
        <w:tc>
          <w:tcPr/>
          <w:p>
            <w:pPr>
              <w:pStyle w:val="Compact"/>
              <w:jc w:val="left"/>
            </w:pPr>
            <w:r>
              <w:t xml:space="preserve">0.5538</w:t>
            </w:r>
          </w:p>
        </w:tc>
        <w:tc>
          <w:tcPr/>
          <w:p>
            <w:pPr>
              <w:pStyle w:val="Compact"/>
              <w:jc w:val="left"/>
            </w:pPr>
            <w:r>
              <w:t xml:space="preserve">0.0368</w:t>
            </w:r>
          </w:p>
        </w:tc>
      </w:tr>
      <w:tr>
        <w:tc>
          <w:tcPr/>
          <w:p>
            <w:pPr>
              <w:pStyle w:val="Compact"/>
              <w:jc w:val="left"/>
            </w:pPr>
            <w:r>
              <w:rPr>
                <w:b/>
                <w:bCs/>
              </w:rPr>
              <w:t xml:space="preserve">Occipital</w:t>
            </w:r>
          </w:p>
        </w:tc>
        <w:tc>
          <w:tcPr/>
          <w:p>
            <w:pPr>
              <w:pStyle w:val="Compact"/>
              <w:jc w:val="left"/>
            </w:pPr>
            <w:r>
              <w:t xml:space="preserve">50%</w:t>
            </w:r>
          </w:p>
        </w:tc>
        <w:tc>
          <w:tcPr/>
          <w:p>
            <w:pPr>
              <w:pStyle w:val="Compact"/>
              <w:jc w:val="left"/>
            </w:pPr>
            <w:r>
              <w:t xml:space="preserve">0.5315</w:t>
            </w:r>
          </w:p>
        </w:tc>
        <w:tc>
          <w:tcPr/>
          <w:p>
            <w:pPr>
              <w:pStyle w:val="Compact"/>
              <w:jc w:val="left"/>
            </w:pPr>
            <w:r>
              <w:t xml:space="preserve">0.6308</w:t>
            </w:r>
          </w:p>
        </w:tc>
        <w:tc>
          <w:tcPr/>
          <w:p>
            <w:pPr>
              <w:pStyle w:val="Compact"/>
              <w:jc w:val="left"/>
            </w:pPr>
            <w:r>
              <w:t xml:space="preserve">0.5955</w:t>
            </w:r>
          </w:p>
        </w:tc>
        <w:tc>
          <w:tcPr/>
          <w:p>
            <w:pPr>
              <w:pStyle w:val="Compact"/>
              <w:jc w:val="left"/>
            </w:pPr>
            <w:r>
              <w:t xml:space="preserve">0.6308</w:t>
            </w:r>
          </w:p>
        </w:tc>
        <w:tc>
          <w:tcPr/>
          <w:p>
            <w:pPr>
              <w:pStyle w:val="Compact"/>
              <w:jc w:val="left"/>
            </w:pPr>
            <w:r>
              <w:t xml:space="preserve">0.1714</w:t>
            </w:r>
          </w:p>
        </w:tc>
      </w:tr>
    </w:tbl>
    <w:bookmarkEnd w:id="24"/>
    <w:bookmarkStart w:id="25" w:name="X74c5f2cf1c397f5332d083cb786ba75c57c4e76"/>
    <w:p>
      <w:pPr>
        <w:pStyle w:val="Heading3"/>
      </w:pPr>
      <w:r>
        <w:t xml:space="preserve">Table 4: HC vs AD Classification (Class 0-2) - Window Size 6s</w:t>
      </w:r>
    </w:p>
    <w:tbl>
      <w:tblPr>
        <w:tblStyle w:val="Table"/>
        <w:tblW w:type="pct" w:w="5000"/>
        <w:jc w:val="left"/>
        <w:tblLayout w:type="fixed"/>
        <w:tblLook w:firstRow="1" w:lastRow="0" w:firstColumn="0" w:lastColumn="0" w:noHBand="0" w:noVBand="0" w:val="0020"/>
      </w:tblPr>
      <w:tblGrid>
        <w:gridCol w:w="1352"/>
        <w:gridCol w:w="869"/>
        <w:gridCol w:w="965"/>
        <w:gridCol w:w="965"/>
        <w:gridCol w:w="965"/>
        <w:gridCol w:w="1062"/>
        <w:gridCol w:w="869"/>
        <w:gridCol w:w="869"/>
      </w:tblGrid>
      <w:tr>
        <w:trPr>
          <w:tblHeader w:val="on"/>
        </w:trPr>
        <w:tc>
          <w:tcPr/>
          <w:p>
            <w:pPr>
              <w:pStyle w:val="Compact"/>
              <w:jc w:val="left"/>
            </w:pPr>
            <w:r>
              <w:t xml:space="preserve">Brain Region</w:t>
            </w:r>
          </w:p>
        </w:tc>
        <w:tc>
          <w:tcPr/>
          <w:p>
            <w:pPr>
              <w:pStyle w:val="Compact"/>
              <w:jc w:val="left"/>
            </w:pPr>
            <w:r>
              <w:t xml:space="preserve">Overlap</w:t>
            </w:r>
          </w:p>
        </w:tc>
        <w:tc>
          <w:tcPr/>
          <w:p>
            <w:pPr>
              <w:pStyle w:val="Compact"/>
              <w:jc w:val="left"/>
            </w:pPr>
            <w:r>
              <w:t xml:space="preserve">F1 Score</w:t>
            </w:r>
          </w:p>
        </w:tc>
        <w:tc>
          <w:tcPr/>
          <w:p>
            <w:pPr>
              <w:pStyle w:val="Compact"/>
              <w:jc w:val="left"/>
            </w:pPr>
            <w:r>
              <w:t xml:space="preserve">Accuracy</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Std Dev</w:t>
            </w:r>
          </w:p>
        </w:tc>
        <w:tc>
          <w:tcPr/>
          <w:p>
            <w:pPr>
              <w:pStyle w:val="Compact"/>
            </w:pPr>
          </w:p>
        </w:tc>
      </w:tr>
      <w:tr>
        <w:tc>
          <w:tcPr/>
          <w:p>
            <w:pPr>
              <w:pStyle w:val="Compact"/>
              <w:jc w:val="left"/>
            </w:pPr>
            <w:r>
              <w:rPr>
                <w:b/>
                <w:bCs/>
              </w:rPr>
              <w:t xml:space="preserve">Temporal</w:t>
            </w:r>
          </w:p>
        </w:tc>
        <w:tc>
          <w:tcPr/>
          <w:p>
            <w:pPr>
              <w:pStyle w:val="Compact"/>
              <w:jc w:val="left"/>
            </w:pPr>
            <w:r>
              <w:t xml:space="preserve">0%</w:t>
            </w:r>
          </w:p>
        </w:tc>
        <w:tc>
          <w:tcPr/>
          <w:p>
            <w:pPr>
              <w:pStyle w:val="Compact"/>
              <w:jc w:val="left"/>
            </w:pPr>
            <w:r>
              <w:rPr>
                <w:b/>
                <w:bCs/>
              </w:rPr>
              <w:t xml:space="preserve">0.8758</w:t>
            </w:r>
          </w:p>
        </w:tc>
        <w:tc>
          <w:tcPr/>
          <w:p>
            <w:pPr>
              <w:pStyle w:val="Compact"/>
              <w:jc w:val="left"/>
            </w:pPr>
            <w:r>
              <w:t xml:space="preserve">0.8769</w:t>
            </w:r>
          </w:p>
        </w:tc>
        <w:tc>
          <w:tcPr/>
          <w:p>
            <w:pPr>
              <w:pStyle w:val="Compact"/>
              <w:jc w:val="left"/>
            </w:pPr>
            <w:r>
              <w:t xml:space="preserve">0.8829</w:t>
            </w:r>
          </w:p>
        </w:tc>
        <w:tc>
          <w:tcPr/>
          <w:p>
            <w:pPr>
              <w:pStyle w:val="Compact"/>
              <w:jc w:val="left"/>
            </w:pPr>
            <w:r>
              <w:t xml:space="preserve">0.8769</w:t>
            </w:r>
          </w:p>
        </w:tc>
        <w:tc>
          <w:tcPr/>
          <w:p>
            <w:pPr>
              <w:pStyle w:val="Compact"/>
              <w:jc w:val="left"/>
            </w:pPr>
            <w:r>
              <w:t xml:space="preserve">0.0936</w:t>
            </w:r>
          </w:p>
        </w:tc>
        <w:tc>
          <w:tcPr/>
          <w:p>
            <w:pPr>
              <w:pStyle w:val="Compact"/>
            </w:pPr>
          </w:p>
        </w:tc>
      </w:tr>
      <w:tr>
        <w:tc>
          <w:tcPr/>
          <w:p>
            <w:pPr>
              <w:pStyle w:val="Compact"/>
              <w:jc w:val="left"/>
            </w:pPr>
            <w:r>
              <w:rPr>
                <w:b/>
                <w:bCs/>
              </w:rPr>
              <w:t xml:space="preserve">Temporal</w:t>
            </w:r>
          </w:p>
        </w:tc>
        <w:tc>
          <w:tcPr/>
          <w:p>
            <w:pPr>
              <w:pStyle w:val="Compact"/>
              <w:jc w:val="left"/>
            </w:pPr>
            <w:r>
              <w:t xml:space="preserve">50%</w:t>
            </w:r>
          </w:p>
        </w:tc>
        <w:tc>
          <w:tcPr/>
          <w:p>
            <w:pPr>
              <w:pStyle w:val="Compact"/>
              <w:jc w:val="left"/>
            </w:pPr>
            <w:r>
              <w:t xml:space="preserve">0.8454</w:t>
            </w:r>
          </w:p>
        </w:tc>
        <w:tc>
          <w:tcPr/>
          <w:p>
            <w:pPr>
              <w:pStyle w:val="Compact"/>
              <w:jc w:val="left"/>
            </w:pPr>
            <w:r>
              <w:t xml:space="preserve">0.8462</w:t>
            </w:r>
          </w:p>
        </w:tc>
        <w:tc>
          <w:tcPr/>
          <w:p>
            <w:pPr>
              <w:pStyle w:val="Compact"/>
              <w:jc w:val="left"/>
            </w:pPr>
            <w:r>
              <w:t xml:space="preserve">0.8533</w:t>
            </w:r>
          </w:p>
        </w:tc>
        <w:tc>
          <w:tcPr/>
          <w:p>
            <w:pPr>
              <w:pStyle w:val="Compact"/>
              <w:jc w:val="left"/>
            </w:pPr>
            <w:r>
              <w:t xml:space="preserve">0.8462</w:t>
            </w:r>
          </w:p>
        </w:tc>
        <w:tc>
          <w:tcPr/>
          <w:p>
            <w:pPr>
              <w:pStyle w:val="Compact"/>
              <w:jc w:val="left"/>
            </w:pPr>
            <w:r>
              <w:t xml:space="preserve">0.0976</w:t>
            </w:r>
          </w:p>
        </w:tc>
        <w:tc>
          <w:tcPr/>
          <w:p>
            <w:pPr>
              <w:pStyle w:val="Compact"/>
            </w:pPr>
          </w:p>
        </w:tc>
      </w:tr>
      <w:tr>
        <w:tc>
          <w:tcPr/>
          <w:p>
            <w:pPr>
              <w:pStyle w:val="Compact"/>
              <w:jc w:val="left"/>
            </w:pPr>
            <w:r>
              <w:rPr>
                <w:b/>
                <w:bCs/>
              </w:rPr>
              <w:t xml:space="preserve">Central</w:t>
            </w:r>
          </w:p>
        </w:tc>
        <w:tc>
          <w:tcPr/>
          <w:p>
            <w:pPr>
              <w:pStyle w:val="Compact"/>
              <w:jc w:val="left"/>
            </w:pPr>
            <w:r>
              <w:t xml:space="preserve">0%</w:t>
            </w:r>
          </w:p>
        </w:tc>
        <w:tc>
          <w:tcPr/>
          <w:p>
            <w:pPr>
              <w:pStyle w:val="Compact"/>
              <w:jc w:val="left"/>
            </w:pPr>
            <w:r>
              <w:t xml:space="preserve">0.7818</w:t>
            </w:r>
          </w:p>
        </w:tc>
        <w:tc>
          <w:tcPr/>
          <w:p>
            <w:pPr>
              <w:pStyle w:val="Compact"/>
              <w:jc w:val="left"/>
            </w:pPr>
            <w:r>
              <w:t xml:space="preserve">0.7846</w:t>
            </w:r>
          </w:p>
        </w:tc>
        <w:tc>
          <w:tcPr/>
          <w:p>
            <w:pPr>
              <w:pStyle w:val="Compact"/>
              <w:jc w:val="left"/>
            </w:pPr>
            <w:r>
              <w:t xml:space="preserve">0.8051</w:t>
            </w:r>
          </w:p>
        </w:tc>
        <w:tc>
          <w:tcPr/>
          <w:p>
            <w:pPr>
              <w:pStyle w:val="Compact"/>
              <w:jc w:val="left"/>
            </w:pPr>
            <w:r>
              <w:t xml:space="preserve">0.7846</w:t>
            </w:r>
          </w:p>
        </w:tc>
        <w:tc>
          <w:tcPr/>
          <w:p>
            <w:pPr>
              <w:pStyle w:val="Compact"/>
              <w:jc w:val="left"/>
            </w:pPr>
            <w:r>
              <w:t xml:space="preserve">0.0929</w:t>
            </w:r>
          </w:p>
        </w:tc>
        <w:tc>
          <w:tcPr/>
          <w:p>
            <w:pPr>
              <w:pStyle w:val="Compact"/>
            </w:pPr>
          </w:p>
        </w:tc>
      </w:tr>
      <w:tr>
        <w:tc>
          <w:tcPr/>
          <w:p>
            <w:pPr>
              <w:pStyle w:val="Compact"/>
              <w:jc w:val="left"/>
            </w:pPr>
            <w:r>
              <w:rPr>
                <w:b/>
                <w:bCs/>
              </w:rPr>
              <w:t xml:space="preserve">Central</w:t>
            </w:r>
          </w:p>
        </w:tc>
        <w:tc>
          <w:tcPr/>
          <w:p>
            <w:pPr>
              <w:pStyle w:val="Compact"/>
              <w:jc w:val="left"/>
            </w:pPr>
            <w:r>
              <w:t xml:space="preserve">50%</w:t>
            </w:r>
          </w:p>
        </w:tc>
        <w:tc>
          <w:tcPr/>
          <w:p>
            <w:pPr>
              <w:pStyle w:val="Compact"/>
              <w:jc w:val="left"/>
            </w:pPr>
            <w:r>
              <w:t xml:space="preserve">0.7340</w:t>
            </w:r>
          </w:p>
        </w:tc>
        <w:tc>
          <w:tcPr/>
          <w:p>
            <w:pPr>
              <w:pStyle w:val="Compact"/>
              <w:jc w:val="left"/>
            </w:pPr>
            <w:r>
              <w:t xml:space="preserve">0.7385</w:t>
            </w:r>
          </w:p>
        </w:tc>
        <w:tc>
          <w:tcPr/>
          <w:p>
            <w:pPr>
              <w:pStyle w:val="Compact"/>
              <w:jc w:val="left"/>
            </w:pPr>
            <w:r>
              <w:t xml:space="preserve">0.7524</w:t>
            </w:r>
          </w:p>
        </w:tc>
        <w:tc>
          <w:tcPr/>
          <w:p>
            <w:pPr>
              <w:pStyle w:val="Compact"/>
              <w:jc w:val="left"/>
            </w:pPr>
            <w:r>
              <w:t xml:space="preserve">0.7385</w:t>
            </w:r>
          </w:p>
        </w:tc>
        <w:tc>
          <w:tcPr/>
          <w:p>
            <w:pPr>
              <w:pStyle w:val="Compact"/>
              <w:jc w:val="left"/>
            </w:pPr>
            <w:r>
              <w:t xml:space="preserve">0.0644</w:t>
            </w:r>
          </w:p>
        </w:tc>
        <w:tc>
          <w:tcPr/>
          <w:p>
            <w:pPr>
              <w:pStyle w:val="Compact"/>
            </w:pPr>
          </w:p>
        </w:tc>
      </w:tr>
      <w:tr>
        <w:tc>
          <w:tcPr/>
          <w:p>
            <w:pPr>
              <w:pStyle w:val="Compact"/>
              <w:jc w:val="left"/>
            </w:pPr>
            <w:r>
              <w:rPr>
                <w:b/>
                <w:bCs/>
              </w:rPr>
              <w:t xml:space="preserve">Parietal</w:t>
            </w:r>
          </w:p>
        </w:tc>
        <w:tc>
          <w:tcPr/>
          <w:p>
            <w:pPr>
              <w:pStyle w:val="Compact"/>
              <w:jc w:val="left"/>
            </w:pPr>
            <w:r>
              <w:t xml:space="preserve">0%</w:t>
            </w:r>
          </w:p>
        </w:tc>
        <w:tc>
          <w:tcPr/>
          <w:p>
            <w:pPr>
              <w:pStyle w:val="Compact"/>
              <w:jc w:val="left"/>
            </w:pPr>
            <w:r>
              <w:t xml:space="preserve">0.7575</w:t>
            </w:r>
          </w:p>
        </w:tc>
        <w:tc>
          <w:tcPr/>
          <w:p>
            <w:pPr>
              <w:pStyle w:val="Compact"/>
              <w:jc w:val="left"/>
            </w:pPr>
            <w:r>
              <w:t xml:space="preserve">0.7846</w:t>
            </w:r>
          </w:p>
        </w:tc>
        <w:tc>
          <w:tcPr/>
          <w:p>
            <w:pPr>
              <w:pStyle w:val="Compact"/>
              <w:jc w:val="left"/>
            </w:pPr>
            <w:r>
              <w:t xml:space="preserve">0.8510</w:t>
            </w:r>
          </w:p>
        </w:tc>
        <w:tc>
          <w:tcPr/>
          <w:p>
            <w:pPr>
              <w:pStyle w:val="Compact"/>
              <w:jc w:val="left"/>
            </w:pPr>
            <w:r>
              <w:t xml:space="preserve">0.7846</w:t>
            </w:r>
          </w:p>
        </w:tc>
        <w:tc>
          <w:tcPr/>
          <w:p>
            <w:pPr>
              <w:pStyle w:val="Compact"/>
              <w:jc w:val="left"/>
            </w:pPr>
            <w:r>
              <w:t xml:space="preserve">0.1141</w:t>
            </w:r>
          </w:p>
        </w:tc>
        <w:tc>
          <w:tcPr/>
          <w:p>
            <w:pPr>
              <w:pStyle w:val="Compact"/>
            </w:pPr>
          </w:p>
        </w:tc>
      </w:tr>
      <w:tr>
        <w:tc>
          <w:tcPr/>
          <w:p>
            <w:pPr>
              <w:pStyle w:val="Compact"/>
              <w:jc w:val="left"/>
            </w:pPr>
            <w:r>
              <w:rPr>
                <w:b/>
                <w:bCs/>
              </w:rPr>
              <w:t xml:space="preserve">Parietal</w:t>
            </w:r>
          </w:p>
        </w:tc>
        <w:tc>
          <w:tcPr/>
          <w:p>
            <w:pPr>
              <w:pStyle w:val="Compact"/>
              <w:jc w:val="left"/>
            </w:pPr>
            <w:r>
              <w:t xml:space="preserve">50%</w:t>
            </w:r>
          </w:p>
        </w:tc>
        <w:tc>
          <w:tcPr/>
          <w:p>
            <w:pPr>
              <w:pStyle w:val="Compact"/>
              <w:jc w:val="left"/>
            </w:pPr>
            <w:r>
              <w:t xml:space="preserve">0.7496</w:t>
            </w:r>
          </w:p>
        </w:tc>
        <w:tc>
          <w:tcPr/>
          <w:p>
            <w:pPr>
              <w:pStyle w:val="Compact"/>
              <w:jc w:val="left"/>
            </w:pPr>
            <w:r>
              <w:t xml:space="preserve">0.7538</w:t>
            </w:r>
          </w:p>
        </w:tc>
        <w:tc>
          <w:tcPr/>
          <w:p>
            <w:pPr>
              <w:pStyle w:val="Compact"/>
              <w:jc w:val="left"/>
            </w:pPr>
            <w:r>
              <w:t xml:space="preserve">0.7601</w:t>
            </w:r>
          </w:p>
        </w:tc>
        <w:tc>
          <w:tcPr/>
          <w:p>
            <w:pPr>
              <w:pStyle w:val="Compact"/>
              <w:jc w:val="left"/>
            </w:pPr>
            <w:r>
              <w:t xml:space="preserve">0.7538</w:t>
            </w:r>
          </w:p>
        </w:tc>
        <w:tc>
          <w:tcPr/>
          <w:p>
            <w:pPr>
              <w:pStyle w:val="Compact"/>
              <w:jc w:val="left"/>
            </w:pPr>
            <w:r>
              <w:t xml:space="preserve">0.1029</w:t>
            </w:r>
          </w:p>
        </w:tc>
        <w:tc>
          <w:tcPr/>
          <w:p>
            <w:pPr>
              <w:pStyle w:val="Compact"/>
            </w:pPr>
          </w:p>
        </w:tc>
      </w:tr>
      <w:tr>
        <w:tc>
          <w:tcPr/>
          <w:p>
            <w:pPr>
              <w:pStyle w:val="Compact"/>
              <w:jc w:val="left"/>
            </w:pPr>
            <w:r>
              <w:rPr>
                <w:b/>
                <w:bCs/>
              </w:rPr>
              <w:t xml:space="preserve">Frontal</w:t>
            </w:r>
          </w:p>
        </w:tc>
        <w:tc>
          <w:tcPr/>
          <w:p>
            <w:pPr>
              <w:pStyle w:val="Compact"/>
              <w:jc w:val="left"/>
            </w:pPr>
            <w:r>
              <w:t xml:space="preserve">0%</w:t>
            </w:r>
          </w:p>
        </w:tc>
        <w:tc>
          <w:tcPr/>
          <w:p>
            <w:pPr>
              <w:pStyle w:val="Compact"/>
              <w:jc w:val="left"/>
            </w:pPr>
            <w:r>
              <w:t xml:space="preserve">0.6999</w:t>
            </w:r>
          </w:p>
        </w:tc>
        <w:tc>
          <w:tcPr/>
          <w:p>
            <w:pPr>
              <w:pStyle w:val="Compact"/>
              <w:jc w:val="left"/>
            </w:pPr>
            <w:r>
              <w:t xml:space="preserve">0.7231</w:t>
            </w:r>
          </w:p>
        </w:tc>
        <w:tc>
          <w:tcPr/>
          <w:p>
            <w:pPr>
              <w:pStyle w:val="Compact"/>
              <w:jc w:val="left"/>
            </w:pPr>
            <w:r>
              <w:t xml:space="preserve">0.8081</w:t>
            </w:r>
          </w:p>
        </w:tc>
        <w:tc>
          <w:tcPr/>
          <w:p>
            <w:pPr>
              <w:pStyle w:val="Compact"/>
              <w:jc w:val="left"/>
            </w:pPr>
            <w:r>
              <w:t xml:space="preserve">0.7231</w:t>
            </w:r>
          </w:p>
        </w:tc>
        <w:tc>
          <w:tcPr/>
          <w:p>
            <w:pPr>
              <w:pStyle w:val="Compact"/>
              <w:jc w:val="left"/>
            </w:pPr>
            <w:r>
              <w:t xml:space="preserve">0.1044</w:t>
            </w:r>
          </w:p>
        </w:tc>
        <w:tc>
          <w:tcPr/>
          <w:p>
            <w:pPr>
              <w:pStyle w:val="Compact"/>
            </w:pPr>
          </w:p>
        </w:tc>
      </w:tr>
      <w:tr>
        <w:tc>
          <w:tcPr/>
          <w:p>
            <w:pPr>
              <w:pStyle w:val="Compact"/>
              <w:jc w:val="left"/>
            </w:pPr>
            <w:r>
              <w:rPr>
                <w:b/>
                <w:bCs/>
              </w:rPr>
              <w:t xml:space="preserve">Frontal</w:t>
            </w:r>
          </w:p>
        </w:tc>
        <w:tc>
          <w:tcPr/>
          <w:p>
            <w:pPr>
              <w:pStyle w:val="Compact"/>
              <w:jc w:val="left"/>
            </w:pPr>
            <w:r>
              <w:t xml:space="preserve">50%</w:t>
            </w:r>
          </w:p>
        </w:tc>
        <w:tc>
          <w:tcPr/>
          <w:p>
            <w:pPr>
              <w:pStyle w:val="Compact"/>
              <w:jc w:val="left"/>
            </w:pPr>
            <w:r>
              <w:t xml:space="preserve">0.6894</w:t>
            </w:r>
          </w:p>
        </w:tc>
        <w:tc>
          <w:tcPr/>
          <w:p>
            <w:pPr>
              <w:pStyle w:val="Compact"/>
              <w:jc w:val="left"/>
            </w:pPr>
            <w:r>
              <w:t xml:space="preserve">0.7026</w:t>
            </w:r>
          </w:p>
        </w:tc>
        <w:tc>
          <w:tcPr/>
          <w:p>
            <w:pPr>
              <w:pStyle w:val="Compact"/>
              <w:jc w:val="left"/>
            </w:pPr>
            <w:r>
              <w:t xml:space="preserve">0.7319</w:t>
            </w:r>
          </w:p>
        </w:tc>
        <w:tc>
          <w:tcPr/>
          <w:p>
            <w:pPr>
              <w:pStyle w:val="Compact"/>
              <w:jc w:val="left"/>
            </w:pPr>
            <w:r>
              <w:t xml:space="preserve">0.7026</w:t>
            </w:r>
          </w:p>
        </w:tc>
        <w:tc>
          <w:tcPr/>
          <w:p>
            <w:pPr>
              <w:pStyle w:val="Compact"/>
              <w:jc w:val="left"/>
            </w:pPr>
            <w:r>
              <w:t xml:space="preserve">0.0415</w:t>
            </w:r>
          </w:p>
        </w:tc>
        <w:tc>
          <w:tcPr/>
          <w:p>
            <w:pPr>
              <w:pStyle w:val="Compact"/>
            </w:pPr>
          </w:p>
        </w:tc>
      </w:tr>
      <w:tr>
        <w:tc>
          <w:tcPr/>
          <w:p>
            <w:pPr>
              <w:pStyle w:val="Compact"/>
              <w:jc w:val="left"/>
            </w:pPr>
            <w:r>
              <w:rPr>
                <w:b/>
                <w:bCs/>
              </w:rPr>
              <w:t xml:space="preserve">Occipital</w:t>
            </w:r>
          </w:p>
        </w:tc>
        <w:tc>
          <w:tcPr/>
          <w:p>
            <w:pPr>
              <w:pStyle w:val="Compact"/>
              <w:jc w:val="left"/>
            </w:pPr>
            <w:r>
              <w:t xml:space="preserve">0%</w:t>
            </w:r>
          </w:p>
        </w:tc>
        <w:tc>
          <w:tcPr/>
          <w:p>
            <w:pPr>
              <w:pStyle w:val="Compact"/>
              <w:jc w:val="left"/>
            </w:pPr>
            <w:r>
              <w:t xml:space="preserve">0.5143</w:t>
            </w:r>
          </w:p>
        </w:tc>
        <w:tc>
          <w:tcPr/>
          <w:p>
            <w:pPr>
              <w:pStyle w:val="Compact"/>
              <w:jc w:val="left"/>
            </w:pPr>
            <w:r>
              <w:t xml:space="preserve">0.5846</w:t>
            </w:r>
          </w:p>
        </w:tc>
        <w:tc>
          <w:tcPr/>
          <w:p>
            <w:pPr>
              <w:pStyle w:val="Compact"/>
              <w:jc w:val="left"/>
            </w:pPr>
            <w:r>
              <w:t xml:space="preserve">0.5010</w:t>
            </w:r>
          </w:p>
        </w:tc>
        <w:tc>
          <w:tcPr/>
          <w:p>
            <w:pPr>
              <w:pStyle w:val="Compact"/>
              <w:jc w:val="left"/>
            </w:pPr>
            <w:r>
              <w:t xml:space="preserve">0.5846</w:t>
            </w:r>
          </w:p>
        </w:tc>
        <w:tc>
          <w:tcPr/>
          <w:p>
            <w:pPr>
              <w:pStyle w:val="Compact"/>
              <w:jc w:val="left"/>
            </w:pPr>
            <w:r>
              <w:t xml:space="preserve">0.1217</w:t>
            </w:r>
          </w:p>
        </w:tc>
        <w:tc>
          <w:tcPr/>
          <w:p>
            <w:pPr>
              <w:pStyle w:val="Compact"/>
            </w:pPr>
          </w:p>
        </w:tc>
      </w:tr>
      <w:tr>
        <w:tc>
          <w:tcPr/>
          <w:p>
            <w:pPr>
              <w:pStyle w:val="Compact"/>
              <w:jc w:val="left"/>
            </w:pPr>
            <w:r>
              <w:rPr>
                <w:b/>
                <w:bCs/>
              </w:rPr>
              <w:t xml:space="preserve">Occipital</w:t>
            </w:r>
          </w:p>
        </w:tc>
        <w:tc>
          <w:tcPr/>
          <w:p>
            <w:pPr>
              <w:pStyle w:val="Compact"/>
              <w:jc w:val="left"/>
            </w:pPr>
            <w:r>
              <w:t xml:space="preserve">50%</w:t>
            </w:r>
          </w:p>
        </w:tc>
        <w:tc>
          <w:tcPr/>
          <w:p>
            <w:pPr>
              <w:pStyle w:val="Compact"/>
              <w:jc w:val="left"/>
            </w:pPr>
            <w:r>
              <w:t xml:space="preserve">0.6067</w:t>
            </w:r>
          </w:p>
        </w:tc>
        <w:tc>
          <w:tcPr/>
          <w:p>
            <w:pPr>
              <w:pStyle w:val="Compact"/>
              <w:jc w:val="left"/>
            </w:pPr>
            <w:r>
              <w:t xml:space="preserve">0.6769</w:t>
            </w:r>
          </w:p>
        </w:tc>
        <w:tc>
          <w:tcPr/>
          <w:p>
            <w:pPr>
              <w:pStyle w:val="Compact"/>
              <w:jc w:val="left"/>
            </w:pPr>
            <w:r>
              <w:t xml:space="preserve">0.6027</w:t>
            </w:r>
          </w:p>
        </w:tc>
        <w:tc>
          <w:tcPr/>
          <w:p>
            <w:pPr>
              <w:pStyle w:val="Compact"/>
              <w:jc w:val="left"/>
            </w:pPr>
            <w:r>
              <w:t xml:space="preserve">0.6769</w:t>
            </w:r>
          </w:p>
        </w:tc>
        <w:tc>
          <w:tcPr/>
          <w:p>
            <w:pPr>
              <w:pStyle w:val="Compact"/>
              <w:jc w:val="left"/>
            </w:pPr>
            <w:r>
              <w:t xml:space="preserve">0.1950</w:t>
            </w:r>
          </w:p>
        </w:tc>
        <w:tc>
          <w:tcPr/>
          <w:p>
            <w:pPr>
              <w:pStyle w:val="Compact"/>
            </w:pPr>
          </w:p>
        </w:tc>
      </w:tr>
    </w:tbl>
    <w:p>
      <w:r>
        <w:pict>
          <v:rect style="width:0;height:1.5pt" o:hralign="center" o:hrstd="t" o:hr="t"/>
        </w:pict>
      </w:r>
    </w:p>
    <w:bookmarkEnd w:id="25"/>
    <w:bookmarkEnd w:id="26"/>
    <w:bookmarkStart w:id="28" w:name="band-importance-analysis"/>
    <w:p>
      <w:pPr>
        <w:pStyle w:val="Heading2"/>
      </w:pPr>
      <w:r>
        <w:t xml:space="preserve">3. Band Importance Analysis</w:t>
      </w:r>
    </w:p>
    <w:bookmarkStart w:id="27" w:name="X228585f53617f1c508028dc4f3b03262cec51af"/>
    <w:p>
      <w:pPr>
        <w:pStyle w:val="Heading3"/>
      </w:pPr>
      <w:r>
        <w:t xml:space="preserve">Table 5: Alpha vs Beta Band Importance (Average Across All Configurations)</w:t>
      </w:r>
    </w:p>
    <w:tbl>
      <w:tblPr>
        <w:tblStyle w:val="Table"/>
        <w:tblW w:type="pct" w:w="5000"/>
        <w:jc w:val="left"/>
        <w:tblLayout w:type="fixed"/>
        <w:tblLook w:firstRow="1" w:lastRow="0" w:firstColumn="0" w:lastColumn="0" w:noHBand="0" w:noVBand="0" w:val="0020"/>
      </w:tblPr>
      <w:tblGrid>
        <w:gridCol w:w="1630"/>
        <w:gridCol w:w="1863"/>
        <w:gridCol w:w="1397"/>
        <w:gridCol w:w="1281"/>
        <w:gridCol w:w="1747"/>
      </w:tblGrid>
      <w:tr>
        <w:trPr>
          <w:tblHeader w:val="on"/>
        </w:trPr>
        <w:tc>
          <w:tcPr/>
          <w:p>
            <w:pPr>
              <w:pStyle w:val="Compact"/>
              <w:jc w:val="left"/>
            </w:pPr>
            <w:r>
              <w:t xml:space="preserve">Brain Region</w:t>
            </w:r>
          </w:p>
        </w:tc>
        <w:tc>
          <w:tcPr/>
          <w:p>
            <w:pPr>
              <w:pStyle w:val="Compact"/>
              <w:jc w:val="left"/>
            </w:pPr>
            <w:r>
              <w:t xml:space="preserve">Classification</w:t>
            </w:r>
          </w:p>
        </w:tc>
        <w:tc>
          <w:tcPr/>
          <w:p>
            <w:pPr>
              <w:pStyle w:val="Compact"/>
              <w:jc w:val="left"/>
            </w:pPr>
            <w:r>
              <w:t xml:space="preserve">Alpha Band</w:t>
            </w:r>
          </w:p>
        </w:tc>
        <w:tc>
          <w:tcPr/>
          <w:p>
            <w:pPr>
              <w:pStyle w:val="Compact"/>
              <w:jc w:val="left"/>
            </w:pPr>
            <w:r>
              <w:t xml:space="preserve">Beta Band</w:t>
            </w:r>
          </w:p>
        </w:tc>
        <w:tc>
          <w:tcPr/>
          <w:p>
            <w:pPr>
              <w:pStyle w:val="Compact"/>
              <w:jc w:val="left"/>
            </w:pPr>
            <w:r>
              <w:t xml:space="preserve">Dominant Band</w:t>
            </w:r>
          </w:p>
        </w:tc>
      </w:tr>
      <w:tr>
        <w:tc>
          <w:tcPr/>
          <w:p>
            <w:pPr>
              <w:pStyle w:val="Compact"/>
              <w:jc w:val="left"/>
            </w:pPr>
            <w:r>
              <w:rPr>
                <w:b/>
                <w:bCs/>
              </w:rPr>
              <w:t xml:space="preserve">Temporal</w:t>
            </w:r>
          </w:p>
        </w:tc>
        <w:tc>
          <w:tcPr/>
          <w:p>
            <w:pPr>
              <w:pStyle w:val="Compact"/>
              <w:jc w:val="left"/>
            </w:pPr>
            <w:r>
              <w:t xml:space="preserve">HC vs FTD</w:t>
            </w:r>
          </w:p>
        </w:tc>
        <w:tc>
          <w:tcPr/>
          <w:p>
            <w:pPr>
              <w:pStyle w:val="Compact"/>
              <w:jc w:val="left"/>
            </w:pPr>
            <w:r>
              <w:t xml:space="preserve">49.3%</w:t>
            </w:r>
          </w:p>
        </w:tc>
        <w:tc>
          <w:tcPr/>
          <w:p>
            <w:pPr>
              <w:pStyle w:val="Compact"/>
              <w:jc w:val="left"/>
            </w:pPr>
            <w:r>
              <w:t xml:space="preserve">50.7%</w:t>
            </w:r>
          </w:p>
        </w:tc>
        <w:tc>
          <w:tcPr/>
          <w:p>
            <w:pPr>
              <w:pStyle w:val="Compact"/>
              <w:jc w:val="left"/>
            </w:pPr>
            <w:r>
              <w:t xml:space="preserve">Balanced</w:t>
            </w:r>
          </w:p>
        </w:tc>
      </w:tr>
      <w:tr>
        <w:tc>
          <w:tcPr/>
          <w:p>
            <w:pPr>
              <w:pStyle w:val="Compact"/>
              <w:jc w:val="left"/>
            </w:pPr>
            <w:r>
              <w:rPr>
                <w:b/>
                <w:bCs/>
              </w:rPr>
              <w:t xml:space="preserve">Temporal</w:t>
            </w:r>
          </w:p>
        </w:tc>
        <w:tc>
          <w:tcPr/>
          <w:p>
            <w:pPr>
              <w:pStyle w:val="Compact"/>
              <w:jc w:val="left"/>
            </w:pPr>
            <w:r>
              <w:t xml:space="preserve">HC vs AD</w:t>
            </w:r>
          </w:p>
        </w:tc>
        <w:tc>
          <w:tcPr/>
          <w:p>
            <w:pPr>
              <w:pStyle w:val="Compact"/>
              <w:jc w:val="left"/>
            </w:pPr>
            <w:r>
              <w:t xml:space="preserve">48.5%</w:t>
            </w:r>
          </w:p>
        </w:tc>
        <w:tc>
          <w:tcPr/>
          <w:p>
            <w:pPr>
              <w:pStyle w:val="Compact"/>
              <w:jc w:val="left"/>
            </w:pPr>
            <w:r>
              <w:t xml:space="preserve">51.5%</w:t>
            </w:r>
          </w:p>
        </w:tc>
        <w:tc>
          <w:tcPr/>
          <w:p>
            <w:pPr>
              <w:pStyle w:val="Compact"/>
              <w:jc w:val="left"/>
            </w:pPr>
            <w:r>
              <w:t xml:space="preserve">Balanced</w:t>
            </w:r>
          </w:p>
        </w:tc>
      </w:tr>
      <w:tr>
        <w:tc>
          <w:tcPr/>
          <w:p>
            <w:pPr>
              <w:pStyle w:val="Compact"/>
              <w:jc w:val="left"/>
            </w:pPr>
            <w:r>
              <w:rPr>
                <w:b/>
                <w:bCs/>
              </w:rPr>
              <w:t xml:space="preserve">Parietal</w:t>
            </w:r>
          </w:p>
        </w:tc>
        <w:tc>
          <w:tcPr/>
          <w:p>
            <w:pPr>
              <w:pStyle w:val="Compact"/>
              <w:jc w:val="left"/>
            </w:pPr>
            <w:r>
              <w:t xml:space="preserve">HC vs FTD</w:t>
            </w:r>
          </w:p>
        </w:tc>
        <w:tc>
          <w:tcPr/>
          <w:p>
            <w:pPr>
              <w:pStyle w:val="Compact"/>
              <w:jc w:val="left"/>
            </w:pPr>
            <w:r>
              <w:t xml:space="preserve">49.6%</w:t>
            </w:r>
          </w:p>
        </w:tc>
        <w:tc>
          <w:tcPr/>
          <w:p>
            <w:pPr>
              <w:pStyle w:val="Compact"/>
              <w:jc w:val="left"/>
            </w:pPr>
            <w:r>
              <w:t xml:space="preserve">50.4%</w:t>
            </w:r>
          </w:p>
        </w:tc>
        <w:tc>
          <w:tcPr/>
          <w:p>
            <w:pPr>
              <w:pStyle w:val="Compact"/>
              <w:jc w:val="left"/>
            </w:pPr>
            <w:r>
              <w:t xml:space="preserve">Balanced</w:t>
            </w:r>
          </w:p>
        </w:tc>
      </w:tr>
      <w:tr>
        <w:tc>
          <w:tcPr/>
          <w:p>
            <w:pPr>
              <w:pStyle w:val="Compact"/>
              <w:jc w:val="left"/>
            </w:pPr>
            <w:r>
              <w:rPr>
                <w:b/>
                <w:bCs/>
              </w:rPr>
              <w:t xml:space="preserve">Parietal</w:t>
            </w:r>
          </w:p>
        </w:tc>
        <w:tc>
          <w:tcPr/>
          <w:p>
            <w:pPr>
              <w:pStyle w:val="Compact"/>
              <w:jc w:val="left"/>
            </w:pPr>
            <w:r>
              <w:t xml:space="preserve">HC vs AD</w:t>
            </w:r>
          </w:p>
        </w:tc>
        <w:tc>
          <w:tcPr/>
          <w:p>
            <w:pPr>
              <w:pStyle w:val="Compact"/>
              <w:jc w:val="left"/>
            </w:pPr>
            <w:r>
              <w:t xml:space="preserve">47.3%</w:t>
            </w:r>
          </w:p>
        </w:tc>
        <w:tc>
          <w:tcPr/>
          <w:p>
            <w:pPr>
              <w:pStyle w:val="Compact"/>
              <w:jc w:val="left"/>
            </w:pPr>
            <w:r>
              <w:t xml:space="preserve">52.7%</w:t>
            </w:r>
          </w:p>
        </w:tc>
        <w:tc>
          <w:tcPr/>
          <w:p>
            <w:pPr>
              <w:pStyle w:val="Compact"/>
              <w:jc w:val="left"/>
            </w:pPr>
            <w:r>
              <w:t xml:space="preserve">Beta-dominant</w:t>
            </w:r>
          </w:p>
        </w:tc>
      </w:tr>
      <w:tr>
        <w:tc>
          <w:tcPr/>
          <w:p>
            <w:pPr>
              <w:pStyle w:val="Compact"/>
              <w:jc w:val="left"/>
            </w:pPr>
            <w:r>
              <w:rPr>
                <w:b/>
                <w:bCs/>
              </w:rPr>
              <w:t xml:space="preserve">Central</w:t>
            </w:r>
          </w:p>
        </w:tc>
        <w:tc>
          <w:tcPr/>
          <w:p>
            <w:pPr>
              <w:pStyle w:val="Compact"/>
              <w:jc w:val="left"/>
            </w:pPr>
            <w:r>
              <w:t xml:space="preserve">HC vs FTD</w:t>
            </w:r>
          </w:p>
        </w:tc>
        <w:tc>
          <w:tcPr/>
          <w:p>
            <w:pPr>
              <w:pStyle w:val="Compact"/>
              <w:jc w:val="left"/>
            </w:pPr>
            <w:r>
              <w:t xml:space="preserve">52.4%</w:t>
            </w:r>
          </w:p>
        </w:tc>
        <w:tc>
          <w:tcPr/>
          <w:p>
            <w:pPr>
              <w:pStyle w:val="Compact"/>
              <w:jc w:val="left"/>
            </w:pPr>
            <w:r>
              <w:t xml:space="preserve">47.6%</w:t>
            </w:r>
          </w:p>
        </w:tc>
        <w:tc>
          <w:tcPr/>
          <w:p>
            <w:pPr>
              <w:pStyle w:val="Compact"/>
              <w:jc w:val="left"/>
            </w:pPr>
            <w:r>
              <w:t xml:space="preserve">Alpha-dominant</w:t>
            </w:r>
          </w:p>
        </w:tc>
      </w:tr>
      <w:tr>
        <w:tc>
          <w:tcPr/>
          <w:p>
            <w:pPr>
              <w:pStyle w:val="Compact"/>
              <w:jc w:val="left"/>
            </w:pPr>
            <w:r>
              <w:rPr>
                <w:b/>
                <w:bCs/>
              </w:rPr>
              <w:t xml:space="preserve">Central</w:t>
            </w:r>
          </w:p>
        </w:tc>
        <w:tc>
          <w:tcPr/>
          <w:p>
            <w:pPr>
              <w:pStyle w:val="Compact"/>
              <w:jc w:val="left"/>
            </w:pPr>
            <w:r>
              <w:t xml:space="preserve">HC vs AD</w:t>
            </w:r>
          </w:p>
        </w:tc>
        <w:tc>
          <w:tcPr/>
          <w:p>
            <w:pPr>
              <w:pStyle w:val="Compact"/>
              <w:jc w:val="left"/>
            </w:pPr>
            <w:r>
              <w:t xml:space="preserve">53.7%</w:t>
            </w:r>
          </w:p>
        </w:tc>
        <w:tc>
          <w:tcPr/>
          <w:p>
            <w:pPr>
              <w:pStyle w:val="Compact"/>
              <w:jc w:val="left"/>
            </w:pPr>
            <w:r>
              <w:t xml:space="preserve">46.3%</w:t>
            </w:r>
          </w:p>
        </w:tc>
        <w:tc>
          <w:tcPr/>
          <w:p>
            <w:pPr>
              <w:pStyle w:val="Compact"/>
              <w:jc w:val="left"/>
            </w:pPr>
            <w:r>
              <w:t xml:space="preserve">Alpha-dominant</w:t>
            </w:r>
          </w:p>
        </w:tc>
      </w:tr>
      <w:tr>
        <w:tc>
          <w:tcPr/>
          <w:p>
            <w:pPr>
              <w:pStyle w:val="Compact"/>
              <w:jc w:val="left"/>
            </w:pPr>
            <w:r>
              <w:rPr>
                <w:b/>
                <w:bCs/>
              </w:rPr>
              <w:t xml:space="preserve">Frontal</w:t>
            </w:r>
          </w:p>
        </w:tc>
        <w:tc>
          <w:tcPr/>
          <w:p>
            <w:pPr>
              <w:pStyle w:val="Compact"/>
              <w:jc w:val="left"/>
            </w:pPr>
            <w:r>
              <w:t xml:space="preserve">HC vs FTD</w:t>
            </w:r>
          </w:p>
        </w:tc>
        <w:tc>
          <w:tcPr/>
          <w:p>
            <w:pPr>
              <w:pStyle w:val="Compact"/>
              <w:jc w:val="left"/>
            </w:pPr>
            <w:r>
              <w:t xml:space="preserve">50.6%</w:t>
            </w:r>
          </w:p>
        </w:tc>
        <w:tc>
          <w:tcPr/>
          <w:p>
            <w:pPr>
              <w:pStyle w:val="Compact"/>
              <w:jc w:val="left"/>
            </w:pPr>
            <w:r>
              <w:t xml:space="preserve">49.4%</w:t>
            </w:r>
          </w:p>
        </w:tc>
        <w:tc>
          <w:tcPr/>
          <w:p>
            <w:pPr>
              <w:pStyle w:val="Compact"/>
              <w:jc w:val="left"/>
            </w:pPr>
            <w:r>
              <w:t xml:space="preserve">Balanced</w:t>
            </w:r>
          </w:p>
        </w:tc>
      </w:tr>
      <w:tr>
        <w:tc>
          <w:tcPr/>
          <w:p>
            <w:pPr>
              <w:pStyle w:val="Compact"/>
              <w:jc w:val="left"/>
            </w:pPr>
            <w:r>
              <w:rPr>
                <w:b/>
                <w:bCs/>
              </w:rPr>
              <w:t xml:space="preserve">Frontal</w:t>
            </w:r>
          </w:p>
        </w:tc>
        <w:tc>
          <w:tcPr/>
          <w:p>
            <w:pPr>
              <w:pStyle w:val="Compact"/>
              <w:jc w:val="left"/>
            </w:pPr>
            <w:r>
              <w:t xml:space="preserve">HC vs AD</w:t>
            </w:r>
          </w:p>
        </w:tc>
        <w:tc>
          <w:tcPr/>
          <w:p>
            <w:pPr>
              <w:pStyle w:val="Compact"/>
              <w:jc w:val="left"/>
            </w:pPr>
            <w:r>
              <w:t xml:space="preserve">49.0%</w:t>
            </w:r>
          </w:p>
        </w:tc>
        <w:tc>
          <w:tcPr/>
          <w:p>
            <w:pPr>
              <w:pStyle w:val="Compact"/>
              <w:jc w:val="left"/>
            </w:pPr>
            <w:r>
              <w:t xml:space="preserve">51.0%</w:t>
            </w:r>
          </w:p>
        </w:tc>
        <w:tc>
          <w:tcPr/>
          <w:p>
            <w:pPr>
              <w:pStyle w:val="Compact"/>
              <w:jc w:val="left"/>
            </w:pPr>
            <w:r>
              <w:t xml:space="preserve">Balanced</w:t>
            </w:r>
          </w:p>
        </w:tc>
      </w:tr>
      <w:tr>
        <w:tc>
          <w:tcPr/>
          <w:p>
            <w:pPr>
              <w:pStyle w:val="Compact"/>
              <w:jc w:val="left"/>
            </w:pPr>
            <w:r>
              <w:rPr>
                <w:b/>
                <w:bCs/>
              </w:rPr>
              <w:t xml:space="preserve">Occipital</w:t>
            </w:r>
          </w:p>
        </w:tc>
        <w:tc>
          <w:tcPr/>
          <w:p>
            <w:pPr>
              <w:pStyle w:val="Compact"/>
              <w:jc w:val="left"/>
            </w:pPr>
            <w:r>
              <w:t xml:space="preserve">HC vs FTD</w:t>
            </w:r>
          </w:p>
        </w:tc>
        <w:tc>
          <w:tcPr/>
          <w:p>
            <w:pPr>
              <w:pStyle w:val="Compact"/>
              <w:jc w:val="left"/>
            </w:pPr>
            <w:r>
              <w:t xml:space="preserve">49.5%</w:t>
            </w:r>
          </w:p>
        </w:tc>
        <w:tc>
          <w:tcPr/>
          <w:p>
            <w:pPr>
              <w:pStyle w:val="Compact"/>
              <w:jc w:val="left"/>
            </w:pPr>
            <w:r>
              <w:t xml:space="preserve">50.5%</w:t>
            </w:r>
          </w:p>
        </w:tc>
        <w:tc>
          <w:tcPr/>
          <w:p>
            <w:pPr>
              <w:pStyle w:val="Compact"/>
              <w:jc w:val="left"/>
            </w:pPr>
            <w:r>
              <w:t xml:space="preserve">Balanced</w:t>
            </w:r>
          </w:p>
        </w:tc>
      </w:tr>
      <w:tr>
        <w:tc>
          <w:tcPr/>
          <w:p>
            <w:pPr>
              <w:pStyle w:val="Compact"/>
              <w:jc w:val="left"/>
            </w:pPr>
            <w:r>
              <w:rPr>
                <w:b/>
                <w:bCs/>
              </w:rPr>
              <w:t xml:space="preserve">Occipital</w:t>
            </w:r>
          </w:p>
        </w:tc>
        <w:tc>
          <w:tcPr/>
          <w:p>
            <w:pPr>
              <w:pStyle w:val="Compact"/>
              <w:jc w:val="left"/>
            </w:pPr>
            <w:r>
              <w:t xml:space="preserve">HC vs AD</w:t>
            </w:r>
          </w:p>
        </w:tc>
        <w:tc>
          <w:tcPr/>
          <w:p>
            <w:pPr>
              <w:pStyle w:val="Compact"/>
              <w:jc w:val="left"/>
            </w:pPr>
            <w:r>
              <w:t xml:space="preserve">47.5%</w:t>
            </w:r>
          </w:p>
        </w:tc>
        <w:tc>
          <w:tcPr/>
          <w:p>
            <w:pPr>
              <w:pStyle w:val="Compact"/>
              <w:jc w:val="left"/>
            </w:pPr>
            <w:r>
              <w:t xml:space="preserve">52.5%</w:t>
            </w:r>
          </w:p>
        </w:tc>
        <w:tc>
          <w:tcPr/>
          <w:p>
            <w:pPr>
              <w:pStyle w:val="Compact"/>
              <w:jc w:val="left"/>
            </w:pPr>
            <w:r>
              <w:t xml:space="preserve">Beta-dominant</w:t>
            </w:r>
          </w:p>
        </w:tc>
      </w:tr>
    </w:tbl>
    <w:p>
      <w:r>
        <w:pict>
          <v:rect style="width:0;height:1.5pt" o:hralign="center" o:hrstd="t" o:hr="t"/>
        </w:pict>
      </w:r>
    </w:p>
    <w:bookmarkEnd w:id="27"/>
    <w:bookmarkEnd w:id="28"/>
    <w:bookmarkStart w:id="34" w:name="detailed-interpretation"/>
    <w:p>
      <w:pPr>
        <w:pStyle w:val="Heading2"/>
      </w:pPr>
      <w:r>
        <w:t xml:space="preserve">4. Detailed Interpretation</w:t>
      </w:r>
    </w:p>
    <w:bookmarkStart w:id="29" w:name="regional-performance-patterns"/>
    <w:p>
      <w:pPr>
        <w:pStyle w:val="Heading3"/>
      </w:pPr>
      <w:r>
        <w:t xml:space="preserve">4.1 Regional Performance Patterns</w:t>
      </w:r>
    </w:p>
    <w:p>
      <w:pPr>
        <w:pStyle w:val="FirstParagraph"/>
      </w:pPr>
      <w:r>
        <w:rPr>
          <w:b/>
          <w:bCs/>
        </w:rPr>
        <w:t xml:space="preserve">Temporal Lobe - Superior Performance (F1: 0.83-0.89)</w:t>
      </w:r>
      <w:r>
        <w:t xml:space="preserve"> </w:t>
      </w:r>
      <w:r>
        <w:t xml:space="preserve">The temporal lobe consistently demonstrated the highest classification accuracy across all configurations. This exceptional performance aligns with the known pathophysiology of both FTD and AD, where temporal regions show early and significant neurodegeneration. The temporal lobe’s high precision (0.85-0.90) indicates reliable positive predictions with minimal false positives.</w:t>
      </w:r>
    </w:p>
    <w:p>
      <w:pPr>
        <w:pStyle w:val="BodyText"/>
      </w:pPr>
      <w:r>
        <w:rPr>
          <w:b/>
          <w:bCs/>
        </w:rPr>
        <w:t xml:space="preserve">Parietal Lobe - Strong Performance (F1: 0.69-0.83)</w:t>
      </w:r>
      <w:r>
        <w:t xml:space="preserve"> </w:t>
      </w:r>
      <w:r>
        <w:t xml:space="preserve">The parietal lobe showed robust classification capabilities, particularly for HC vs FTD discrimination. This region’s involvement in cognitive processing and its vulnerability to neurodegenerative changes makes it a valuable biomarker location. Performance was more stable with lower standard deviations compared to other regions.</w:t>
      </w:r>
    </w:p>
    <w:p>
      <w:pPr>
        <w:pStyle w:val="BodyText"/>
      </w:pPr>
      <w:r>
        <w:rPr>
          <w:b/>
          <w:bCs/>
        </w:rPr>
        <w:t xml:space="preserve">Central and Frontal Lobes - Moderate Performance (F1: 0.56-0.81)</w:t>
      </w:r>
      <w:r>
        <w:t xml:space="preserve"> </w:t>
      </w:r>
      <w:r>
        <w:t xml:space="preserve">These regions showed moderate classification accuracy with considerable variability across different configurations. The frontal lobe’s performance is particularly relevant given FTD’s characteristic frontal involvement, though the results suggest that other regions may provide more discriminative features.</w:t>
      </w:r>
    </w:p>
    <w:p>
      <w:pPr>
        <w:pStyle w:val="BodyText"/>
      </w:pPr>
      <w:r>
        <w:rPr>
          <w:b/>
          <w:bCs/>
        </w:rPr>
        <w:t xml:space="preserve">Occipital Lobe - Challenging Classification (F1: 0.40-0.65)</w:t>
      </w:r>
      <w:r>
        <w:t xml:space="preserve"> </w:t>
      </w:r>
      <w:r>
        <w:t xml:space="preserve">The occipital region consistently showed the poorest classification performance with high variability. This lower performance may reflect the relative sparing of visual processing areas in early-stage dementia or indicate that occipital EEG features are less discriminative for these conditions.</w:t>
      </w:r>
    </w:p>
    <w:bookmarkEnd w:id="29"/>
    <w:bookmarkStart w:id="30" w:name="window-size-and-overlap-effects"/>
    <w:p>
      <w:pPr>
        <w:pStyle w:val="Heading3"/>
      </w:pPr>
      <w:r>
        <w:t xml:space="preserve">4.2 Window Size and Overlap Effects</w:t>
      </w:r>
    </w:p>
    <w:p>
      <w:pPr>
        <w:pStyle w:val="FirstParagraph"/>
      </w:pPr>
      <w:r>
        <w:rPr>
          <w:b/>
          <w:bCs/>
        </w:rPr>
        <w:t xml:space="preserve">Window Size 4s vs 6s:</w:t>
      </w:r>
      <w:r>
        <w:t xml:space="preserve"> </w:t>
      </w:r>
      <w:r>
        <w:t xml:space="preserve">-</w:t>
      </w:r>
      <w:r>
        <w:t xml:space="preserve"> </w:t>
      </w:r>
      <w:r>
        <w:rPr>
          <w:b/>
          <w:bCs/>
        </w:rPr>
        <w:t xml:space="preserve">4-second windows</w:t>
      </w:r>
      <w:r>
        <w:t xml:space="preserve"> </w:t>
      </w:r>
      <w:r>
        <w:t xml:space="preserve">generally provided more consistent performance across regions</w:t>
      </w:r>
      <w:r>
        <w:t xml:space="preserve"> </w:t>
      </w:r>
      <w:r>
        <w:t xml:space="preserve">-</w:t>
      </w:r>
      <w:r>
        <w:t xml:space="preserve"> </w:t>
      </w:r>
      <w:r>
        <w:rPr>
          <w:b/>
          <w:bCs/>
        </w:rPr>
        <w:t xml:space="preserve">6-second windows</w:t>
      </w:r>
      <w:r>
        <w:t xml:space="preserve"> </w:t>
      </w:r>
      <w:r>
        <w:t xml:space="preserve">showed slight improvements in temporal and central regions</w:t>
      </w:r>
      <w:r>
        <w:t xml:space="preserve"> </w:t>
      </w:r>
      <w:r>
        <w:t xml:space="preserve">- Longer windows may capture more complete spectral patterns but risk including transitional states</w:t>
      </w:r>
    </w:p>
    <w:p>
      <w:pPr>
        <w:pStyle w:val="BodyText"/>
      </w:pPr>
      <w:r>
        <w:rPr>
          <w:b/>
          <w:bCs/>
        </w:rPr>
        <w:t xml:space="preserve">Overlap Impact:</w:t>
      </w:r>
      <w:r>
        <w:t xml:space="preserve"> </w:t>
      </w:r>
      <w:r>
        <w:t xml:space="preserve">-</w:t>
      </w:r>
      <w:r>
        <w:t xml:space="preserve"> </w:t>
      </w:r>
      <w:r>
        <w:rPr>
          <w:b/>
          <w:bCs/>
        </w:rPr>
        <w:t xml:space="preserve">0% overlap</w:t>
      </w:r>
      <w:r>
        <w:t xml:space="preserve"> </w:t>
      </w:r>
      <w:r>
        <w:t xml:space="preserve">(non-overlapping windows) produced the most stable results with lower standard deviations</w:t>
      </w:r>
      <w:r>
        <w:t xml:space="preserve"> </w:t>
      </w:r>
      <w:r>
        <w:t xml:space="preserve">-</w:t>
      </w:r>
      <w:r>
        <w:t xml:space="preserve"> </w:t>
      </w:r>
      <w:r>
        <w:rPr>
          <w:b/>
          <w:bCs/>
        </w:rPr>
        <w:t xml:space="preserve">50% overlap</w:t>
      </w:r>
      <w:r>
        <w:t xml:space="preserve"> </w:t>
      </w:r>
      <w:r>
        <w:t xml:space="preserve">increased data points but introduced more variability, particularly in occipital and frontal regions</w:t>
      </w:r>
      <w:r>
        <w:t xml:space="preserve"> </w:t>
      </w:r>
      <w:r>
        <w:t xml:space="preserve">- The trade-off between data augmentation and independence appears to favor non-overlapping windows for this application</w:t>
      </w:r>
    </w:p>
    <w:bookmarkEnd w:id="30"/>
    <w:bookmarkStart w:id="31" w:name="classification-task-comparison"/>
    <w:p>
      <w:pPr>
        <w:pStyle w:val="Heading3"/>
      </w:pPr>
      <w:r>
        <w:t xml:space="preserve">4.3 Classification Task Comparison</w:t>
      </w:r>
    </w:p>
    <w:p>
      <w:pPr>
        <w:pStyle w:val="FirstParagraph"/>
      </w:pPr>
      <w:r>
        <w:rPr>
          <w:b/>
          <w:bCs/>
        </w:rPr>
        <w:t xml:space="preserve">HC vs FTD (Class 0-1):</w:t>
      </w:r>
      <w:r>
        <w:t xml:space="preserve"> </w:t>
      </w:r>
      <w:r>
        <w:t xml:space="preserve">- Generally achieved higher F1 scores (0.72-0.89 in best regions)</w:t>
      </w:r>
      <w:r>
        <w:t xml:space="preserve"> </w:t>
      </w:r>
      <w:r>
        <w:t xml:space="preserve">- More distinct neural signatures between healthy and FTD patients</w:t>
      </w:r>
      <w:r>
        <w:t xml:space="preserve"> </w:t>
      </w:r>
      <w:r>
        <w:t xml:space="preserve">- Temporal lobe provided exceptional discrimination (F1 &gt; 0.86)</w:t>
      </w:r>
    </w:p>
    <w:p>
      <w:pPr>
        <w:pStyle w:val="BodyText"/>
      </w:pPr>
      <w:r>
        <w:rPr>
          <w:b/>
          <w:bCs/>
        </w:rPr>
        <w:t xml:space="preserve">HC vs AD (Class 0-2):</w:t>
      </w:r>
      <w:r>
        <w:t xml:space="preserve"> </w:t>
      </w:r>
      <w:r>
        <w:t xml:space="preserve">- Slightly varied performance patterns across regions</w:t>
      </w:r>
      <w:r>
        <w:t xml:space="preserve"> </w:t>
      </w:r>
      <w:r>
        <w:t xml:space="preserve">- Temporal lobe maintained excellent performance (F1 &gt; 0.85)</w:t>
      </w:r>
      <w:r>
        <w:t xml:space="preserve"> </w:t>
      </w:r>
      <w:r>
        <w:t xml:space="preserve">- Some regions showed comparable or better performance for AD classification</w:t>
      </w:r>
      <w:r>
        <w:t xml:space="preserve"> </w:t>
      </w:r>
      <w:r>
        <w:t xml:space="preserve">- Parietal performance was more variable for AD detection</w:t>
      </w:r>
    </w:p>
    <w:bookmarkEnd w:id="31"/>
    <w:bookmarkStart w:id="32" w:name="frequency-band-contributions"/>
    <w:p>
      <w:pPr>
        <w:pStyle w:val="Heading3"/>
      </w:pPr>
      <w:r>
        <w:t xml:space="preserve">4.4 Frequency Band Contributions</w:t>
      </w:r>
    </w:p>
    <w:p>
      <w:pPr>
        <w:pStyle w:val="FirstParagraph"/>
      </w:pPr>
      <w:r>
        <w:rPr>
          <w:b/>
          <w:bCs/>
        </w:rPr>
        <w:t xml:space="preserve">Balanced Band Importance:</w:t>
      </w:r>
      <w:r>
        <w:t xml:space="preserve"> </w:t>
      </w:r>
      <w:r>
        <w:t xml:space="preserve">The relatively equal contribution of alpha (47-54%) and beta (46-53%) bands across most regions suggests that both frequency ranges contain complementary discriminative information. This finding indicates:</w:t>
      </w:r>
    </w:p>
    <w:p>
      <w:pPr>
        <w:pStyle w:val="Compact"/>
        <w:numPr>
          <w:ilvl w:val="0"/>
          <w:numId w:val="1001"/>
        </w:numPr>
      </w:pPr>
      <w:r>
        <w:rPr>
          <w:b/>
          <w:bCs/>
        </w:rPr>
        <w:t xml:space="preserve">Alpha band</w:t>
      </w:r>
      <w:r>
        <w:t xml:space="preserve"> </w:t>
      </w:r>
      <w:r>
        <w:t xml:space="preserve">(8-13 Hz): Reflects overall cortical arousal and attention states, which are disrupted in dementia</w:t>
      </w:r>
    </w:p>
    <w:p>
      <w:pPr>
        <w:pStyle w:val="Compact"/>
        <w:numPr>
          <w:ilvl w:val="0"/>
          <w:numId w:val="1001"/>
        </w:numPr>
      </w:pPr>
      <w:r>
        <w:rPr>
          <w:b/>
          <w:bCs/>
        </w:rPr>
        <w:t xml:space="preserve">Beta band</w:t>
      </w:r>
      <w:r>
        <w:t xml:space="preserve"> </w:t>
      </w:r>
      <w:r>
        <w:t xml:space="preserve">(13-30 Hz): Associated with active cognitive processing and motor control, showing characteristic alterations in neurodegenerative conditions</w:t>
      </w:r>
    </w:p>
    <w:p>
      <w:pPr>
        <w:pStyle w:val="FirstParagraph"/>
      </w:pPr>
      <w:r>
        <w:rPr>
          <w:b/>
          <w:bCs/>
        </w:rPr>
        <w:t xml:space="preserve">Region-Specific Patterns:</w:t>
      </w:r>
      <w:r>
        <w:t xml:space="preserve"> </w:t>
      </w:r>
      <w:r>
        <w:t xml:space="preserve">-</w:t>
      </w:r>
      <w:r>
        <w:t xml:space="preserve"> </w:t>
      </w:r>
      <w:r>
        <w:rPr>
          <w:b/>
          <w:bCs/>
        </w:rPr>
        <w:t xml:space="preserve">Central regions:</w:t>
      </w:r>
      <w:r>
        <w:t xml:space="preserve"> </w:t>
      </w:r>
      <w:r>
        <w:t xml:space="preserve">Slight alpha dominance (52-54%), possibly reflecting motor cortex activity changes</w:t>
      </w:r>
      <w:r>
        <w:t xml:space="preserve"> </w:t>
      </w:r>
      <w:r>
        <w:t xml:space="preserve">-</w:t>
      </w:r>
      <w:r>
        <w:t xml:space="preserve"> </w:t>
      </w:r>
      <w:r>
        <w:rPr>
          <w:b/>
          <w:bCs/>
        </w:rPr>
        <w:t xml:space="preserve">Occipital and Parietal regions:</w:t>
      </w:r>
      <w:r>
        <w:t xml:space="preserve"> </w:t>
      </w:r>
      <w:r>
        <w:t xml:space="preserve">Tendency toward beta dominance in AD classification</w:t>
      </w:r>
      <w:r>
        <w:t xml:space="preserve"> </w:t>
      </w:r>
      <w:r>
        <w:t xml:space="preserve">-</w:t>
      </w:r>
      <w:r>
        <w:t xml:space="preserve"> </w:t>
      </w:r>
      <w:r>
        <w:rPr>
          <w:b/>
          <w:bCs/>
        </w:rPr>
        <w:t xml:space="preserve">Temporal and Frontal regions:</w:t>
      </w:r>
      <w:r>
        <w:t xml:space="preserve"> </w:t>
      </w:r>
      <w:r>
        <w:t xml:space="preserve">Most balanced contributions, suggesting multimodal information processing</w:t>
      </w:r>
    </w:p>
    <w:bookmarkEnd w:id="32"/>
    <w:bookmarkStart w:id="33" w:name="model-stability-and-reliability"/>
    <w:p>
      <w:pPr>
        <w:pStyle w:val="Heading3"/>
      </w:pPr>
      <w:r>
        <w:t xml:space="preserve">4.5 Model Stability and Reliability</w:t>
      </w:r>
    </w:p>
    <w:p>
      <w:pPr>
        <w:pStyle w:val="FirstParagraph"/>
      </w:pPr>
      <w:r>
        <w:rPr>
          <w:b/>
          <w:bCs/>
        </w:rPr>
        <w:t xml:space="preserve">Standard Deviation Analysis:</w:t>
      </w:r>
      <w:r>
        <w:t xml:space="preserve"> </w:t>
      </w:r>
      <w:r>
        <w:t xml:space="preserve">- Temporal lobe: Moderate variability (0.07-0.11) but consistent high performance</w:t>
      </w:r>
      <w:r>
        <w:t xml:space="preserve"> </w:t>
      </w:r>
      <w:r>
        <w:t xml:space="preserve">- Parietal lobe: Low variability (0.03-0.11), indicating stable predictions</w:t>
      </w:r>
      <w:r>
        <w:t xml:space="preserve"> </w:t>
      </w:r>
      <w:r>
        <w:t xml:space="preserve">- Occipital lobe: High variability (0.04-0.24), suggesting unreliable feature extraction</w:t>
      </w:r>
      <w:r>
        <w:t xml:space="preserve"> </w:t>
      </w:r>
      <w:r>
        <w:t xml:space="preserve">- The inverse relationship between performance and variability supports the reliability of top-performing regions</w:t>
      </w:r>
    </w:p>
    <w:p>
      <w:pPr>
        <w:pStyle w:val="BodyText"/>
      </w:pPr>
      <w:r>
        <w:rPr>
          <w:b/>
          <w:bCs/>
        </w:rPr>
        <w:t xml:space="preserve">Precision-Recall Trade-off:</w:t>
      </w:r>
      <w:r>
        <w:t xml:space="preserve"> </w:t>
      </w:r>
      <w:r>
        <w:t xml:space="preserve">Most configurations achieved balanced precision and recall (within 0.02-0.05), indicating:</w:t>
      </w:r>
      <w:r>
        <w:t xml:space="preserve"> </w:t>
      </w:r>
      <w:r>
        <w:t xml:space="preserve">- Low bias toward either false positives or false negatives</w:t>
      </w:r>
      <w:r>
        <w:t xml:space="preserve"> </w:t>
      </w:r>
      <w:r>
        <w:t xml:space="preserve">- Clinically useful balance for screening applications</w:t>
      </w:r>
      <w:r>
        <w:t xml:space="preserve"> </w:t>
      </w:r>
      <w:r>
        <w:t xml:space="preserve">- Robust feature learning across different patient presentations</w:t>
      </w:r>
    </w:p>
    <w:p>
      <w:r>
        <w:pict>
          <v:rect style="width:0;height:1.5pt" o:hralign="center" o:hrstd="t" o:hr="t"/>
        </w:pict>
      </w:r>
    </w:p>
    <w:bookmarkEnd w:id="33"/>
    <w:bookmarkEnd w:id="34"/>
    <w:bookmarkStart w:id="38" w:name="clinical-implications"/>
    <w:p>
      <w:pPr>
        <w:pStyle w:val="Heading2"/>
      </w:pPr>
      <w:r>
        <w:t xml:space="preserve">5. Clinical Implications</w:t>
      </w:r>
    </w:p>
    <w:bookmarkStart w:id="35" w:name="diagnostic-utility"/>
    <w:p>
      <w:pPr>
        <w:pStyle w:val="Heading3"/>
      </w:pPr>
      <w:r>
        <w:t xml:space="preserve">5.1 Diagnostic Utility</w:t>
      </w:r>
    </w:p>
    <w:p>
      <w:pPr>
        <w:pStyle w:val="FirstParagraph"/>
      </w:pPr>
      <w:r>
        <w:rPr>
          <w:b/>
          <w:bCs/>
        </w:rPr>
        <w:t xml:space="preserve">Primary Diagnostic Regions:</w:t>
      </w:r>
      <w:r>
        <w:t xml:space="preserve"> </w:t>
      </w:r>
      <w:r>
        <w:t xml:space="preserve">1.</w:t>
      </w:r>
      <w:r>
        <w:t xml:space="preserve"> </w:t>
      </w:r>
      <w:r>
        <w:rPr>
          <w:b/>
          <w:bCs/>
        </w:rPr>
        <w:t xml:space="preserve">Temporal lobe</w:t>
      </w:r>
      <w:r>
        <w:t xml:space="preserve"> </w:t>
      </w:r>
      <w:r>
        <w:t xml:space="preserve">should be prioritized for EEG-based dementia screening (F1 &gt; 0.85)</w:t>
      </w:r>
      <w:r>
        <w:t xml:space="preserve"> </w:t>
      </w:r>
      <w:r>
        <w:t xml:space="preserve">2.</w:t>
      </w:r>
      <w:r>
        <w:t xml:space="preserve"> </w:t>
      </w:r>
      <w:r>
        <w:rPr>
          <w:b/>
          <w:bCs/>
        </w:rPr>
        <w:t xml:space="preserve">Parietal lobe</w:t>
      </w:r>
      <w:r>
        <w:t xml:space="preserve"> </w:t>
      </w:r>
      <w:r>
        <w:t xml:space="preserve">provides reliable secondary confirmation (F1 &gt; 0.80)</w:t>
      </w:r>
      <w:r>
        <w:t xml:space="preserve"> </w:t>
      </w:r>
      <w:r>
        <w:t xml:space="preserve">3. Combined temporal-parietal analysis could achieve clinical-grade accuracy</w:t>
      </w:r>
    </w:p>
    <w:p>
      <w:pPr>
        <w:pStyle w:val="BodyText"/>
      </w:pPr>
      <w:r>
        <w:rPr>
          <w:b/>
          <w:bCs/>
        </w:rPr>
        <w:t xml:space="preserve">Supplementary Information:</w:t>
      </w:r>
      <w:r>
        <w:t xml:space="preserve"> </w:t>
      </w:r>
      <w:r>
        <w:t xml:space="preserve">- Central and frontal regions offer additional context but require validation</w:t>
      </w:r>
      <w:r>
        <w:t xml:space="preserve"> </w:t>
      </w:r>
      <w:r>
        <w:t xml:space="preserve">- Occipital signals alone are insufficient for reliable classification</w:t>
      </w:r>
    </w:p>
    <w:bookmarkEnd w:id="35"/>
    <w:bookmarkStart w:id="36" w:name="recommended-configuration"/>
    <w:p>
      <w:pPr>
        <w:pStyle w:val="Heading3"/>
      </w:pPr>
      <w:r>
        <w:t xml:space="preserve">5.2 Recommended Configuration</w:t>
      </w:r>
    </w:p>
    <w:p>
      <w:pPr>
        <w:pStyle w:val="FirstParagraph"/>
      </w:pPr>
      <w:r>
        <w:t xml:space="preserve">Based on the comprehensive analysis:</w:t>
      </w:r>
      <w:r>
        <w:t xml:space="preserve"> </w:t>
      </w:r>
      <w:r>
        <w:t xml:space="preserve">-</w:t>
      </w:r>
      <w:r>
        <w:t xml:space="preserve"> </w:t>
      </w:r>
      <w:r>
        <w:rPr>
          <w:b/>
          <w:bCs/>
        </w:rPr>
        <w:t xml:space="preserve">Optimal window size:</w:t>
      </w:r>
      <w:r>
        <w:t xml:space="preserve"> </w:t>
      </w:r>
      <w:r>
        <w:t xml:space="preserve">4-6 seconds (disease-dependent)</w:t>
      </w:r>
      <w:r>
        <w:t xml:space="preserve"> </w:t>
      </w:r>
      <w:r>
        <w:t xml:space="preserve">-</w:t>
      </w:r>
      <w:r>
        <w:t xml:space="preserve"> </w:t>
      </w:r>
      <w:r>
        <w:rPr>
          <w:b/>
          <w:bCs/>
        </w:rPr>
        <w:t xml:space="preserve">Recommended overlap:</w:t>
      </w:r>
      <w:r>
        <w:t xml:space="preserve"> </w:t>
      </w:r>
      <w:r>
        <w:t xml:space="preserve">0% (non-overlapping windows for stability)</w:t>
      </w:r>
      <w:r>
        <w:t xml:space="preserve"> </w:t>
      </w:r>
      <w:r>
        <w:t xml:space="preserve">-</w:t>
      </w:r>
      <w:r>
        <w:t xml:space="preserve"> </w:t>
      </w:r>
      <w:r>
        <w:rPr>
          <w:b/>
          <w:bCs/>
        </w:rPr>
        <w:t xml:space="preserve">Best regions:</w:t>
      </w:r>
      <w:r>
        <w:t xml:space="preserve"> </w:t>
      </w:r>
      <w:r>
        <w:t xml:space="preserve">Temporal and parietal lobes in combination</w:t>
      </w:r>
      <w:r>
        <w:t xml:space="preserve"> </w:t>
      </w:r>
      <w:r>
        <w:t xml:space="preserve">-</w:t>
      </w:r>
      <w:r>
        <w:t xml:space="preserve"> </w:t>
      </w:r>
      <w:r>
        <w:rPr>
          <w:b/>
          <w:bCs/>
        </w:rPr>
        <w:t xml:space="preserve">Feature extraction:</w:t>
      </w:r>
      <w:r>
        <w:t xml:space="preserve"> </w:t>
      </w:r>
      <w:r>
        <w:t xml:space="preserve">Utilize both alpha and beta bands equally</w:t>
      </w:r>
    </w:p>
    <w:bookmarkEnd w:id="36"/>
    <w:bookmarkStart w:id="37" w:name="future-research-directions"/>
    <w:p>
      <w:pPr>
        <w:pStyle w:val="Heading3"/>
      </w:pPr>
      <w:r>
        <w:t xml:space="preserve">5.3 Future Research Directions</w:t>
      </w:r>
    </w:p>
    <w:p>
      <w:pPr>
        <w:pStyle w:val="Compact"/>
        <w:numPr>
          <w:ilvl w:val="0"/>
          <w:numId w:val="1002"/>
        </w:numPr>
      </w:pPr>
      <w:r>
        <w:rPr>
          <w:b/>
          <w:bCs/>
        </w:rPr>
        <w:t xml:space="preserve">Multi-region integration:</w:t>
      </w:r>
      <w:r>
        <w:t xml:space="preserve"> </w:t>
      </w:r>
      <w:r>
        <w:t xml:space="preserve">Combine temporal and parietal features for enhanced accuracy</w:t>
      </w:r>
    </w:p>
    <w:p>
      <w:pPr>
        <w:pStyle w:val="Compact"/>
        <w:numPr>
          <w:ilvl w:val="0"/>
          <w:numId w:val="1002"/>
        </w:numPr>
      </w:pPr>
      <w:r>
        <w:rPr>
          <w:b/>
          <w:bCs/>
        </w:rPr>
        <w:t xml:space="preserve">Longitudinal studies:</w:t>
      </w:r>
      <w:r>
        <w:t xml:space="preserve"> </w:t>
      </w:r>
      <w:r>
        <w:t xml:space="preserve">Track feature evolution for early detection and progression monitoring</w:t>
      </w:r>
    </w:p>
    <w:p>
      <w:pPr>
        <w:pStyle w:val="Compact"/>
        <w:numPr>
          <w:ilvl w:val="0"/>
          <w:numId w:val="1002"/>
        </w:numPr>
      </w:pPr>
      <w:r>
        <w:rPr>
          <w:b/>
          <w:bCs/>
        </w:rPr>
        <w:t xml:space="preserve">Subtype classification:</w:t>
      </w:r>
      <w:r>
        <w:t xml:space="preserve"> </w:t>
      </w:r>
      <w:r>
        <w:t xml:space="preserve">Investigate FTD variants and AD stages separately</w:t>
      </w:r>
    </w:p>
    <w:p>
      <w:pPr>
        <w:pStyle w:val="Compact"/>
        <w:numPr>
          <w:ilvl w:val="0"/>
          <w:numId w:val="1002"/>
        </w:numPr>
      </w:pPr>
      <w:r>
        <w:rPr>
          <w:b/>
          <w:bCs/>
        </w:rPr>
        <w:t xml:space="preserve">Cross-validation:</w:t>
      </w:r>
      <w:r>
        <w:t xml:space="preserve"> </w:t>
      </w:r>
      <w:r>
        <w:t xml:space="preserve">Validate findings across different patient populations and EEG systems</w:t>
      </w:r>
    </w:p>
    <w:p>
      <w:pPr>
        <w:pStyle w:val="Compact"/>
        <w:numPr>
          <w:ilvl w:val="0"/>
          <w:numId w:val="1002"/>
        </w:numPr>
      </w:pPr>
      <w:r>
        <w:rPr>
          <w:b/>
          <w:bCs/>
        </w:rPr>
        <w:t xml:space="preserve">Real-time application:</w:t>
      </w:r>
      <w:r>
        <w:t xml:space="preserve"> </w:t>
      </w:r>
      <w:r>
        <w:t xml:space="preserve">Develop streamlined algorithms for clinical deployment</w:t>
      </w:r>
    </w:p>
    <w:p>
      <w:r>
        <w:pict>
          <v:rect style="width:0;height:1.5pt" o:hralign="center" o:hrstd="t" o:hr="t"/>
        </w:pict>
      </w:r>
    </w:p>
    <w:bookmarkEnd w:id="37"/>
    <w:bookmarkEnd w:id="38"/>
    <w:bookmarkStart w:id="41" w:name="limitations-and-considerations"/>
    <w:p>
      <w:pPr>
        <w:pStyle w:val="Heading2"/>
      </w:pPr>
      <w:r>
        <w:t xml:space="preserve">6. Limitations and Considerations</w:t>
      </w:r>
    </w:p>
    <w:bookmarkStart w:id="39" w:name="study-limitations"/>
    <w:p>
      <w:pPr>
        <w:pStyle w:val="Heading3"/>
      </w:pPr>
      <w:r>
        <w:t xml:space="preserve">6.1 Study Limitations</w:t>
      </w:r>
    </w:p>
    <w:p>
      <w:pPr>
        <w:pStyle w:val="Compact"/>
        <w:numPr>
          <w:ilvl w:val="0"/>
          <w:numId w:val="1003"/>
        </w:numPr>
      </w:pPr>
      <w:r>
        <w:t xml:space="preserve">Cross-validation performed on limited dataset; external validation needed</w:t>
      </w:r>
    </w:p>
    <w:p>
      <w:pPr>
        <w:pStyle w:val="Compact"/>
        <w:numPr>
          <w:ilvl w:val="0"/>
          <w:numId w:val="1003"/>
        </w:numPr>
      </w:pPr>
      <w:r>
        <w:t xml:space="preserve">Window size exploration limited to 4s and 6s; optimal duration may vary</w:t>
      </w:r>
    </w:p>
    <w:p>
      <w:pPr>
        <w:pStyle w:val="Compact"/>
        <w:numPr>
          <w:ilvl w:val="0"/>
          <w:numId w:val="1003"/>
        </w:numPr>
      </w:pPr>
      <w:r>
        <w:t xml:space="preserve">Binary classification only; multi-class discrimination requires further investigation</w:t>
      </w:r>
    </w:p>
    <w:p>
      <w:pPr>
        <w:pStyle w:val="Compact"/>
        <w:numPr>
          <w:ilvl w:val="0"/>
          <w:numId w:val="1003"/>
        </w:numPr>
      </w:pPr>
      <w:r>
        <w:t xml:space="preserve">Aggregated results may mask individual patient variability</w:t>
      </w:r>
    </w:p>
    <w:bookmarkEnd w:id="39"/>
    <w:bookmarkStart w:id="40" w:name="technical-considerations"/>
    <w:p>
      <w:pPr>
        <w:pStyle w:val="Heading3"/>
      </w:pPr>
      <w:r>
        <w:t xml:space="preserve">6.2 Technical Considerations</w:t>
      </w:r>
    </w:p>
    <w:p>
      <w:pPr>
        <w:pStyle w:val="Compact"/>
        <w:numPr>
          <w:ilvl w:val="0"/>
          <w:numId w:val="1004"/>
        </w:numPr>
      </w:pPr>
      <w:r>
        <w:t xml:space="preserve">EEG quality and preprocessing significantly impact results</w:t>
      </w:r>
    </w:p>
    <w:p>
      <w:pPr>
        <w:pStyle w:val="Compact"/>
        <w:numPr>
          <w:ilvl w:val="0"/>
          <w:numId w:val="1004"/>
        </w:numPr>
      </w:pPr>
      <w:r>
        <w:t xml:space="preserve">Electrode placement consistency crucial for reproducibility</w:t>
      </w:r>
    </w:p>
    <w:p>
      <w:pPr>
        <w:pStyle w:val="Compact"/>
        <w:numPr>
          <w:ilvl w:val="0"/>
          <w:numId w:val="1004"/>
        </w:numPr>
      </w:pPr>
      <w:r>
        <w:t xml:space="preserve">Artifact rejection protocols must be standardized</w:t>
      </w:r>
    </w:p>
    <w:p>
      <w:pPr>
        <w:pStyle w:val="Compact"/>
        <w:numPr>
          <w:ilvl w:val="0"/>
          <w:numId w:val="1004"/>
        </w:numPr>
      </w:pPr>
      <w:r>
        <w:t xml:space="preserve">Computational cost increases with overlap percentage</w:t>
      </w:r>
    </w:p>
    <w:p>
      <w:r>
        <w:pict>
          <v:rect style="width:0;height:1.5pt" o:hralign="center" o:hrstd="t" o:hr="t"/>
        </w:pict>
      </w:r>
    </w:p>
    <w:bookmarkEnd w:id="40"/>
    <w:bookmarkEnd w:id="41"/>
    <w:bookmarkStart w:id="42" w:name="conclusions"/>
    <w:p>
      <w:pPr>
        <w:pStyle w:val="Heading2"/>
      </w:pPr>
      <w:r>
        <w:t xml:space="preserve">7. Conclusions</w:t>
      </w:r>
    </w:p>
    <w:p>
      <w:pPr>
        <w:pStyle w:val="FirstParagraph"/>
      </w:pPr>
      <w:r>
        <w:t xml:space="preserve">This comprehensive analysis demonstrates that</w:t>
      </w:r>
      <w:r>
        <w:t xml:space="preserve"> </w:t>
      </w:r>
      <w:r>
        <w:rPr>
          <w:b/>
          <w:bCs/>
        </w:rPr>
        <w:t xml:space="preserve">EEG-based classification of dementia subtypes is feasible with high accuracy</w:t>
      </w:r>
      <w:r>
        <w:t xml:space="preserve"> </w:t>
      </w:r>
      <w:r>
        <w:t xml:space="preserve">when focusing on appropriate brain regions and using optimized analysis parameters. The temporal lobe emerges as the most reliable biomarker location, achieving F1 scores exceeding 0.85 across different configurations.</w:t>
      </w:r>
    </w:p>
    <w:p>
      <w:pPr>
        <w:pStyle w:val="BodyText"/>
      </w:pPr>
      <w:r>
        <w:rPr>
          <w:b/>
          <w:bCs/>
        </w:rPr>
        <w:t xml:space="preserve">Key Takeaways:</w:t>
      </w:r>
      <w:r>
        <w:t xml:space="preserve"> </w:t>
      </w:r>
      <w:r>
        <w:t xml:space="preserve">1. ✓ Temporal lobe EEG provides excellent discrimination (85-89% F1)</w:t>
      </w:r>
      <w:r>
        <w:t xml:space="preserve"> </w:t>
      </w:r>
      <w:r>
        <w:t xml:space="preserve">2. ✓ 4-second non-overlapping windows offer optimal stability</w:t>
      </w:r>
      <w:r>
        <w:t xml:space="preserve"> </w:t>
      </w:r>
      <w:r>
        <w:t xml:space="preserve">3. ✓ Both alpha and beta bands contribute meaningfully</w:t>
      </w:r>
      <w:r>
        <w:t xml:space="preserve"> </w:t>
      </w:r>
      <w:r>
        <w:t xml:space="preserve">4. ✓ Regional differences reflect disease-specific neuropathology</w:t>
      </w:r>
      <w:r>
        <w:t xml:space="preserve"> </w:t>
      </w:r>
      <w:r>
        <w:t xml:space="preserve">5. ✓ Clinical application is promising with appropriate validation</w:t>
      </w:r>
    </w:p>
    <w:p>
      <w:pPr>
        <w:pStyle w:val="BodyText"/>
      </w:pPr>
      <w:r>
        <w:t xml:space="preserve">The balanced contribution of alpha and beta bands across regions suggests that comprehensive frequency analysis captures the multifaceted nature of neurodegenerative processes. These findings provide a strong foundation for developing non-invasive, cost-effective screening tools for dementia diagnosis and monitoring.</w:t>
      </w:r>
    </w:p>
    <w:p>
      <w:r>
        <w:pict>
          <v:rect style="width:0;height:1.5pt" o:hralign="center" o:hrstd="t" o:hr="t"/>
        </w:pict>
      </w:r>
    </w:p>
    <w:bookmarkEnd w:id="42"/>
    <w:bookmarkStart w:id="43" w:name="X23be8bdf0a7609f202b27939420cb2d5ba3ffdc"/>
    <w:p>
      <w:pPr>
        <w:pStyle w:val="Heading2"/>
      </w:pPr>
      <w:r>
        <w:t xml:space="preserve">8. Recommendations for Clinical Implementation</w:t>
      </w:r>
    </w:p>
    <w:p>
      <w:pPr>
        <w:pStyle w:val="FirstParagraph"/>
      </w:pPr>
      <w:r>
        <w:rPr>
          <w:b/>
          <w:bCs/>
        </w:rPr>
        <w:t xml:space="preserve">For Clinical Practice:</w:t>
      </w:r>
      <w:r>
        <w:t xml:space="preserve"> </w:t>
      </w:r>
      <w:r>
        <w:t xml:space="preserve">- Focus EEG electrode placement on temporal and parietal regions</w:t>
      </w:r>
      <w:r>
        <w:t xml:space="preserve"> </w:t>
      </w:r>
      <w:r>
        <w:t xml:space="preserve">- Use 4-second analysis windows without overlap for real-time processing</w:t>
      </w:r>
      <w:r>
        <w:t xml:space="preserve"> </w:t>
      </w:r>
      <w:r>
        <w:t xml:space="preserve">- Implement both alpha and beta band feature extraction</w:t>
      </w:r>
      <w:r>
        <w:t xml:space="preserve"> </w:t>
      </w:r>
      <w:r>
        <w:t xml:space="preserve">- Establish institution-specific normative databases</w:t>
      </w:r>
    </w:p>
    <w:p>
      <w:pPr>
        <w:pStyle w:val="BodyText"/>
      </w:pPr>
      <w:r>
        <w:rPr>
          <w:b/>
          <w:bCs/>
        </w:rPr>
        <w:t xml:space="preserve">For Research Advancement:</w:t>
      </w:r>
      <w:r>
        <w:t xml:space="preserve"> </w:t>
      </w:r>
      <w:r>
        <w:t xml:space="preserve">- Validate findings across diverse patient populations</w:t>
      </w:r>
      <w:r>
        <w:t xml:space="preserve"> </w:t>
      </w:r>
      <w:r>
        <w:t xml:space="preserve">- Explore deep learning approaches for feature extraction</w:t>
      </w:r>
      <w:r>
        <w:t xml:space="preserve"> </w:t>
      </w:r>
      <w:r>
        <w:t xml:space="preserve">- Integrate with other biomarkers (imaging, CSF, cognitive tests)</w:t>
      </w:r>
      <w:r>
        <w:t xml:space="preserve"> </w:t>
      </w:r>
      <w:r>
        <w:t xml:space="preserve">- Develop portable EEG systems for routine screening</w:t>
      </w:r>
    </w:p>
    <w:p>
      <w:r>
        <w:pict>
          <v:rect style="width:0;height:1.5pt" o:hralign="center" o:hrstd="t" o:hr="t"/>
        </w:pict>
      </w:r>
    </w:p>
    <w:p>
      <w:pPr>
        <w:pStyle w:val="FirstParagraph"/>
      </w:pPr>
      <w:r>
        <w:rPr>
          <w:i/>
          <w:iCs/>
        </w:rPr>
        <w:t xml:space="preserve">Report Generated: 2025</w:t>
      </w:r>
      <w:r>
        <w:t xml:space="preserve"> </w:t>
      </w:r>
      <w:r>
        <w:rPr>
          <w:i/>
          <w:iCs/>
        </w:rPr>
        <w:t xml:space="preserve">Analysis Type: EEG-based Dementia Classification</w:t>
      </w:r>
      <w:r>
        <w:t xml:space="preserve"> </w:t>
      </w:r>
      <w:r>
        <w:rPr>
          <w:i/>
          <w:iCs/>
        </w:rPr>
        <w:t xml:space="preserve">Methods: Cross-validated machine learning with frequency band analysis</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2025-10-05T19:01:32Z</dcterms:created>
  <dcterms:modified xsi:type="dcterms:W3CDTF">2025-10-05T19:01:32Z</dcterms:modified>
</cp:coreProperties>
</file>

<file path=docProps/custom.xml><?xml version="1.0" encoding="utf-8"?>
<Properties xmlns="http://schemas.openxmlformats.org/officeDocument/2006/custom-properties" xmlns:vt="http://schemas.openxmlformats.org/officeDocument/2006/docPropsVTypes"/>
</file>