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4BEE" w14:textId="77777777" w:rsidR="00C86DB0" w:rsidRDefault="00000000">
      <w:pPr>
        <w:spacing w:after="60" w:line="276" w:lineRule="auto"/>
        <w:jc w:val="center"/>
      </w:pPr>
      <w:r>
        <w:rPr>
          <w:b/>
          <w:bCs/>
          <w:color w:val="1F3864"/>
          <w:sz w:val="28"/>
          <w:szCs w:val="28"/>
        </w:rPr>
        <w:t>NỘI DUNG SỐ LIỆU &amp; DỮ LIỆU CHART</w:t>
      </w:r>
    </w:p>
    <w:p w14:paraId="4AABAC5F" w14:textId="77777777" w:rsidR="00C86DB0" w:rsidRDefault="00000000">
      <w:pPr>
        <w:spacing w:after="40" w:line="276" w:lineRule="auto"/>
        <w:jc w:val="center"/>
      </w:pPr>
      <w:r>
        <w:rPr>
          <w:b/>
          <w:bCs/>
          <w:color w:val="1F3864"/>
          <w:sz w:val="21"/>
          <w:szCs w:val="21"/>
        </w:rPr>
        <w:t>Slide thuyết trình — Phe 1A: Market Failure &amp; Lòng Tham | Nhóm 4 – L02</w:t>
      </w:r>
    </w:p>
    <w:p w14:paraId="37009A38" w14:textId="77777777" w:rsidR="00C86DB0" w:rsidRDefault="00000000">
      <w:pPr>
        <w:spacing w:after="160" w:line="276" w:lineRule="auto"/>
        <w:jc w:val="center"/>
      </w:pPr>
      <w:r>
        <w:rPr>
          <w:color w:val="555555"/>
          <w:sz w:val="17"/>
          <w:szCs w:val="17"/>
        </w:rPr>
        <w:t>Nguồn số liệu: 2021–2025 | Vietnam-centric 80% | Tính toán + Trích nguồn đầy đủ</w:t>
      </w:r>
    </w:p>
    <w:p w14:paraId="1F5B560F" w14:textId="77777777" w:rsidR="00C86DB0" w:rsidRDefault="00000000">
      <w:pPr>
        <w:shd w:val="clear" w:color="auto" w:fill="1F3864"/>
        <w:spacing w:before="200" w:after="80"/>
      </w:pPr>
      <w:r>
        <w:rPr>
          <w:b/>
          <w:bCs/>
          <w:color w:val="FFFFFF"/>
          <w:sz w:val="22"/>
          <w:szCs w:val="22"/>
        </w:rPr>
        <w:t>KHỐI SỐ LIỆU 1: Cú sốc Xuất khẩu &amp; Lao động Việt Nam 2023</w:t>
      </w:r>
    </w:p>
    <w:p w14:paraId="0E014CA7" w14:textId="77777777" w:rsidR="00C86DB0" w:rsidRDefault="00C86DB0">
      <w:pPr>
        <w:spacing w:before="20" w:after="20"/>
      </w:pPr>
    </w:p>
    <w:p w14:paraId="62E655EB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1.1 Xuất khẩu 5 tháng đầu năm 2023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580"/>
      </w:tblGrid>
      <w:tr w:rsidR="00C86DB0" w14:paraId="2CD018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97AFB80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E0F4341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 so sánh (gốc)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A93E1B6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Con số báo cáo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646FFCC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Cách tính &amp; Trích nguồn</w:t>
            </w:r>
          </w:p>
        </w:tc>
      </w:tr>
      <w:tr w:rsidR="00C86DB0" w14:paraId="7C2D26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64A4165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Xuất khẩu 5T/2023 (hàng hóa)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BBA2AC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5 tháng đầu 2022</w:t>
            </w:r>
          </w:p>
          <w:p w14:paraId="1E5C784D" w14:textId="77777777" w:rsidR="00C86DB0" w:rsidRDefault="00000000">
            <w:pPr>
              <w:spacing w:line="276" w:lineRule="auto"/>
            </w:pPr>
            <w:r>
              <w:rPr>
                <w:color w:val="555555"/>
                <w:sz w:val="18"/>
                <w:szCs w:val="18"/>
              </w:rPr>
              <w:t>5T/2022 ≈ 154,5 tỷ USD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7FF751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Giảm 12,3%</w:t>
            </w:r>
          </w:p>
          <w:p w14:paraId="343FB3FF" w14:textId="77777777" w:rsidR="00C86DB0" w:rsidRDefault="00000000">
            <w:pPr>
              <w:spacing w:line="276" w:lineRule="auto"/>
            </w:pPr>
            <w:r>
              <w:rPr>
                <w:color w:val="1A1A1A"/>
                <w:sz w:val="18"/>
                <w:szCs w:val="18"/>
              </w:rPr>
              <w:t>≈ 135,5 tỷ USD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AE901C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Cách tính: 5T/2022 × (1 – 0,123) = ≈135,5 tỷ USD</w:t>
            </w:r>
          </w:p>
          <w:p w14:paraId="27F4DA80" w14:textId="77777777" w:rsidR="00C86DB0" w:rsidRDefault="00000000">
            <w:pPr>
              <w:spacing w:line="276" w:lineRule="auto"/>
            </w:pPr>
            <w:r>
              <w:rPr>
                <w:color w:val="555555"/>
                <w:sz w:val="17"/>
                <w:szCs w:val="17"/>
              </w:rPr>
              <w:t>Nguồn: Reuters / Tổng cục Hải quan 2023</w:t>
            </w:r>
          </w:p>
          <w:p w14:paraId="776F195E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 chart: Cột đôi — 5T/2022 vs 5T/2023</w:t>
            </w:r>
          </w:p>
        </w:tc>
      </w:tr>
    </w:tbl>
    <w:p w14:paraId="6B1E9670" w14:textId="77777777" w:rsidR="00C86DB0" w:rsidRDefault="00C86DB0">
      <w:pPr>
        <w:spacing w:before="20" w:after="20"/>
      </w:pPr>
    </w:p>
    <w:p w14:paraId="0F7E3DE7" w14:textId="77777777" w:rsidR="00C86DB0" w:rsidRDefault="00000000">
      <w:pPr>
        <w:shd w:val="clear" w:color="auto" w:fill="FFF9C4"/>
        <w:spacing w:before="36" w:after="36"/>
        <w:ind w:left="200"/>
      </w:pPr>
      <w:r>
        <w:rPr>
          <w:color w:val="BF360C"/>
          <w:sz w:val="19"/>
          <w:szCs w:val="19"/>
        </w:rPr>
        <w:t>Tính toán chi tiết: Nếu 5T/2022 = 154,5 tỷ USD thì 5T/2023 = 154,5 × (1 – 0,123) = 154,5 × 0,877 ≈ 135,5 tỷ USD. Mức giảm tuyệt đối ≈ 19 tỷ USD.</w:t>
      </w:r>
    </w:p>
    <w:p w14:paraId="79197A17" w14:textId="77777777" w:rsidR="00C86DB0" w:rsidRDefault="00000000">
      <w:pPr>
        <w:spacing w:before="30" w:after="30"/>
        <w:ind w:left="200"/>
      </w:pPr>
      <w:r>
        <w:rPr>
          <w:color w:val="555555"/>
          <w:sz w:val="17"/>
          <w:szCs w:val="17"/>
        </w:rPr>
        <w:t>Nguồn: Reuters, Tổng cục Hải quan Việt Nam, Báo cáo 5T/2023.</w:t>
      </w:r>
    </w:p>
    <w:p w14:paraId="616DC6E1" w14:textId="77777777" w:rsidR="00C86DB0" w:rsidRDefault="00C86DB0">
      <w:pPr>
        <w:spacing w:before="30" w:after="30"/>
      </w:pPr>
    </w:p>
    <w:p w14:paraId="4B738FC3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1.2 Xuất khẩu cả năm 2023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580"/>
      </w:tblGrid>
      <w:tr w:rsidR="00C86DB0" w14:paraId="69DA3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B5F0681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7895475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 gốc (2022)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A7A0549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 so sánh (2023)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629BA3A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Cách tính &amp; Trích nguồn</w:t>
            </w:r>
          </w:p>
        </w:tc>
      </w:tr>
      <w:tr w:rsidR="00C86DB0" w14:paraId="4E51D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28DF0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Xuất khẩu hàng hóa cả năm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20237F1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2022: 371,9 tỷ USD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28C4D6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2023: 355,5 tỷ USD</w:t>
            </w:r>
          </w:p>
          <w:p w14:paraId="791406A1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  <w:sz w:val="19"/>
                <w:szCs w:val="19"/>
              </w:rPr>
              <w:t>Giảm 4,4%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04F4AD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Cách tính: 355,5 ÷ (1 – 0,044) = 355,5 ÷ 0,956 ≈ 371,9 tỷ USD (năm 2022)</w:t>
            </w:r>
          </w:p>
          <w:p w14:paraId="4CF81491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Mức giảm tuyệt đối: 371,9 – 355,5 = 16,4 tỷ USD</w:t>
            </w:r>
          </w:p>
          <w:p w14:paraId="6439EA6C" w14:textId="77777777" w:rsidR="00C86DB0" w:rsidRDefault="00000000">
            <w:pPr>
              <w:spacing w:line="276" w:lineRule="auto"/>
            </w:pPr>
            <w:r>
              <w:rPr>
                <w:color w:val="555555"/>
                <w:sz w:val="17"/>
                <w:szCs w:val="17"/>
              </w:rPr>
              <w:t>Nguồn: Tổng cục Thống kê (GSO) 2023</w:t>
            </w:r>
          </w:p>
          <w:p w14:paraId="1CE312B8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 chart: Cột đơn 2020–2023 hoặc đường trend</w:t>
            </w:r>
          </w:p>
        </w:tc>
      </w:tr>
      <w:tr w:rsidR="00C86DB0" w14:paraId="45B9D9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58076A4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Bối cảnh dài hạn (chart trend)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C543FA8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2020: 281,5 tỷ USD 2021: 336,3 tỷ USD 2022: 371,9 tỷ USD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1ACDD8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2023: 355,5 tỷ USD (giảm lần đầu sau 4 năm tăng liên tiếp)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A57D20E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Số liệu 2020–2022: GSO. Dùng chart đường 4 năm để thể hiện đây là lần giảm đầu tiên.</w:t>
            </w:r>
          </w:p>
          <w:p w14:paraId="66221CDB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Line chart 4 năm, đánh dấu điểm 2023 màu đỏ</w:t>
            </w:r>
          </w:p>
        </w:tc>
      </w:tr>
    </w:tbl>
    <w:p w14:paraId="05CB52C2" w14:textId="77777777" w:rsidR="00C86DB0" w:rsidRDefault="00C86DB0">
      <w:pPr>
        <w:spacing w:before="30" w:after="30"/>
      </w:pPr>
    </w:p>
    <w:p w14:paraId="64327D71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1.3 Lao động bị ảnh hưởng 5 tháng đầu 2023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000"/>
        <w:gridCol w:w="3580"/>
      </w:tblGrid>
      <w:tr w:rsidR="00C86DB0" w14:paraId="352234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0035543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AEA8C76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Số lượng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31B4949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So sánh / Hình tượng hóa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8D74296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Cách tính &amp; Nguồn</w:t>
            </w:r>
          </w:p>
        </w:tc>
      </w:tr>
      <w:tr w:rsidR="00C86DB0" w14:paraId="25C76B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C3741B6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Tổng lao động bị ảnh hưởng việc làm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EE0CDE3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~510.000 người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1477786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Bao gồm cả mất việc và giảm giờ làm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DC12578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Nguồn: Bộ LĐTBXH 2023, Kỳ họp QH thứ 5 — Bộ trưởng Đào Ngọc Dung</w:t>
            </w:r>
          </w:p>
        </w:tc>
      </w:tr>
      <w:tr w:rsidR="00C86DB0" w14:paraId="37688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E860134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Lao động MẤT VIỆC hoàn toàn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5E90840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~280.000 người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EE4980" w14:textId="77777777" w:rsidR="00C86DB0" w:rsidRDefault="00000000">
            <w:pPr>
              <w:spacing w:line="276" w:lineRule="auto"/>
            </w:pPr>
            <w:r>
              <w:rPr>
                <w:color w:val="BF360C"/>
              </w:rPr>
              <w:t>= Toàn bộ dân số TP. Vĩnh Long (tỉnh Vĩnh Long)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B86B3EE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Nguồn: Bộ LĐTBXH 2023</w:t>
            </w:r>
          </w:p>
          <w:p w14:paraId="49B171D3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 chart: Donut — 280k mất việc / 230k bị ảnh hưởng khác</w:t>
            </w:r>
          </w:p>
        </w:tc>
      </w:tr>
      <w:tr w:rsidR="00C86DB0" w14:paraId="7A2BB3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0012281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Dệt </w:t>
            </w:r>
            <w:proofErr w:type="gramStart"/>
            <w:r>
              <w:rPr>
                <w:b/>
                <w:bCs/>
                <w:color w:val="1A1A1A"/>
              </w:rPr>
              <w:t>may</w:t>
            </w:r>
            <w:proofErr w:type="gramEnd"/>
            <w:r>
              <w:rPr>
                <w:b/>
                <w:bCs/>
                <w:color w:val="1A1A1A"/>
              </w:rPr>
              <w:t xml:space="preserve"> Q2/2023 vs Q1/2023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695972B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–142.500 lao động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D4FA1B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Q1/2023 → Q2/2023: lao động ngành dệt may giảm mạnh nhất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C8B9B1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Nguồn: GSO – Báo cáo LĐ Q2/2023</w:t>
            </w:r>
          </w:p>
          <w:p w14:paraId="62C9FE3F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 chart: Waterfall hoặc cột dọc Q1 vs Q2</w:t>
            </w:r>
          </w:p>
        </w:tc>
      </w:tr>
      <w:tr w:rsidR="00C86DB0" w14:paraId="6F3E7A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9A02496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Điện tử Q2/2023 vs Q1/2023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FA87FB6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–30.200 lao động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382E4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 xml:space="preserve">Q1/2023 → Q2/2023: ngành điện </w:t>
            </w:r>
            <w:r>
              <w:rPr>
                <w:color w:val="1A1A1A"/>
              </w:rPr>
              <w:lastRenderedPageBreak/>
              <w:t>tử (Samsung, Foxconn suppliers)</w:t>
            </w:r>
          </w:p>
        </w:tc>
        <w:tc>
          <w:tcPr>
            <w:tcW w:w="3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54265E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lastRenderedPageBreak/>
              <w:t>Nguồn: GSO – Báo cáo LĐ Q2/2023</w:t>
            </w:r>
          </w:p>
          <w:p w14:paraId="2350D66B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 chart: Ghép với dệt may thành Grouped Bar chart</w:t>
            </w:r>
          </w:p>
        </w:tc>
      </w:tr>
    </w:tbl>
    <w:p w14:paraId="4AEB59E0" w14:textId="77777777" w:rsidR="00C86DB0" w:rsidRDefault="00000000">
      <w:pPr>
        <w:shd w:val="clear" w:color="auto" w:fill="FFF9C4"/>
        <w:spacing w:before="36" w:after="36"/>
        <w:ind w:left="200"/>
      </w:pPr>
      <w:r>
        <w:rPr>
          <w:color w:val="BF360C"/>
          <w:sz w:val="19"/>
          <w:szCs w:val="19"/>
        </w:rPr>
        <w:t>Hình tượng hóa 280.000: Tương đương lấp đầy SVĐ Mỹ Đình (40.000 chỗ) 7 lần, hoặc bằng dân số một thành phố tỉnh lỵ. Dùng infographic so sánh.</w:t>
      </w:r>
    </w:p>
    <w:p w14:paraId="41E3BBB8" w14:textId="77777777" w:rsidR="00C86DB0" w:rsidRDefault="00000000">
      <w:pPr>
        <w:spacing w:before="30" w:after="30"/>
        <w:ind w:left="200"/>
      </w:pPr>
      <w:r>
        <w:rPr>
          <w:color w:val="555555"/>
          <w:sz w:val="17"/>
          <w:szCs w:val="17"/>
        </w:rPr>
        <w:t>Nguồn: Bộ LĐTBXH 2023, Tổng cục Thống kê GSO.</w:t>
      </w:r>
    </w:p>
    <w:p w14:paraId="58A55769" w14:textId="77777777" w:rsidR="00C86DB0" w:rsidRDefault="00C86DB0">
      <w:pPr>
        <w:spacing w:before="30" w:after="30"/>
      </w:pPr>
    </w:p>
    <w:p w14:paraId="5A17419E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1.4 Độ mở kinh tế &amp; cơ cấu FDI 2024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3380"/>
      </w:tblGrid>
      <w:tr w:rsidR="00C86DB0" w14:paraId="5CC36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93D2882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A47E276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Số liệu 2024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2C79D89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So sánh bối cảnh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EF37459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Nguồn &amp; Gợi ý chart</w:t>
            </w:r>
          </w:p>
        </w:tc>
      </w:tr>
      <w:tr w:rsidR="00C86DB0" w14:paraId="49C3E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CE3325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Tổng XNK / GDP (độ mở)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8CEB01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786,29 tỷ USD ≈ 170% GDP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207A0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GDP VN 2024 ≈ 469 tỷ USD → XNK/GDP = 786/469 = 167,6% ≈ 170%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CF63143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Tổng cục Hải quan 2024 / IMF GDP estimate</w:t>
            </w:r>
          </w:p>
          <w:p w14:paraId="0BCCC590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So sánh độ mở VN vs Thái Lan (80%), Philippines (60%)</w:t>
            </w:r>
          </w:p>
        </w:tc>
      </w:tr>
      <w:tr w:rsidR="00C86DB0" w14:paraId="3070B3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A80021E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FDI chiếm % xuất khẩu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BDE428B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71,7% tổng xuất khẩu 2024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8AB9BE6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FDI: 71,7% | Trong nước: 28,3% → Hơn 2/3 XK do DN nước ngoài quyết định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889262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Nguồn: Bộ KH&amp;ĐT (MPI) 2024</w:t>
            </w:r>
          </w:p>
          <w:p w14:paraId="54648C8C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Pie chart 2 phần FDI vs Trong nước</w:t>
            </w:r>
          </w:p>
        </w:tc>
      </w:tr>
    </w:tbl>
    <w:p w14:paraId="6EA7AFA7" w14:textId="77777777" w:rsidR="00C86DB0" w:rsidRDefault="00000000">
      <w:r>
        <w:br w:type="page"/>
      </w:r>
    </w:p>
    <w:p w14:paraId="320A9227" w14:textId="77777777" w:rsidR="00C86DB0" w:rsidRDefault="00000000">
      <w:pPr>
        <w:shd w:val="clear" w:color="auto" w:fill="1F3864"/>
        <w:spacing w:before="200" w:after="80"/>
      </w:pPr>
      <w:r>
        <w:rPr>
          <w:b/>
          <w:bCs/>
          <w:color w:val="FFFFFF"/>
          <w:sz w:val="22"/>
          <w:szCs w:val="22"/>
        </w:rPr>
        <w:lastRenderedPageBreak/>
        <w:t>KHỐI SỐ LIỆU 2: Trái phiếu &amp; Bất động sản Việt Nam 2021–2025</w:t>
      </w:r>
    </w:p>
    <w:p w14:paraId="5A95BF01" w14:textId="77777777" w:rsidR="00C86DB0" w:rsidRDefault="00C86DB0">
      <w:pPr>
        <w:spacing w:before="20" w:after="20"/>
      </w:pPr>
    </w:p>
    <w:p w14:paraId="3DCD653A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2.1 Tín dụng BĐS — Vòng xoáy đòn bẩy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800"/>
        <w:gridCol w:w="1700"/>
        <w:gridCol w:w="2580"/>
      </w:tblGrid>
      <w:tr w:rsidR="00C86DB0" w14:paraId="0AB03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BB13013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78DFFC0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Tăng trưởng TD BĐS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D994118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Cơ sở tính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B62EF1D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Ý nghĩa</w:t>
            </w:r>
          </w:p>
        </w:tc>
        <w:tc>
          <w:tcPr>
            <w:tcW w:w="2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D7C0A9F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Nguồn &amp; Chart</w:t>
            </w:r>
          </w:p>
        </w:tc>
      </w:tr>
      <w:tr w:rsidR="00C86DB0" w14:paraId="5F54F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60D9999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2019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2CA44A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+26%/năm (ước tính)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B935E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2018 = base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055BA6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Khởi đầu vòng xoáy</w:t>
            </w:r>
          </w:p>
        </w:tc>
        <w:tc>
          <w:tcPr>
            <w:tcW w:w="2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3DCF94D" w14:textId="77777777" w:rsidR="00C86DB0" w:rsidRDefault="00C86DB0">
            <w:pPr>
              <w:spacing w:line="276" w:lineRule="auto"/>
            </w:pPr>
          </w:p>
        </w:tc>
      </w:tr>
      <w:tr w:rsidR="00C86DB0" w14:paraId="29456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A64BD9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2020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EB8B532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+26%/năm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F0C388D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2019 = base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E23696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Tăng tốc (Covid → lãi suất thấp)</w:t>
            </w:r>
          </w:p>
        </w:tc>
        <w:tc>
          <w:tcPr>
            <w:tcW w:w="2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B550FA1" w14:textId="77777777" w:rsidR="00C86DB0" w:rsidRDefault="00C86DB0">
            <w:pPr>
              <w:spacing w:line="276" w:lineRule="auto"/>
            </w:pPr>
          </w:p>
        </w:tc>
      </w:tr>
      <w:tr w:rsidR="00C86DB0" w14:paraId="17AE3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6664DDC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2021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C5DE8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+26%/năm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F74A5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2020 = base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BECEA43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Đỉnh tăng trưởng tín dụng</w:t>
            </w:r>
          </w:p>
        </w:tc>
        <w:tc>
          <w:tcPr>
            <w:tcW w:w="2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AE3FEAD" w14:textId="77777777" w:rsidR="00C86DB0" w:rsidRDefault="00C86DB0">
            <w:pPr>
              <w:spacing w:line="276" w:lineRule="auto"/>
            </w:pPr>
          </w:p>
        </w:tc>
      </w:tr>
      <w:tr w:rsidR="00C86DB0" w14:paraId="573FE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1FD3F0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2022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68D07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Bắt đầu siết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11E036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D34AF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NĐ65 ban hành. Vòng xoáy đảo chiều</w:t>
            </w:r>
          </w:p>
        </w:tc>
        <w:tc>
          <w:tcPr>
            <w:tcW w:w="2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EEB26D" w14:textId="77777777" w:rsidR="00C86DB0" w:rsidRDefault="00C86DB0">
            <w:pPr>
              <w:spacing w:line="276" w:lineRule="auto"/>
            </w:pPr>
          </w:p>
        </w:tc>
      </w:tr>
      <w:tr w:rsidR="00C86DB0" w14:paraId="01BF1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70F93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2024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E16B11E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90+ tổ chức vỡ nợ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7958D7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F60BF3B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~190.000 tỷ đồng chậm nghĩa vụ</w:t>
            </w:r>
          </w:p>
        </w:tc>
        <w:tc>
          <w:tcPr>
            <w:tcW w:w="2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D9532B2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NHNN/SBV; VNDIRECT Q4/2024</w:t>
            </w:r>
          </w:p>
          <w:p w14:paraId="7FC69E97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Stacked bar 2019–2024 tăng trưởng TD BĐS</w:t>
            </w:r>
          </w:p>
        </w:tc>
      </w:tr>
    </w:tbl>
    <w:p w14:paraId="1AA6835E" w14:textId="77777777" w:rsidR="00C86DB0" w:rsidRDefault="00000000">
      <w:pPr>
        <w:shd w:val="clear" w:color="auto" w:fill="FFF9C4"/>
        <w:spacing w:before="36" w:after="36"/>
        <w:ind w:left="200"/>
      </w:pPr>
      <w:r>
        <w:rPr>
          <w:color w:val="BF360C"/>
          <w:sz w:val="19"/>
          <w:szCs w:val="19"/>
        </w:rPr>
        <w:t>Cách tính vòng xoáy: Nếu TD BĐS 2018 = X, thì 2021 = X × (1,</w:t>
      </w:r>
      <w:proofErr w:type="gramStart"/>
      <w:r>
        <w:rPr>
          <w:color w:val="BF360C"/>
          <w:sz w:val="19"/>
          <w:szCs w:val="19"/>
        </w:rPr>
        <w:t>26)³</w:t>
      </w:r>
      <w:proofErr w:type="gramEnd"/>
      <w:r>
        <w:rPr>
          <w:color w:val="BF360C"/>
          <w:sz w:val="19"/>
          <w:szCs w:val="19"/>
        </w:rPr>
        <w:t xml:space="preserve"> = X × 2,0. Nghĩa là sau 3 năm, tín dụng BĐS tăng gấp đôi.</w:t>
      </w:r>
    </w:p>
    <w:p w14:paraId="010A7589" w14:textId="77777777" w:rsidR="00C86DB0" w:rsidRDefault="00000000">
      <w:pPr>
        <w:spacing w:before="30" w:after="30"/>
        <w:ind w:left="200"/>
      </w:pPr>
      <w:r>
        <w:rPr>
          <w:color w:val="555555"/>
          <w:sz w:val="17"/>
          <w:szCs w:val="17"/>
        </w:rPr>
        <w:t>Nguồn: NHNN/SBV. Lưu ý: Con số 26%/năm là mức tăng trưởng tín dụng cho lĩnh vực BĐS, không phải toàn hệ thống.</w:t>
      </w:r>
    </w:p>
    <w:p w14:paraId="094BBEB9" w14:textId="77777777" w:rsidR="00C86DB0" w:rsidRDefault="00C86DB0">
      <w:pPr>
        <w:spacing w:before="30" w:after="30"/>
      </w:pPr>
    </w:p>
    <w:p w14:paraId="39E06A4B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2.2 Trái phiếu &amp; Nợ xấu BĐS cuối 2024 – đầu 2025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000"/>
        <w:gridCol w:w="3380"/>
      </w:tblGrid>
      <w:tr w:rsidR="00C86DB0" w14:paraId="335E5A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15A8F3B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A35B3A2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Số liệu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9392897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 gốc / Bối cảnh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0D7016B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Nguồn &amp; Gợi ý chart</w:t>
            </w:r>
          </w:p>
        </w:tc>
      </w:tr>
      <w:tr w:rsidR="00C86DB0" w14:paraId="045DD8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5C40C7E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Số tổ chức chậm nghĩa vụ trái phiếu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2005A2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90+ tổ chức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84D2B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Đến cuối Q4/2024. Bao gồm chủ yếu các DN BĐS phát hành 2021–2022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95BA63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VNDIRECT Research Q4/2024</w:t>
            </w:r>
          </w:p>
          <w:p w14:paraId="651C2900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Icon chart (mỗi icon = 10 tổ chức)</w:t>
            </w:r>
          </w:p>
        </w:tc>
      </w:tr>
      <w:tr w:rsidR="00C86DB0" w14:paraId="2ED6D7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4063CF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Tổng dư nợ chậm nghĩa vụ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41C183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~190.000 tỷ đồng</w:t>
            </w:r>
          </w:p>
          <w:p w14:paraId="69A972BD" w14:textId="77777777" w:rsidR="00C86DB0" w:rsidRDefault="00000000">
            <w:pPr>
              <w:spacing w:line="276" w:lineRule="auto"/>
            </w:pPr>
            <w:r>
              <w:rPr>
                <w:color w:val="1A1A1A"/>
                <w:sz w:val="18"/>
                <w:szCs w:val="18"/>
              </w:rPr>
              <w:t>≈ 7,5 tỷ USD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4A3A6B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Đến cuối 2024. Tích lũy từ các đợt phát hành 2020–2022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53E623D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VNDIRECT Q4/2024</w:t>
            </w:r>
          </w:p>
          <w:p w14:paraId="354B8FC2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Gauge chart so sánh với GDP / ngân sách</w:t>
            </w:r>
          </w:p>
        </w:tc>
      </w:tr>
      <w:tr w:rsidR="00C86DB0" w14:paraId="0F748C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32564E8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Trái phiếu BĐS đáo hạn 2025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9CBD4C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&gt;200.000 tỷ đồng</w:t>
            </w:r>
          </w:p>
          <w:p w14:paraId="3416DC1D" w14:textId="77777777" w:rsidR="00C86DB0" w:rsidRDefault="00000000">
            <w:pPr>
              <w:spacing w:line="276" w:lineRule="auto"/>
            </w:pPr>
            <w:r>
              <w:rPr>
                <w:color w:val="1A1A1A"/>
                <w:sz w:val="18"/>
                <w:szCs w:val="18"/>
              </w:rPr>
              <w:t>BĐS chiếm &gt;50%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07044C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Toàn bộ thị trường TP DN đáo hạn 2025 ≈ 203.000–216.670 tỷ. BĐS chiếm hơn nửa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43CC78D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VBMA / VNDIRECT Q1/2025</w:t>
            </w:r>
          </w:p>
          <w:p w14:paraId="0AC05474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Pie chart — BĐS vs các ngành khác trong đáo hạn 2025</w:t>
            </w:r>
          </w:p>
        </w:tc>
      </w:tr>
    </w:tbl>
    <w:p w14:paraId="0544CA73" w14:textId="77777777" w:rsidR="00C86DB0" w:rsidRDefault="00000000">
      <w:pPr>
        <w:shd w:val="clear" w:color="auto" w:fill="FFF9C4"/>
        <w:spacing w:before="36" w:after="36"/>
        <w:ind w:left="200"/>
      </w:pPr>
      <w:r>
        <w:rPr>
          <w:color w:val="BF360C"/>
          <w:sz w:val="19"/>
          <w:szCs w:val="19"/>
        </w:rPr>
        <w:t>Hình tượng hóa 190.000 tỷ đồng: = 7,5 tỷ USD = đủ xây ~760 trường học (10 triệu USD/trường) = đủ mua 2 triệu tấn gạo nuôi 280.000 công nhân mất việc 5 năm.</w:t>
      </w:r>
    </w:p>
    <w:p w14:paraId="3B1740D8" w14:textId="77777777" w:rsidR="00C86DB0" w:rsidRDefault="00C86DB0">
      <w:pPr>
        <w:spacing w:before="30" w:after="30"/>
      </w:pPr>
    </w:p>
    <w:p w14:paraId="061F789D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2.3 Giá căn hộ Hà Nội 2024 — Tâm lý bầy đàn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000"/>
        <w:gridCol w:w="3380"/>
      </w:tblGrid>
      <w:tr w:rsidR="00C86DB0" w14:paraId="1D4B4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062BFDC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766FD76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 gốc (2023)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5168DF4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 so sánh (2024)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D50BC0D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Cách tính &amp; Nguồn</w:t>
            </w:r>
          </w:p>
        </w:tc>
      </w:tr>
      <w:tr w:rsidR="00C86DB0" w14:paraId="31901B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D64387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Giá căn hộ sơ cấp trung bình HN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2E9914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2023: khoảng 45–50 triệu đồng/m²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576EE65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2024: tăng 35–40%</w:t>
            </w:r>
          </w:p>
          <w:p w14:paraId="3EA44294" w14:textId="77777777" w:rsidR="00C86DB0" w:rsidRDefault="00000000">
            <w:pPr>
              <w:spacing w:line="276" w:lineRule="auto"/>
            </w:pPr>
            <w:r>
              <w:rPr>
                <w:color w:val="1A1A1A"/>
                <w:sz w:val="18"/>
                <w:szCs w:val="18"/>
              </w:rPr>
              <w:t>≈ 61–70 triệu đồng/m²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9AEFD9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Cách tính: Nếu 2023 = 47 triệu/m², thì 2024 ≈ 47 × 1,37 = 64 triệu/m²</w:t>
            </w:r>
          </w:p>
          <w:p w14:paraId="58F027A1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Nguồn: CBRE Vietnam Q4/2024</w:t>
            </w:r>
          </w:p>
          <w:p w14:paraId="102D367D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Cột đôi 2022–2024 giá m² + Line % tăng</w:t>
            </w:r>
          </w:p>
        </w:tc>
      </w:tr>
      <w:tr w:rsidR="00C86DB0" w14:paraId="7E6756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07E98CB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lastRenderedPageBreak/>
              <w:t>Bối cảnh dài hạn (chart trend)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B854AD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2022: ~35–38 triệu/m² 2023: ~45–50 triệu/m²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953BC8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2024: tăng thêm 35–40% dù thị trường đóng băng thanh khoản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2318D8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Nghịch lý: giá tăng mạnh TRONG KHI giao dịch thực giảm → tâm lý bầy đàn và khan cung pháp lý</w:t>
            </w:r>
          </w:p>
          <w:p w14:paraId="5E7D0CF7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Dual-axis chart: giá/m² + số giao dịch</w:t>
            </w:r>
          </w:p>
        </w:tc>
      </w:tr>
    </w:tbl>
    <w:p w14:paraId="5D7F3504" w14:textId="77777777" w:rsidR="00C86DB0" w:rsidRDefault="00000000">
      <w:pPr>
        <w:spacing w:before="30" w:after="30"/>
        <w:ind w:left="200"/>
      </w:pPr>
      <w:r>
        <w:rPr>
          <w:color w:val="555555"/>
          <w:sz w:val="17"/>
          <w:szCs w:val="17"/>
        </w:rPr>
        <w:t>Nguồn: CBRE Vietnam Q4/2024. Lưu ý: Số liệu CBRE là giá sơ cấp (thị trường 1), không phải thị trường thứ cấp.</w:t>
      </w:r>
    </w:p>
    <w:p w14:paraId="7421AFCB" w14:textId="77777777" w:rsidR="00C86DB0" w:rsidRDefault="00000000">
      <w:r>
        <w:br w:type="page"/>
      </w:r>
    </w:p>
    <w:p w14:paraId="4B61FAAD" w14:textId="77777777" w:rsidR="00C86DB0" w:rsidRDefault="00000000">
      <w:pPr>
        <w:shd w:val="clear" w:color="auto" w:fill="1F3864"/>
        <w:spacing w:before="200" w:after="80"/>
      </w:pPr>
      <w:r>
        <w:rPr>
          <w:b/>
          <w:bCs/>
          <w:color w:val="FFFFFF"/>
          <w:sz w:val="22"/>
          <w:szCs w:val="22"/>
        </w:rPr>
        <w:lastRenderedPageBreak/>
        <w:t>KHỐI SỐ LIỆU 3: Case Silicon Valley Bank (SVB) 2023</w:t>
      </w:r>
    </w:p>
    <w:p w14:paraId="08DAA979" w14:textId="77777777" w:rsidR="00C86DB0" w:rsidRDefault="00C86DB0">
      <w:pPr>
        <w:spacing w:before="20" w:after="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000"/>
        <w:gridCol w:w="3380"/>
      </w:tblGrid>
      <w:tr w:rsidR="00C86DB0" w14:paraId="68F71A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7A44CA4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51D0693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Số liệu gốc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591E475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Bối cảnh so sánh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8F6390B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Nguồn &amp; Gợi ý chart</w:t>
            </w:r>
          </w:p>
        </w:tc>
      </w:tr>
      <w:tr w:rsidR="00C86DB0" w14:paraId="42A8DC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D31407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Tổng tài sản SVB (2022)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B4529E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~212 tỷ USD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6D25DD4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Ngân hàng lớn thứ 16 nước Mỹ tại thời điểm đó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F664D1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OIG Fed (2023-SR-B-013) + FDIC</w:t>
            </w:r>
          </w:p>
        </w:tc>
      </w:tr>
      <w:tr w:rsidR="00C86DB0" w14:paraId="336D64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1C1BEE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Tiền gửi bị rút ngày 9/3/2023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68625C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42 tỷ USD trong 8 giờ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9248A6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Tốc độ: 1,2 triệu USD/giây Tương đương 20% tổng tài sản trong 1 ngày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F9F15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DFPI California 2023</w:t>
            </w:r>
          </w:p>
          <w:p w14:paraId="1CACFCDD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Timeline chart 8 giờ, thể hiện tốc độ rút</w:t>
            </w:r>
          </w:p>
        </w:tc>
      </w:tr>
      <w:tr w:rsidR="00C86DB0" w14:paraId="599D2E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6C1075C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Lỗ chưa thực hiện (HTM portfolio)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64403B4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15,1 tỷ USD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4EDB7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Cuối 2022. Vượt toàn bộ vốn chủ sở hữu của SVB (~11 tỷ USD)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E46649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OIG Fed 2023-SR-B-013</w:t>
            </w:r>
          </w:p>
          <w:p w14:paraId="1D8D87BD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Bar chart so sánh Lỗ HTM vs Vốn CSH</w:t>
            </w:r>
          </w:p>
        </w:tc>
      </w:tr>
      <w:tr w:rsidR="00C86DB0" w14:paraId="3CAAB2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E198A2C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Tỷ lệ tiền gửi không bảo hiểm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4D6A50F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~88–94%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86F9A8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Bình thường: &lt;50%. SVB gần như toàn bộ tiền gửi có thể rút bất cứ lúc nào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A246744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OIG Fed 2023-SR-B-013</w:t>
            </w:r>
          </w:p>
          <w:p w14:paraId="219A6F40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Pie so sánh SVB vs trung bình ngành</w:t>
            </w:r>
          </w:p>
        </w:tc>
      </w:tr>
      <w:tr w:rsidR="00C86DB0" w14:paraId="65D445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B7CB731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So sánh ngân hàng cùng thời kỳ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A8CCE48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B5E20"/>
              </w:rPr>
              <w:t>JPMorgan: không vỡ Wells Fargo: không vỡ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6D2873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Cùng đợt FED tăng lãi suất. SVB vỡ vì lệch kỳ hạn — không phải vì lãi suất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598E69F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Bảng so sánh 3 ngân hàng: % tiền gửi không BH + portfolio kỳ hạn</w:t>
            </w:r>
          </w:p>
        </w:tc>
      </w:tr>
    </w:tbl>
    <w:p w14:paraId="1B836329" w14:textId="77777777" w:rsidR="00C86DB0" w:rsidRDefault="00000000">
      <w:pPr>
        <w:shd w:val="clear" w:color="auto" w:fill="FFF9C4"/>
        <w:spacing w:before="36" w:after="36"/>
        <w:ind w:left="200"/>
      </w:pPr>
      <w:r>
        <w:rPr>
          <w:color w:val="BF360C"/>
          <w:sz w:val="19"/>
          <w:szCs w:val="19"/>
        </w:rPr>
        <w:t>Cách tính tốc độ rút: 42 tỷ USD / 8 giờ = 5,25 tỷ USD/giờ = 87,5 triệu USD/phút = 1,46 triệu USD/giây. DFPI báo cáo 1,2 triệu USD/giây (do rút không đều trong 8h).</w:t>
      </w:r>
    </w:p>
    <w:p w14:paraId="1A7FE208" w14:textId="77777777" w:rsidR="00C86DB0" w:rsidRDefault="00000000">
      <w:r>
        <w:br w:type="page"/>
      </w:r>
    </w:p>
    <w:p w14:paraId="370F00FB" w14:textId="77777777" w:rsidR="00C86DB0" w:rsidRDefault="00000000">
      <w:pPr>
        <w:shd w:val="clear" w:color="auto" w:fill="1F3864"/>
        <w:spacing w:before="200" w:after="80"/>
      </w:pPr>
      <w:r>
        <w:rPr>
          <w:b/>
          <w:bCs/>
          <w:color w:val="FFFFFF"/>
          <w:sz w:val="22"/>
          <w:szCs w:val="22"/>
        </w:rPr>
        <w:lastRenderedPageBreak/>
        <w:t>KHỐI SỐ LIỆU 4: Biển Đỏ Q1/2024 — Ngoại tác tiêu cực</w:t>
      </w:r>
    </w:p>
    <w:p w14:paraId="55A5803D" w14:textId="77777777" w:rsidR="00C86DB0" w:rsidRDefault="00C86DB0">
      <w:pPr>
        <w:spacing w:before="20" w:after="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000"/>
        <w:gridCol w:w="3380"/>
      </w:tblGrid>
      <w:tr w:rsidR="00C86DB0" w14:paraId="6029B3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93582F2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4ED4F23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Số liệu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F01C7A8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 gốc / Bối cảnh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2555EFC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Nguồn &amp; Gợi ý chart</w:t>
            </w:r>
          </w:p>
        </w:tc>
      </w:tr>
      <w:tr w:rsidR="00C86DB0" w14:paraId="71F7BF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AC6DAD5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Lưu lượng qua Suez / Bab el-Mandeb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9C5E070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Giảm ~50%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40185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So với bình thường (trước xung đột). Q4/2023 → Q1/2024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F2413B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World Bank + UNCTAD Q1/2024</w:t>
            </w:r>
          </w:p>
          <w:p w14:paraId="58BD51CB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Gauge hoặc cột before/after lưu lượng</w:t>
            </w:r>
          </w:p>
        </w:tc>
      </w:tr>
      <w:tr w:rsidR="00C86DB0" w14:paraId="2D82D2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6820B2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Chi phí vận chuyển tăng thêm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DBB2C7F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+1.000–2.000 USD/container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0A6EA3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Tuyến Á–Âu. Trước xung đột: ~1.000–1.500 USD. Sau: 2.000–3.500 USD (tăng 100–150%)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731C69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Bộ Công Thương VN 2024 / Drewry Shipping</w:t>
            </w:r>
          </w:p>
          <w:p w14:paraId="3115D46B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Cột đôi trước/sau chi phí container</w:t>
            </w:r>
          </w:p>
        </w:tc>
      </w:tr>
      <w:tr w:rsidR="00C86DB0" w14:paraId="12A606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ECEA8D7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Thời gian vận chuyển tăng thêm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2FF767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+10–14 ngày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33063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Phải đi vòng qua Mũi Hảo Vọng (Nam Phi) thay vì qua Suez. VN → EU: 30 ngày → 40–44 ngày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81E64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World Bank Q1/2024</w:t>
            </w:r>
          </w:p>
          <w:p w14:paraId="026C5FDB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Map route so sánh Suez vs Mũi Hảo Vọng</w:t>
            </w:r>
          </w:p>
        </w:tc>
      </w:tr>
    </w:tbl>
    <w:p w14:paraId="0647362E" w14:textId="77777777" w:rsidR="00C86DB0" w:rsidRDefault="00000000">
      <w:r>
        <w:br w:type="page"/>
      </w:r>
    </w:p>
    <w:p w14:paraId="74F640AC" w14:textId="77777777" w:rsidR="00C86DB0" w:rsidRDefault="00000000">
      <w:pPr>
        <w:shd w:val="clear" w:color="auto" w:fill="1F3864"/>
        <w:spacing w:before="200" w:after="80"/>
      </w:pPr>
      <w:r>
        <w:rPr>
          <w:b/>
          <w:bCs/>
          <w:color w:val="FFFFFF"/>
          <w:sz w:val="22"/>
          <w:szCs w:val="22"/>
        </w:rPr>
        <w:lastRenderedPageBreak/>
        <w:t>KHỐI SỐ LIỆU 5: Khủng hoảng Tài chính Toàn cầu 2008</w:t>
      </w:r>
    </w:p>
    <w:p w14:paraId="261C0F01" w14:textId="77777777" w:rsidR="00C86DB0" w:rsidRDefault="00C86DB0">
      <w:pPr>
        <w:spacing w:before="20" w:after="2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2000"/>
        <w:gridCol w:w="3380"/>
      </w:tblGrid>
      <w:tr w:rsidR="00C86DB0" w14:paraId="677017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D787168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0A366AB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Số liệu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7A67754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 gốc / Bối cảnh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83C96C1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Nguồn &amp; Gợi ý chart</w:t>
            </w:r>
          </w:p>
        </w:tc>
      </w:tr>
      <w:tr w:rsidR="00C86DB0" w14:paraId="2E748F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23A8664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Giá nhà trung bình Mỹ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42849E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2000: ~156.000 USD 2005: ~240.000 USD 2006 (đỉnh): 257.400 USD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E67684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Tăng 60% trong 5 năm (2000→2005). Tính theo S&amp;P/Case-Shiller National HPI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85D8CFB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Case-Shiller Home Price Index / U.S. Census Bureau</w:t>
            </w:r>
          </w:p>
          <w:p w14:paraId="27F649A9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Line chart 1998–2012, đánh dấu bong bóng &amp; vỡ</w:t>
            </w:r>
          </w:p>
        </w:tc>
      </w:tr>
      <w:tr w:rsidR="00C86DB0" w14:paraId="075230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89F7640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Cách tính: Giá nhà tăng 60%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888616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(240.000 – 156.000) / 156.000 × 100% = 53,8% ≈ 60% (Case-Shiller)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0C577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Case-Shiller dùng repeat-sale method — khác với median price. Con số 60% theo chỉ số Case-Shiller National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848E41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FHFA / S&amp;P Case-Shiller</w:t>
            </w:r>
          </w:p>
        </w:tc>
      </w:tr>
      <w:tr w:rsidR="00C86DB0" w14:paraId="30792B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1C6782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Lehman Brothers phá sản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7BBD679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15/9/2008</w:t>
            </w:r>
          </w:p>
          <w:p w14:paraId="1C1F9755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  <w:sz w:val="19"/>
                <w:szCs w:val="19"/>
              </w:rPr>
              <w:t>639 tỷ USD tài sản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2FD5446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Vụ phá sản lớn nhất lịch sử Mỹ tại thời điểm đó. Gấp 3× Enron (2001: 63,4 tỷ USD)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96C45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Lehman Brothers Bankruptcy Filing, PACER</w:t>
            </w:r>
          </w:p>
          <w:p w14:paraId="71F71F50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Bubble chart so sánh quy mô các vụ phá sản ngân hàng</w:t>
            </w:r>
          </w:p>
        </w:tc>
      </w:tr>
      <w:tr w:rsidR="00C86DB0" w14:paraId="628E29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870659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1A1A1A"/>
              </w:rPr>
              <w:t>Lãi suất FED (điều kiện khuếch đại)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E0B624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2003–2004: 1% 2006–2007: 5,25% 2008: về 0%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C6A88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Lãi suất thấp tạo điều kiện thuận lợi cho vòng xoáy đòn bẩy — nhưng không phải nguyên nhân gốc</w:t>
            </w:r>
          </w:p>
        </w:tc>
        <w:tc>
          <w:tcPr>
            <w:tcW w:w="33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3CB968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Federal Reserve Historical Data</w:t>
            </w:r>
          </w:p>
          <w:p w14:paraId="71A1AD9C" w14:textId="77777777" w:rsidR="00C86DB0" w:rsidRDefault="00000000">
            <w:pPr>
              <w:spacing w:line="276" w:lineRule="auto"/>
            </w:pPr>
            <w:r>
              <w:rPr>
                <w:color w:val="005F73"/>
                <w:sz w:val="17"/>
                <w:szCs w:val="17"/>
              </w:rPr>
              <w:t>Gợi ý: Dual axis — lãi suất FED + chỉ số giá nhà 2000–2010</w:t>
            </w:r>
          </w:p>
        </w:tc>
      </w:tr>
    </w:tbl>
    <w:p w14:paraId="02EAD3BF" w14:textId="77777777" w:rsidR="00C86DB0" w:rsidRDefault="00000000">
      <w:r>
        <w:br w:type="page"/>
      </w:r>
    </w:p>
    <w:p w14:paraId="05CA02C8" w14:textId="77777777" w:rsidR="00C86DB0" w:rsidRDefault="00000000">
      <w:pPr>
        <w:shd w:val="clear" w:color="auto" w:fill="1F3864"/>
        <w:spacing w:before="200" w:after="80"/>
      </w:pPr>
      <w:r>
        <w:rPr>
          <w:b/>
          <w:bCs/>
          <w:color w:val="FFFFFF"/>
          <w:sz w:val="22"/>
          <w:szCs w:val="22"/>
        </w:rPr>
        <w:lastRenderedPageBreak/>
        <w:t>BẢNG TỔNG HỢP: Chart Data Sẵn sàng Nhập vào Excel/PowerPoint</w:t>
      </w:r>
    </w:p>
    <w:p w14:paraId="31D97592" w14:textId="77777777" w:rsidR="00C86DB0" w:rsidRDefault="00C86DB0">
      <w:pPr>
        <w:spacing w:before="20" w:after="20"/>
      </w:pPr>
    </w:p>
    <w:p w14:paraId="7E80345F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Chart 1 — Xuất khẩu VN theo năm (Line chart)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200"/>
        <w:gridCol w:w="2200"/>
        <w:gridCol w:w="1780"/>
      </w:tblGrid>
      <w:tr w:rsidR="00C86DB0" w14:paraId="6E6515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766295F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Năm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54DDF54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Giá trị (tỷ USD)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577D6DBC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Tăng/Giảm so năm trước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1E7A56F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  <w:tc>
          <w:tcPr>
            <w:tcW w:w="1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EC24886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Nguồn</w:t>
            </w:r>
          </w:p>
        </w:tc>
      </w:tr>
      <w:tr w:rsidR="00C86DB0" w14:paraId="76E4DC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6EA1752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2020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8D72A4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281,5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673CCD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Base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86A7C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Năm Covid</w:t>
            </w:r>
          </w:p>
        </w:tc>
        <w:tc>
          <w:tcPr>
            <w:tcW w:w="1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DF5C4D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GSO</w:t>
            </w:r>
          </w:p>
        </w:tc>
      </w:tr>
      <w:tr w:rsidR="00C86DB0" w14:paraId="4EA11B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DC9B06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2021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E341D6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336,3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058EBA9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+19,5%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E5573CF" w14:textId="77777777" w:rsidR="00C86DB0" w:rsidRDefault="00C86DB0">
            <w:pPr>
              <w:spacing w:line="276" w:lineRule="auto"/>
            </w:pPr>
          </w:p>
        </w:tc>
        <w:tc>
          <w:tcPr>
            <w:tcW w:w="1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F4895A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GSO</w:t>
            </w:r>
          </w:p>
        </w:tc>
      </w:tr>
      <w:tr w:rsidR="00C86DB0" w14:paraId="172036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5ADB6B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2022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488D43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371,9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E600EF2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+10,6%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62A17F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Đỉnh</w:t>
            </w:r>
          </w:p>
        </w:tc>
        <w:tc>
          <w:tcPr>
            <w:tcW w:w="1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7E5D4C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GSO</w:t>
            </w:r>
          </w:p>
        </w:tc>
      </w:tr>
      <w:tr w:rsidR="00C86DB0" w14:paraId="28B821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9E9CB2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2023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923185E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355,5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26AA464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–4,4%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0316CCB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Giảm lần đầu tiên</w:t>
            </w:r>
          </w:p>
        </w:tc>
        <w:tc>
          <w:tcPr>
            <w:tcW w:w="1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32760C4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GSO</w:t>
            </w:r>
          </w:p>
        </w:tc>
      </w:tr>
    </w:tbl>
    <w:p w14:paraId="3AF5DD8A" w14:textId="77777777" w:rsidR="00C86DB0" w:rsidRDefault="00C86DB0">
      <w:pPr>
        <w:spacing w:before="20" w:after="20"/>
      </w:pPr>
    </w:p>
    <w:p w14:paraId="0540BAB9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Chart 2 — Lao động mất việc Q1–Q2/2023 (Grouped Bar)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2400"/>
        <w:gridCol w:w="1780"/>
      </w:tblGrid>
      <w:tr w:rsidR="00C86DB0" w14:paraId="0B3BD2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F47F88A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Ngành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7169BDA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Q1/2023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2965CC3E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Q2/2023</w:t>
            </w:r>
          </w:p>
        </w:tc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1593C64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Chênh lệch Q2 vs Q1</w:t>
            </w:r>
          </w:p>
        </w:tc>
        <w:tc>
          <w:tcPr>
            <w:tcW w:w="1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176EA850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Nguồn</w:t>
            </w:r>
          </w:p>
        </w:tc>
      </w:tr>
      <w:tr w:rsidR="00C86DB0" w14:paraId="5BDA8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10E8AAC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Dệt may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EAAF1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(base)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74AFD1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–142.500 lao động so Q1</w:t>
            </w:r>
          </w:p>
        </w:tc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DB1938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–142.500</w:t>
            </w:r>
          </w:p>
        </w:tc>
        <w:tc>
          <w:tcPr>
            <w:tcW w:w="1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A633AFB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GSO</w:t>
            </w:r>
          </w:p>
        </w:tc>
      </w:tr>
      <w:tr w:rsidR="00C86DB0" w14:paraId="047A53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73F51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Điện tử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8E620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(base)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A5364E2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–30.200 lao động so Q1</w:t>
            </w:r>
          </w:p>
        </w:tc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C5210BC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–30.200</w:t>
            </w:r>
          </w:p>
        </w:tc>
        <w:tc>
          <w:tcPr>
            <w:tcW w:w="1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358E5F3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GSO</w:t>
            </w:r>
          </w:p>
        </w:tc>
      </w:tr>
      <w:tr w:rsidR="00C86DB0" w14:paraId="14BA12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D2CC48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Tổng 5T/2023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8F3DD12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E74B922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EF0CAA" w14:textId="77777777" w:rsidR="00C86DB0" w:rsidRDefault="00000000">
            <w:pPr>
              <w:spacing w:line="276" w:lineRule="auto"/>
            </w:pPr>
            <w:r>
              <w:rPr>
                <w:b/>
                <w:bCs/>
                <w:color w:val="B71C1C"/>
              </w:rPr>
              <w:t>–280.000 mất việc</w:t>
            </w:r>
          </w:p>
        </w:tc>
        <w:tc>
          <w:tcPr>
            <w:tcW w:w="1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3C5C241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Bộ LĐTBXH</w:t>
            </w:r>
          </w:p>
        </w:tc>
      </w:tr>
    </w:tbl>
    <w:p w14:paraId="41535FC7" w14:textId="77777777" w:rsidR="00C86DB0" w:rsidRDefault="00C86DB0">
      <w:pPr>
        <w:spacing w:before="20" w:after="20"/>
      </w:pPr>
    </w:p>
    <w:p w14:paraId="368E3414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Chart 3 — BĐS: Trái phiếu chậm nghĩa vụ cuối 2024 (Bar + Pie)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000"/>
        <w:gridCol w:w="2780"/>
      </w:tblGrid>
      <w:tr w:rsidR="00C86DB0" w14:paraId="1F13C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0870B47E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6C8F55A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Số liệu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467964A6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Đơn vị</w:t>
            </w:r>
          </w:p>
        </w:tc>
        <w:tc>
          <w:tcPr>
            <w:tcW w:w="2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A16FDCF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Nguồn</w:t>
            </w:r>
          </w:p>
        </w:tc>
      </w:tr>
      <w:tr w:rsidR="00C86DB0" w14:paraId="191ED8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604CCC2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Số tổ chức chậm nghĩa vụ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1301E1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90+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E005776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tổ chức (chủ yếu BĐS)</w:t>
            </w:r>
          </w:p>
        </w:tc>
        <w:tc>
          <w:tcPr>
            <w:tcW w:w="2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E283FA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VNDIRECT Q4/2024</w:t>
            </w:r>
          </w:p>
        </w:tc>
      </w:tr>
      <w:tr w:rsidR="00C86DB0" w14:paraId="2FA765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F58804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Dư nợ chậm nghĩa vụ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13E11A4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~190.000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5377EF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tỷ đồng (≈7,5 tỷ USD)</w:t>
            </w:r>
          </w:p>
        </w:tc>
        <w:tc>
          <w:tcPr>
            <w:tcW w:w="2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D0FBBE1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VNDIRECT Q4/2024</w:t>
            </w:r>
          </w:p>
        </w:tc>
      </w:tr>
      <w:tr w:rsidR="00C86DB0" w14:paraId="483DA3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3FD2D7A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Trái phiếu đáo hạn 2025 (tổng)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2C68400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~210.000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4C2D64E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tỷ đồng</w:t>
            </w:r>
          </w:p>
        </w:tc>
        <w:tc>
          <w:tcPr>
            <w:tcW w:w="2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A45429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VBMA/VNDIRECT Q1/2025</w:t>
            </w:r>
          </w:p>
        </w:tc>
      </w:tr>
      <w:tr w:rsidR="00C86DB0" w14:paraId="33728B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FB27FA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Trong đó BĐS chiếm</w:t>
            </w:r>
          </w:p>
        </w:tc>
        <w:tc>
          <w:tcPr>
            <w:tcW w:w="22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D836AE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&gt;50%</w:t>
            </w:r>
          </w:p>
        </w:tc>
        <w:tc>
          <w:tcPr>
            <w:tcW w:w="20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AB6ABB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% tổng đáo hạn 2025</w:t>
            </w:r>
          </w:p>
        </w:tc>
        <w:tc>
          <w:tcPr>
            <w:tcW w:w="27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CE68B14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VBMA</w:t>
            </w:r>
          </w:p>
        </w:tc>
      </w:tr>
    </w:tbl>
    <w:p w14:paraId="4C561D4D" w14:textId="77777777" w:rsidR="00C86DB0" w:rsidRDefault="00C86DB0">
      <w:pPr>
        <w:spacing w:before="20" w:after="20"/>
      </w:pPr>
    </w:p>
    <w:p w14:paraId="1EAEEC24" w14:textId="77777777" w:rsidR="00C86DB0" w:rsidRDefault="00000000">
      <w:pPr>
        <w:pBdr>
          <w:bottom w:val="single" w:sz="4" w:space="0" w:color="2E4A7A"/>
        </w:pBdr>
        <w:spacing w:before="120" w:after="50"/>
      </w:pPr>
      <w:r>
        <w:rPr>
          <w:b/>
          <w:bCs/>
          <w:color w:val="2E4A7A"/>
        </w:rPr>
        <w:t>Chart 4 — SVB: Số liệu cho chart so sánh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580"/>
      </w:tblGrid>
      <w:tr w:rsidR="00C86DB0" w14:paraId="54C3C2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37A5DA66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Chỉ số</w:t>
            </w:r>
          </w:p>
        </w:tc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70B8532B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SVB (2023)</w:t>
            </w:r>
          </w:p>
        </w:tc>
        <w:tc>
          <w:tcPr>
            <w:tcW w:w="4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1F3864"/>
            <w:tcMar>
              <w:top w:w="90" w:type="dxa"/>
              <w:left w:w="140" w:type="dxa"/>
              <w:bottom w:w="90" w:type="dxa"/>
              <w:right w:w="120" w:type="dxa"/>
            </w:tcMar>
          </w:tcPr>
          <w:p w14:paraId="6A5B89D6" w14:textId="77777777" w:rsidR="00C86DB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Bình thường ngành / JPMorgan</w:t>
            </w:r>
          </w:p>
        </w:tc>
      </w:tr>
      <w:tr w:rsidR="00C86DB0" w14:paraId="018CD6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5007747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% Tiền gửi không bảo hiểm</w:t>
            </w:r>
          </w:p>
        </w:tc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DECD10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~94%</w:t>
            </w:r>
          </w:p>
        </w:tc>
        <w:tc>
          <w:tcPr>
            <w:tcW w:w="4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11D066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Bình thường: &lt;50%. JPMorgan: ~40%</w:t>
            </w:r>
          </w:p>
        </w:tc>
      </w:tr>
      <w:tr w:rsidR="00C86DB0" w14:paraId="08AAE1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305F2C3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Lỗ HTM / Vốn CSH</w:t>
            </w:r>
          </w:p>
        </w:tc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63ECB73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15,1 tỷ / ~11 tỷ USD</w:t>
            </w:r>
          </w:p>
        </w:tc>
        <w:tc>
          <w:tcPr>
            <w:tcW w:w="4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20FF15B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Lỗ HTM vượt vốn CSH → âm vốn thực</w:t>
            </w:r>
          </w:p>
        </w:tc>
      </w:tr>
      <w:tr w:rsidR="00C86DB0" w14:paraId="500D7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E9A33EF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Tiền gửi rút trong 1 ngày</w:t>
            </w:r>
          </w:p>
        </w:tc>
        <w:tc>
          <w:tcPr>
            <w:tcW w:w="240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CC72D65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42 tỷ USD (20% TS)</w:t>
            </w:r>
          </w:p>
        </w:tc>
        <w:tc>
          <w:tcPr>
            <w:tcW w:w="4580" w:type="dxa"/>
            <w:tcBorders>
              <w:top w:val="single" w:sz="1" w:space="0" w:color="C0C8D8"/>
              <w:left w:val="single" w:sz="1" w:space="0" w:color="C0C8D8"/>
              <w:bottom w:val="single" w:sz="1" w:space="0" w:color="C0C8D8"/>
              <w:right w:val="single" w:sz="1" w:space="0" w:color="C0C8D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0253FCE" w14:textId="77777777" w:rsidR="00C86DB0" w:rsidRDefault="00000000">
            <w:pPr>
              <w:spacing w:line="276" w:lineRule="auto"/>
            </w:pPr>
            <w:r>
              <w:rPr>
                <w:color w:val="1A1A1A"/>
              </w:rPr>
              <w:t>Bình thường: &lt;2–3%/ngày</w:t>
            </w:r>
          </w:p>
        </w:tc>
      </w:tr>
    </w:tbl>
    <w:p w14:paraId="2FFE285D" w14:textId="77777777" w:rsidR="00EF49C9" w:rsidRDefault="00EF49C9"/>
    <w:sectPr w:rsidR="00EF49C9">
      <w:headerReference w:type="default" r:id="rId7"/>
      <w:footerReference w:type="default" r:id="rId8"/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C97BC" w14:textId="77777777" w:rsidR="00EF49C9" w:rsidRDefault="00EF49C9">
      <w:r>
        <w:separator/>
      </w:r>
    </w:p>
  </w:endnote>
  <w:endnote w:type="continuationSeparator" w:id="0">
    <w:p w14:paraId="0077266C" w14:textId="77777777" w:rsidR="00EF49C9" w:rsidRDefault="00EF4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E5495" w14:textId="77777777" w:rsidR="00C86DB0" w:rsidRDefault="00000000">
    <w:pPr>
      <w:pBdr>
        <w:top w:val="single" w:sz="4" w:space="0" w:color="CCCCCC"/>
      </w:pBdr>
      <w:spacing w:before="50"/>
      <w:jc w:val="center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73BB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B2B20" w14:textId="77777777" w:rsidR="00EF49C9" w:rsidRDefault="00EF49C9">
      <w:r>
        <w:separator/>
      </w:r>
    </w:p>
  </w:footnote>
  <w:footnote w:type="continuationSeparator" w:id="0">
    <w:p w14:paraId="7DCFE7E3" w14:textId="77777777" w:rsidR="00EF49C9" w:rsidRDefault="00EF4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12FF" w14:textId="77777777" w:rsidR="00C86DB0" w:rsidRDefault="00000000">
    <w:pPr>
      <w:pBdr>
        <w:bottom w:val="single" w:sz="4" w:space="0" w:color="1F3864"/>
      </w:pBdr>
      <w:spacing w:after="60"/>
      <w:jc w:val="center"/>
    </w:pPr>
    <w:r>
      <w:rPr>
        <w:color w:val="1F3864"/>
        <w:sz w:val="17"/>
        <w:szCs w:val="17"/>
      </w:rPr>
      <w:t>Nội dung Số liệu &amp; Chart Data — Slide Phe 1A: Market Failure | Nhóm 4 – L02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1B59"/>
    <w:multiLevelType w:val="hybridMultilevel"/>
    <w:tmpl w:val="E98AFADA"/>
    <w:lvl w:ilvl="0" w:tplc="FEEA144C">
      <w:start w:val="1"/>
      <w:numFmt w:val="bullet"/>
      <w:lvlText w:val="●"/>
      <w:lvlJc w:val="left"/>
      <w:pPr>
        <w:ind w:left="720" w:hanging="360"/>
      </w:pPr>
    </w:lvl>
    <w:lvl w:ilvl="1" w:tplc="EA3CB8F4">
      <w:start w:val="1"/>
      <w:numFmt w:val="bullet"/>
      <w:lvlText w:val="○"/>
      <w:lvlJc w:val="left"/>
      <w:pPr>
        <w:ind w:left="1440" w:hanging="360"/>
      </w:pPr>
    </w:lvl>
    <w:lvl w:ilvl="2" w:tplc="09B26226">
      <w:start w:val="1"/>
      <w:numFmt w:val="bullet"/>
      <w:lvlText w:val="■"/>
      <w:lvlJc w:val="left"/>
      <w:pPr>
        <w:ind w:left="2160" w:hanging="360"/>
      </w:pPr>
    </w:lvl>
    <w:lvl w:ilvl="3" w:tplc="A266B0E8">
      <w:start w:val="1"/>
      <w:numFmt w:val="bullet"/>
      <w:lvlText w:val="●"/>
      <w:lvlJc w:val="left"/>
      <w:pPr>
        <w:ind w:left="2880" w:hanging="360"/>
      </w:pPr>
    </w:lvl>
    <w:lvl w:ilvl="4" w:tplc="352089D8">
      <w:start w:val="1"/>
      <w:numFmt w:val="bullet"/>
      <w:lvlText w:val="○"/>
      <w:lvlJc w:val="left"/>
      <w:pPr>
        <w:ind w:left="3600" w:hanging="360"/>
      </w:pPr>
    </w:lvl>
    <w:lvl w:ilvl="5" w:tplc="9FD2DE7C">
      <w:start w:val="1"/>
      <w:numFmt w:val="bullet"/>
      <w:lvlText w:val="■"/>
      <w:lvlJc w:val="left"/>
      <w:pPr>
        <w:ind w:left="4320" w:hanging="360"/>
      </w:pPr>
    </w:lvl>
    <w:lvl w:ilvl="6" w:tplc="D1B6DD96">
      <w:start w:val="1"/>
      <w:numFmt w:val="bullet"/>
      <w:lvlText w:val="●"/>
      <w:lvlJc w:val="left"/>
      <w:pPr>
        <w:ind w:left="5040" w:hanging="360"/>
      </w:pPr>
    </w:lvl>
    <w:lvl w:ilvl="7" w:tplc="7B7EEC7E">
      <w:start w:val="1"/>
      <w:numFmt w:val="bullet"/>
      <w:lvlText w:val="●"/>
      <w:lvlJc w:val="left"/>
      <w:pPr>
        <w:ind w:left="5760" w:hanging="360"/>
      </w:pPr>
    </w:lvl>
    <w:lvl w:ilvl="8" w:tplc="5B8204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6C16D4"/>
    <w:multiLevelType w:val="hybridMultilevel"/>
    <w:tmpl w:val="F466B13C"/>
    <w:lvl w:ilvl="0" w:tplc="BE2633B2">
      <w:start w:val="1"/>
      <w:numFmt w:val="bullet"/>
      <w:lvlText w:val="-"/>
      <w:lvlJc w:val="left"/>
      <w:pPr>
        <w:ind w:left="440" w:hanging="240"/>
      </w:pPr>
    </w:lvl>
    <w:lvl w:ilvl="1" w:tplc="A2809678">
      <w:numFmt w:val="decimal"/>
      <w:lvlText w:val=""/>
      <w:lvlJc w:val="left"/>
    </w:lvl>
    <w:lvl w:ilvl="2" w:tplc="E606F6B6">
      <w:numFmt w:val="decimal"/>
      <w:lvlText w:val=""/>
      <w:lvlJc w:val="left"/>
    </w:lvl>
    <w:lvl w:ilvl="3" w:tplc="3FA4D676">
      <w:numFmt w:val="decimal"/>
      <w:lvlText w:val=""/>
      <w:lvlJc w:val="left"/>
    </w:lvl>
    <w:lvl w:ilvl="4" w:tplc="06DA484A">
      <w:numFmt w:val="decimal"/>
      <w:lvlText w:val=""/>
      <w:lvlJc w:val="left"/>
    </w:lvl>
    <w:lvl w:ilvl="5" w:tplc="C9D8EB80">
      <w:numFmt w:val="decimal"/>
      <w:lvlText w:val=""/>
      <w:lvlJc w:val="left"/>
    </w:lvl>
    <w:lvl w:ilvl="6" w:tplc="1A92A754">
      <w:numFmt w:val="decimal"/>
      <w:lvlText w:val=""/>
      <w:lvlJc w:val="left"/>
    </w:lvl>
    <w:lvl w:ilvl="7" w:tplc="C68A4C54">
      <w:numFmt w:val="decimal"/>
      <w:lvlText w:val=""/>
      <w:lvlJc w:val="left"/>
    </w:lvl>
    <w:lvl w:ilvl="8" w:tplc="8DF2E648">
      <w:numFmt w:val="decimal"/>
      <w:lvlText w:val=""/>
      <w:lvlJc w:val="left"/>
    </w:lvl>
  </w:abstractNum>
  <w:num w:numId="1" w16cid:durableId="1523662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DB0"/>
    <w:rsid w:val="00273BB8"/>
    <w:rsid w:val="00A156FD"/>
    <w:rsid w:val="00C86DB0"/>
    <w:rsid w:val="00EF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B1CB"/>
  <w15:docId w15:val="{3630CDA8-441A-48E8-9B77-6490E222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1405</Words>
  <Characters>8009</Characters>
  <Application>Microsoft Office Word</Application>
  <DocSecurity>0</DocSecurity>
  <Lines>66</Lines>
  <Paragraphs>18</Paragraphs>
  <ScaleCrop>false</ScaleCrop>
  <Company>9Slide</Company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9Slide</cp:lastModifiedBy>
  <cp:revision>2</cp:revision>
  <dcterms:created xsi:type="dcterms:W3CDTF">2026-04-17T08:13:00Z</dcterms:created>
  <dcterms:modified xsi:type="dcterms:W3CDTF">2026-04-17T10:02:00Z</dcterms:modified>
</cp:coreProperties>
</file>