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15/09/2026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94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23/09/2026.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25</w:t>
            </w:r>
          </w:p>
        </w:tc>
        <w:tc>
          <w:tcPr>
            <w:tcW w:type="dxa" w:w="794"/>
          </w:tcPr>
          <w:p>
            <w:pPr>
              <w:jc w:val="center"/>
            </w:pPr>
            <w:r>
              <w:rPr>
                <w:rFonts w:ascii="Times New Roman" w:hAnsi="Times New Roman"/>
                <w:sz w:val="24"/>
              </w:rPr>
              <w:t>74</w:t>
            </w:r>
          </w:p>
        </w:tc>
        <w:tc>
          <w:tcPr>
            <w:tcW w:type="dxa" w:w="1134"/>
          </w:tcPr>
          <w:p>
            <w:pPr>
              <w:jc w:val="center"/>
            </w:pPr>
            <w:r>
              <w:rPr>
                <w:rFonts w:ascii="Times New Roman" w:hAnsi="Times New Roman"/>
                <w:sz w:val="24"/>
              </w:rPr>
              <w:t>5.793</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94</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42.177</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69</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23</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94 trường hợp, 111 request, 376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34</w:t>
            </w:r>
          </w:p>
        </w:tc>
        <w:tc>
          <w:tcPr>
            <w:tcW w:type="dxa" w:w="2381"/>
          </w:tcPr>
          <w:p>
            <w:pPr>
              <w:jc w:val="center"/>
            </w:pPr>
            <w:r>
              <w:rPr>
                <w:rFonts w:ascii="Times New Roman" w:hAnsi="Times New Roman"/>
                <w:sz w:val="24"/>
              </w:rPr>
              <w:t>311</w:t>
            </w:r>
          </w:p>
        </w:tc>
        <w:tc>
          <w:tcPr>
            <w:tcW w:type="dxa" w:w="1134"/>
          </w:tcPr>
          <w:p>
            <w:pPr>
              <w:jc w:val="center"/>
            </w:pPr>
            <w:r>
              <w:rPr>
                <w:rFonts w:ascii="Times New Roman" w:hAnsi="Times New Roman"/>
                <w:sz w:val="24"/>
              </w:rPr>
              <w:t>77,0%</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93</w:t>
            </w:r>
          </w:p>
        </w:tc>
        <w:tc>
          <w:tcPr>
            <w:tcW w:type="dxa" w:w="1134"/>
          </w:tcPr>
          <w:p>
            <w:pPr>
              <w:jc w:val="center"/>
            </w:pPr>
            <w:r>
              <w:rPr>
                <w:rFonts w:ascii="Times New Roman" w:hAnsi="Times New Roman"/>
                <w:sz w:val="24"/>
              </w:rPr>
              <w:t>23,0%</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45</w:t>
            </w:r>
          </w:p>
        </w:tc>
        <w:tc>
          <w:tcPr>
            <w:tcW w:type="dxa" w:w="2381"/>
          </w:tcPr>
          <w:p>
            <w:pPr>
              <w:jc w:val="center"/>
            </w:pPr>
            <w:r>
              <w:rPr>
                <w:rFonts w:ascii="Times New Roman" w:hAnsi="Times New Roman"/>
                <w:sz w:val="24"/>
              </w:rPr>
              <w:t>404</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94 trường hợp thiết kế · 111 request · 376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docs/CFG_White-box_CareerCompass.drawio</w:t>
            </w:r>
          </w:p>
        </w:tc>
        <w:tc>
          <w:tcPr>
            <w:tcW w:type="dxa" w:w="3061"/>
          </w:tcPr>
          <w:p>
            <w:pPr>
              <w:jc w:val="left"/>
            </w:pPr>
            <w:r>
              <w:rPr>
                <w:rFonts w:ascii="Times New Roman" w:hAnsi="Times New Roman"/>
                <w:sz w:val="22"/>
              </w:rPr>
              <w:t>Sơ đồ dòng điều khiển phục vụ phân tích hộp trắng</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25 commit, 74 tệp thay đổi, 5.793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404 trường hợp trên 45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94 trường hợp kiểm thử thiết kế, 111 request, 376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