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eastAsia="Aptos"/>
          <w:b/>
          <w:i w:val="0"/>
          <w:color w:val="F26A21"/>
          <w:sz w:val="22"/>
        </w:rPr>
        <w:t>MONTHLY COST PROPOSAL</w:t>
      </w:r>
    </w:p>
    <w:p>
      <w:pPr>
        <w:spacing w:after="80"/>
        <w:jc w:val="center"/>
      </w:pPr>
      <w:r>
        <w:rPr>
          <w:rFonts w:ascii="Aptos" w:hAnsi="Aptos" w:eastAsia="Aptos"/>
          <w:b/>
          <w:i w:val="0"/>
          <w:color w:val="0B2E63"/>
          <w:sz w:val="58"/>
        </w:rPr>
        <w:t>Email Hosting Platform</w:t>
        <w:br/>
        <w:t>with AI Integration</w:t>
      </w:r>
    </w:p>
    <w:p>
      <w:pPr>
        <w:jc w:val="center"/>
      </w:pPr>
      <w:r>
        <w:rPr>
          <w:rFonts w:ascii="Aptos" w:hAnsi="Aptos" w:eastAsia="Aptos"/>
          <w:b w:val="0"/>
          <w:i w:val="0"/>
          <w:color w:val="374151"/>
          <w:sz w:val="24"/>
        </w:rPr>
        <w:t>itbsstudio.com · 10,000 Users · AWS Manila Local Zone (ap-southeast-1-mnl-1)</w:t>
      </w:r>
    </w:p>
    <w:tbl>
      <w:tblPr>
        <w:tblW w:type="auto" w:w="0"/>
        <w:jc w:val="center"/>
        <w:tblLook w:firstColumn="1" w:firstRow="1" w:lastColumn="0" w:lastRow="0" w:noHBand="0" w:noVBand="1" w:val="04A0"/>
      </w:tblPr>
      <w:tblGrid>
        <w:gridCol w:w="3459"/>
        <w:gridCol w:w="3459"/>
        <w:gridCol w:w="3459"/>
      </w:tblGrid>
      <w:tr>
        <w:tc>
          <w:tcPr>
            <w:tcW w:type="dxa" w:w="3459"/>
            <w:tcBorders>
              <w:top w:sz="12" w:val="single" w:color="0B5CAD"/>
              <w:left w:sz="12" w:val="single" w:color="0B5CAD"/>
              <w:bottom w:sz="12" w:val="single" w:color="0B5CAD"/>
              <w:right w:sz="12" w:val="single" w:color="0B5CAD"/>
            </w:tcBorders>
            <w:tcMar>
              <w:top w:w="90" w:type="dxa"/>
              <w:start w:w="90" w:type="dxa"/>
              <w:bottom w:w="90" w:type="dxa"/>
              <w:end w:w="90" w:type="dxa"/>
            </w:tcMar>
            <w:vAlign w:val="center"/>
            <w:shd w:fill="F3F6FA"/>
          </w:tcPr>
          <w:p>
            <w:pPr>
              <w:jc w:val="center"/>
            </w:pPr>
            <w:r>
              <w:rPr>
                <w:b/>
                <w:i w:val="0"/>
                <w:color w:val="0B5CAD"/>
                <w:sz w:val="20"/>
              </w:rPr>
              <w:t>LEAN</w:t>
            </w:r>
          </w:p>
          <w:p>
            <w:pPr>
              <w:jc w:val="center"/>
            </w:pPr>
            <w:r>
              <w:rPr>
                <w:b w:val="0"/>
                <w:i w:val="0"/>
                <w:color w:val="374151"/>
                <w:sz w:val="17"/>
              </w:rPr>
              <w:t>Pilot / soft launch</w:t>
            </w:r>
          </w:p>
          <w:p>
            <w:pPr>
              <w:jc w:val="center"/>
            </w:pPr>
            <w:r>
              <w:rPr>
                <w:b/>
                <w:i w:val="0"/>
                <w:color w:val="0B5CAD"/>
                <w:sz w:val="32"/>
              </w:rPr>
              <w:t>≈ $6,200/mo</w:t>
            </w:r>
          </w:p>
          <w:p>
            <w:pPr>
              <w:jc w:val="center"/>
            </w:pPr>
            <w:r>
              <w:rPr>
                <w:b/>
                <w:i w:val="0"/>
                <w:color w:val="F26A21"/>
                <w:sz w:val="24"/>
              </w:rPr>
              <w:t>≈ ₱353,000</w:t>
            </w:r>
          </w:p>
        </w:tc>
        <w:tc>
          <w:tcPr>
            <w:tcW w:type="dxa" w:w="3459"/>
            <w:tcBorders>
              <w:top w:sz="12" w:val="single" w:color="0B2E63"/>
              <w:left w:sz="12" w:val="single" w:color="0B2E63"/>
              <w:bottom w:sz="12" w:val="single" w:color="0B2E63"/>
              <w:right w:sz="12" w:val="single" w:color="0B2E63"/>
            </w:tcBorders>
            <w:tcMar>
              <w:top w:w="90" w:type="dxa"/>
              <w:start w:w="90" w:type="dxa"/>
              <w:bottom w:w="90" w:type="dxa"/>
              <w:end w:w="90" w:type="dxa"/>
            </w:tcMar>
            <w:vAlign w:val="center"/>
            <w:shd w:fill="EAF3FF"/>
          </w:tcPr>
          <w:p>
            <w:pPr>
              <w:jc w:val="center"/>
            </w:pPr>
            <w:r>
              <w:rPr>
                <w:b/>
                <w:i w:val="0"/>
                <w:color w:val="0B2E63"/>
                <w:sz w:val="20"/>
              </w:rPr>
              <w:t>RECOMMENDED (HA)</w:t>
            </w:r>
          </w:p>
          <w:p>
            <w:pPr>
              <w:jc w:val="center"/>
            </w:pPr>
            <w:r>
              <w:rPr>
                <w:b w:val="0"/>
                <w:i w:val="0"/>
                <w:color w:val="374151"/>
                <w:sz w:val="17"/>
              </w:rPr>
              <w:t>Production baseline</w:t>
            </w:r>
          </w:p>
          <w:p>
            <w:pPr>
              <w:jc w:val="center"/>
            </w:pPr>
            <w:r>
              <w:rPr>
                <w:b/>
                <w:i w:val="0"/>
                <w:color w:val="0B2E63"/>
                <w:sz w:val="32"/>
              </w:rPr>
              <w:t>≈ $9,084/mo</w:t>
            </w:r>
          </w:p>
          <w:p>
            <w:pPr>
              <w:jc w:val="center"/>
            </w:pPr>
            <w:r>
              <w:rPr>
                <w:b/>
                <w:i w:val="0"/>
                <w:color w:val="F26A21"/>
                <w:sz w:val="24"/>
              </w:rPr>
              <w:t>≈ ₱517,800</w:t>
            </w:r>
          </w:p>
        </w:tc>
        <w:tc>
          <w:tcPr>
            <w:tcW w:type="dxa" w:w="3459"/>
            <w:tcBorders>
              <w:top w:sz="12" w:val="single" w:color="0B7D82"/>
              <w:left w:sz="12" w:val="single" w:color="0B7D82"/>
              <w:bottom w:sz="12" w:val="single" w:color="0B7D82"/>
              <w:right w:sz="12" w:val="single" w:color="0B7D82"/>
            </w:tcBorders>
            <w:tcMar>
              <w:top w:w="90" w:type="dxa"/>
              <w:start w:w="90" w:type="dxa"/>
              <w:bottom w:w="90" w:type="dxa"/>
              <w:end w:w="90" w:type="dxa"/>
            </w:tcMar>
            <w:vAlign w:val="center"/>
            <w:shd w:fill="E7F6F7"/>
          </w:tcPr>
          <w:p>
            <w:pPr>
              <w:jc w:val="center"/>
            </w:pPr>
            <w:r>
              <w:rPr>
                <w:b/>
                <w:i w:val="0"/>
                <w:color w:val="0B7D82"/>
                <w:sz w:val="20"/>
              </w:rPr>
              <w:t>SAVINGS PLAN OPTION</w:t>
            </w:r>
          </w:p>
          <w:p>
            <w:pPr>
              <w:jc w:val="center"/>
            </w:pPr>
            <w:r>
              <w:rPr>
                <w:b w:val="0"/>
                <w:i w:val="0"/>
                <w:color w:val="374151"/>
                <w:sz w:val="17"/>
              </w:rPr>
              <w:t>1-year compute commitment</w:t>
            </w:r>
          </w:p>
          <w:p>
            <w:pPr>
              <w:jc w:val="center"/>
            </w:pPr>
            <w:r>
              <w:rPr>
                <w:b/>
                <w:i w:val="0"/>
                <w:color w:val="0B2E63"/>
                <w:sz w:val="32"/>
              </w:rPr>
              <w:t>≈ $8,035/mo</w:t>
            </w:r>
          </w:p>
          <w:p>
            <w:pPr>
              <w:jc w:val="center"/>
            </w:pPr>
            <w:r>
              <w:rPr>
                <w:b/>
                <w:i w:val="0"/>
                <w:color w:val="F26A21"/>
                <w:sz w:val="24"/>
              </w:rPr>
              <w:t>≈ ₱458,000</w:t>
            </w:r>
          </w:p>
        </w:tc>
      </w:tr>
    </w:tbl>
    <w:p/>
    <w:tbl>
      <w:tblPr>
        <w:tblW w:type="auto" w:w="0"/>
        <w:jc w:val="center"/>
        <w:tblLayout w:type="autofit"/>
        <w:tblLook w:firstColumn="1" w:firstRow="1" w:lastColumn="0" w:lastRow="0" w:noHBand="0" w:noVBand="1" w:val="04A0"/>
      </w:tblPr>
      <w:tblGrid>
        <w:gridCol w:w="10376"/>
      </w:tblGrid>
      <w:tr>
        <w:tc>
          <w:tcPr>
            <w:tcW w:type="dxa" w:w="10376"/>
            <w:tcBorders>
              <w:top w:sz="8" w:val="single" w:color="0B5CAD"/>
              <w:left w:sz="8" w:val="single" w:color="0B5CAD"/>
              <w:bottom w:sz="8" w:val="single" w:color="0B5CAD"/>
              <w:right w:sz="8" w:val="single" w:color="0B5CAD"/>
            </w:tcBorders>
            <w:tcMar>
              <w:top w:w="90" w:type="dxa"/>
              <w:start w:w="90" w:type="dxa"/>
              <w:bottom w:w="90" w:type="dxa"/>
              <w:end w:w="90" w:type="dxa"/>
            </w:tcMar>
            <w:vAlign w:val="center"/>
            <w:shd w:fill="EAF3FF"/>
          </w:tcPr>
          <w:p>
            <w:pPr>
              <w:spacing w:after="0"/>
            </w:pPr>
            <w:r/>
            <w:r>
              <w:rPr>
                <w:b/>
                <w:i w:val="0"/>
                <w:color w:val="0B5CAD"/>
                <w:sz w:val="22"/>
              </w:rPr>
              <w:t xml:space="preserve">★  </w:t>
            </w:r>
            <w:r>
              <w:rPr>
                <w:b/>
                <w:i w:val="0"/>
                <w:color w:val="0B2E63"/>
                <w:sz w:val="19"/>
              </w:rPr>
              <w:t xml:space="preserve">Best recommendation: </w:t>
            </w:r>
            <w:r>
              <w:rPr>
                <w:b w:val="0"/>
                <w:i w:val="0"/>
                <w:color w:val="111827"/>
                <w:sz w:val="19"/>
              </w:rPr>
              <w:t>Use the Recommended (HA) tier as the production baseline. It balances availability, performance, and cost for 10,000 mailboxes while keeping room for storage and AI usage growth.</w:t>
            </w:r>
          </w:p>
        </w:tc>
      </w:tr>
    </w:tbl>
    <w:p/>
    <w:tbl>
      <w:tblPr>
        <w:tblW w:type="auto" w:w="0"/>
        <w:jc w:val="center"/>
        <w:tblLook w:firstColumn="1" w:firstRow="1" w:lastColumn="0" w:lastRow="0" w:noHBand="0" w:noVBand="1" w:val="04A0"/>
      </w:tblPr>
      <w:tblGrid>
        <w:gridCol w:w="5188"/>
        <w:gridCol w:w="5188"/>
      </w:tblGrid>
      <w:tr>
        <w:tc>
          <w:tcPr>
            <w:tcW w:type="dxa" w:w="2880"/>
            <w:shd w:fill="F3F6FA"/>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0B2E63"/>
                <w:sz w:val="18"/>
              </w:rPr>
              <w:t>Prepared for</w:t>
            </w:r>
          </w:p>
        </w:tc>
        <w:tc>
          <w:tcPr>
            <w:tcW w:type="dxa" w:w="691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8"/>
              </w:rPr>
              <w:t>itbsstudio.com / ITBS</w:t>
            </w:r>
          </w:p>
        </w:tc>
      </w:tr>
      <w:tr>
        <w:tc>
          <w:tcPr>
            <w:tcW w:type="dxa" w:w="2880"/>
            <w:shd w:fill="F3F6FA"/>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0B2E63"/>
                <w:sz w:val="18"/>
              </w:rPr>
              <w:t>Platform</w:t>
            </w:r>
          </w:p>
        </w:tc>
        <w:tc>
          <w:tcPr>
            <w:tcW w:type="dxa" w:w="691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8"/>
              </w:rPr>
              <w:t>ITBS Mail — Docker Mailserver + Roundcube + AI Assistant</w:t>
            </w:r>
          </w:p>
        </w:tc>
      </w:tr>
      <w:tr>
        <w:tc>
          <w:tcPr>
            <w:tcW w:type="dxa" w:w="2880"/>
            <w:shd w:fill="F3F6FA"/>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0B2E63"/>
                <w:sz w:val="18"/>
              </w:rPr>
              <w:t>Region</w:t>
            </w:r>
          </w:p>
        </w:tc>
        <w:tc>
          <w:tcPr>
            <w:tcW w:type="dxa" w:w="691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8"/>
              </w:rPr>
              <w:t>AWS Asia Pacific (Singapore), Manila Local Zone ap-southeast-1-mnl-1</w:t>
            </w:r>
          </w:p>
        </w:tc>
      </w:tr>
      <w:tr>
        <w:tc>
          <w:tcPr>
            <w:tcW w:type="dxa" w:w="2880"/>
            <w:shd w:fill="F3F6FA"/>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0B2E63"/>
                <w:sz w:val="18"/>
              </w:rPr>
              <w:t>Scale</w:t>
            </w:r>
          </w:p>
        </w:tc>
        <w:tc>
          <w:tcPr>
            <w:tcW w:type="dxa" w:w="691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8"/>
              </w:rPr>
              <w:t>10,000 mailboxes</w:t>
            </w:r>
          </w:p>
        </w:tc>
      </w:tr>
      <w:tr>
        <w:tc>
          <w:tcPr>
            <w:tcW w:type="dxa" w:w="2880"/>
            <w:shd w:fill="F3F6FA"/>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0B2E63"/>
                <w:sz w:val="18"/>
              </w:rPr>
              <w:t>Document date</w:t>
            </w:r>
          </w:p>
        </w:tc>
        <w:tc>
          <w:tcPr>
            <w:tcW w:type="dxa" w:w="691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8"/>
              </w:rPr>
              <w:t>June 2026</w:t>
            </w:r>
          </w:p>
        </w:tc>
      </w:tr>
      <w:tr>
        <w:tc>
          <w:tcPr>
            <w:tcW w:type="dxa" w:w="2880"/>
            <w:shd w:fill="F3F6FA"/>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0B2E63"/>
                <w:sz w:val="18"/>
              </w:rPr>
              <w:t>Currency basis</w:t>
            </w:r>
          </w:p>
        </w:tc>
        <w:tc>
          <w:tcPr>
            <w:tcW w:type="dxa" w:w="691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8"/>
              </w:rPr>
              <w:t>USD; indicative PHP conversion at ₱57/USD</w:t>
            </w:r>
          </w:p>
        </w:tc>
      </w:tr>
      <w:tr>
        <w:tc>
          <w:tcPr>
            <w:tcW w:type="dxa" w:w="2880"/>
            <w:shd w:fill="F3F6FA"/>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0B2E63"/>
                <w:sz w:val="18"/>
              </w:rPr>
              <w:t>Document purpose</w:t>
            </w:r>
          </w:p>
        </w:tc>
        <w:tc>
          <w:tcPr>
            <w:tcW w:type="dxa" w:w="691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8"/>
              </w:rPr>
              <w:t>Budget approval, client discussion, and DevOps implementation planning</w:t>
            </w:r>
          </w:p>
        </w:tc>
      </w:tr>
    </w:tbl>
    <w:p>
      <w:pPr>
        <w:jc w:val="center"/>
      </w:pPr>
      <w:r>
        <w:rPr>
          <w:rFonts w:ascii="Aptos" w:hAnsi="Aptos" w:eastAsia="Aptos"/>
          <w:b w:val="0"/>
          <w:i/>
          <w:color w:val="374151"/>
          <w:sz w:val="17"/>
        </w:rPr>
        <w:t>Confidential planning document — not a final vendor quote</w:t>
      </w:r>
    </w:p>
    <w:p>
      <w:r>
        <w:rPr>
          <w:rFonts w:ascii="Aptos" w:hAnsi="Aptos" w:eastAsia="Aptos"/>
        </w:rPr>
        <w:br w:type="page"/>
      </w:r>
    </w:p>
    <w:p>
      <w:pPr>
        <w:pStyle w:val="Heading1"/>
        <w:keepNext/>
        <w:spacing w:before="200" w:after="80"/>
      </w:pPr>
      <w:r>
        <w:rPr>
          <w:rFonts w:ascii="Aptos" w:hAnsi="Aptos" w:eastAsia="Aptos"/>
        </w:rPr>
        <w:t>Contents</w:t>
      </w:r>
    </w:p>
    <w:p>
      <w:pPr>
        <w:pStyle w:val="ListBullet"/>
        <w:spacing w:after="40"/>
      </w:pPr>
      <w:r>
        <w:rPr>
          <w:rFonts w:ascii="Aptos" w:hAnsi="Aptos" w:eastAsia="Aptos"/>
          <w:b w:val="0"/>
          <w:i w:val="0"/>
          <w:sz w:val="18"/>
        </w:rPr>
        <w:t>1. Executive Summary for Boss and Client</w:t>
      </w:r>
    </w:p>
    <w:p>
      <w:pPr>
        <w:pStyle w:val="ListBullet"/>
        <w:spacing w:after="40"/>
      </w:pPr>
      <w:r>
        <w:rPr>
          <w:rFonts w:ascii="Aptos" w:hAnsi="Aptos" w:eastAsia="Aptos"/>
          <w:b w:val="0"/>
          <w:i w:val="0"/>
          <w:sz w:val="18"/>
        </w:rPr>
        <w:t>2. Plain-English Setup Overview</w:t>
      </w:r>
    </w:p>
    <w:p>
      <w:pPr>
        <w:pStyle w:val="ListBullet"/>
        <w:spacing w:after="40"/>
      </w:pPr>
      <w:r>
        <w:rPr>
          <w:rFonts w:ascii="Aptos" w:hAnsi="Aptos" w:eastAsia="Aptos"/>
          <w:b w:val="0"/>
          <w:i w:val="0"/>
          <w:sz w:val="18"/>
        </w:rPr>
        <w:t>3. Recommended High-Availability Architecture</w:t>
      </w:r>
    </w:p>
    <w:p>
      <w:pPr>
        <w:pStyle w:val="ListBullet"/>
        <w:spacing w:after="40"/>
      </w:pPr>
      <w:r>
        <w:rPr>
          <w:rFonts w:ascii="Aptos" w:hAnsi="Aptos" w:eastAsia="Aptos"/>
          <w:b w:val="0"/>
          <w:i w:val="0"/>
          <w:sz w:val="18"/>
        </w:rPr>
        <w:t>4. Detailed Monthly Cost</w:t>
      </w:r>
    </w:p>
    <w:p>
      <w:pPr>
        <w:pStyle w:val="ListBullet"/>
        <w:spacing w:after="40"/>
      </w:pPr>
      <w:r>
        <w:rPr>
          <w:rFonts w:ascii="Aptos" w:hAnsi="Aptos" w:eastAsia="Aptos"/>
          <w:b w:val="0"/>
          <w:i w:val="0"/>
          <w:sz w:val="18"/>
        </w:rPr>
        <w:t>5. Tier Comparison and Storage Scenarios</w:t>
      </w:r>
    </w:p>
    <w:p>
      <w:pPr>
        <w:pStyle w:val="ListBullet"/>
        <w:spacing w:after="40"/>
      </w:pPr>
      <w:r>
        <w:rPr>
          <w:rFonts w:ascii="Aptos" w:hAnsi="Aptos" w:eastAsia="Aptos"/>
          <w:b w:val="0"/>
          <w:i w:val="0"/>
          <w:sz w:val="18"/>
        </w:rPr>
        <w:t>6. Cost Optimization Levers</w:t>
      </w:r>
    </w:p>
    <w:p>
      <w:pPr>
        <w:pStyle w:val="ListBullet"/>
        <w:spacing w:after="40"/>
      </w:pPr>
      <w:r>
        <w:rPr>
          <w:rFonts w:ascii="Aptos" w:hAnsi="Aptos" w:eastAsia="Aptos"/>
          <w:b w:val="0"/>
          <w:i w:val="0"/>
          <w:sz w:val="18"/>
        </w:rPr>
        <w:t>7. DevOps Deployment Plan</w:t>
      </w:r>
    </w:p>
    <w:p>
      <w:pPr>
        <w:pStyle w:val="ListBullet"/>
        <w:spacing w:after="40"/>
      </w:pPr>
      <w:r>
        <w:rPr>
          <w:rFonts w:ascii="Aptos" w:hAnsi="Aptos" w:eastAsia="Aptos"/>
          <w:b w:val="0"/>
          <w:i w:val="0"/>
          <w:sz w:val="18"/>
        </w:rPr>
        <w:t>8. Ownership, Decisions, Risks, and Assumptions</w:t>
      </w:r>
    </w:p>
    <w:p>
      <w:pPr>
        <w:pStyle w:val="ListBullet"/>
        <w:spacing w:after="40"/>
      </w:pPr>
      <w:r>
        <w:rPr>
          <w:rFonts w:ascii="Aptos" w:hAnsi="Aptos" w:eastAsia="Aptos"/>
          <w:b w:val="0"/>
          <w:i w:val="0"/>
          <w:sz w:val="18"/>
        </w:rPr>
        <w:t>9. Appendix: Visual Infographics</w:t>
      </w:r>
    </w:p>
    <w:tbl>
      <w:tblPr>
        <w:tblW w:type="auto" w:w="0"/>
        <w:jc w:val="center"/>
        <w:tblLayout w:type="autofit"/>
        <w:tblLook w:firstColumn="1" w:firstRow="1" w:lastColumn="0" w:lastRow="0" w:noHBand="0" w:noVBand="1" w:val="04A0"/>
      </w:tblPr>
      <w:tblGrid>
        <w:gridCol w:w="10376"/>
      </w:tblGrid>
      <w:tr>
        <w:tc>
          <w:tcPr>
            <w:tcW w:type="dxa" w:w="10376"/>
            <w:tcBorders>
              <w:top w:sz="8" w:val="single" w:color="9AA7B6"/>
              <w:left w:sz="8" w:val="single" w:color="9AA7B6"/>
              <w:bottom w:sz="8" w:val="single" w:color="9AA7B6"/>
              <w:right w:sz="8" w:val="single" w:color="9AA7B6"/>
            </w:tcBorders>
            <w:tcMar>
              <w:top w:w="90" w:type="dxa"/>
              <w:start w:w="90" w:type="dxa"/>
              <w:bottom w:w="90" w:type="dxa"/>
              <w:end w:w="90" w:type="dxa"/>
            </w:tcMar>
            <w:vAlign w:val="center"/>
            <w:shd w:fill="F3F6FA"/>
          </w:tcPr>
          <w:p>
            <w:pPr>
              <w:spacing w:after="0"/>
            </w:pPr>
            <w:r/>
            <w:r>
              <w:rPr>
                <w:b/>
                <w:i w:val="0"/>
                <w:color w:val="9AA7B6"/>
                <w:sz w:val="22"/>
              </w:rPr>
              <w:t xml:space="preserve">i  </w:t>
            </w:r>
            <w:r>
              <w:rPr>
                <w:b/>
                <w:i w:val="0"/>
                <w:color w:val="0B2E63"/>
                <w:sz w:val="19"/>
              </w:rPr>
              <w:t xml:space="preserve">How to use this document: </w:t>
            </w:r>
            <w:r>
              <w:rPr>
                <w:b w:val="0"/>
                <w:i w:val="0"/>
                <w:color w:val="111827"/>
                <w:sz w:val="19"/>
              </w:rPr>
              <w:t>Boss/client reviewers can focus on Sections 1, 4, 5, and 8. DevOps can focus on Sections 2, 3, 7, and the appendix diagrams.</w:t>
            </w:r>
          </w:p>
        </w:tc>
      </w:tr>
    </w:tbl>
    <w:p>
      <w:pPr>
        <w:pStyle w:val="Heading1"/>
        <w:keepNext/>
        <w:spacing w:before="200" w:after="80"/>
      </w:pPr>
      <w:r>
        <w:rPr>
          <w:rFonts w:ascii="Aptos" w:hAnsi="Aptos" w:eastAsia="Aptos"/>
        </w:rPr>
        <w:t>1. Executive Summary for Boss and Client</w:t>
      </w:r>
    </w:p>
    <w:p>
      <w:pPr>
        <w:spacing w:after="80"/>
      </w:pPr>
      <w:r>
        <w:rPr>
          <w:rFonts w:ascii="Aptos" w:hAnsi="Aptos" w:eastAsia="Aptos"/>
        </w:rPr>
        <w:t>This proposal sizes and prices the ITBS Mail platform for 10,000 mailboxes in the AWS Manila Local Zone. It includes mail hosting, webmail, mailbox administration, database services, outbound delivery, backups, monitoring, and an AI assistant integration.</w:t>
      </w:r>
    </w:p>
    <w:tbl>
      <w:tblPr>
        <w:tblW w:type="auto" w:w="0"/>
        <w:jc w:val="center"/>
        <w:tblLook w:firstColumn="1" w:firstRow="1" w:lastColumn="0" w:lastRow="0" w:noHBand="0" w:noVBand="1" w:val="04A0"/>
      </w:tblPr>
      <w:tblGrid>
        <w:gridCol w:w="2075"/>
        <w:gridCol w:w="2075"/>
        <w:gridCol w:w="2075"/>
        <w:gridCol w:w="2075"/>
        <w:gridCol w:w="2075"/>
      </w:tblGrid>
      <w:tr>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Tier</w:t>
            </w:r>
          </w:p>
        </w:tc>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Best use</w:t>
            </w:r>
          </w:p>
        </w:tc>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Architecture</w:t>
            </w:r>
          </w:p>
        </w:tc>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Monthly USD</w:t>
            </w:r>
          </w:p>
        </w:tc>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Indicative PHP</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Lean</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Pilot / soft launch</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Single app + single mail/DB node; no HA</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$6,200</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₱353,000</w:t>
            </w:r>
          </w:p>
        </w:tc>
      </w:tr>
      <w:tr>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Recommended (HA)</w:t>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Production baseline</w:t>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Redundant app, mail, and DB nodes</w:t>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$9,084 on-demand</w:t>
              <w:br/>
              <w:t>≈ $8,035 with 1-year Savings Plan</w:t>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₱517,800</w:t>
              <w:br/>
              <w:t>≈ ₱458,000</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Premium</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SLA-backed high quota</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Full HA + larger nodes + 5 GB/user quota</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$22,000</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₱1,255,000</w:t>
            </w:r>
          </w:p>
        </w:tc>
      </w:tr>
    </w:tbl>
    <w:p>
      <w:pPr>
        <w:pStyle w:val="Heading2"/>
        <w:keepNext/>
        <w:spacing w:before="200" w:after="80"/>
      </w:pPr>
      <w:r>
        <w:rPr>
          <w:rFonts w:ascii="Aptos" w:hAnsi="Aptos" w:eastAsia="Aptos"/>
        </w:rPr>
        <w:t>Recommended decision</w:t>
      </w:r>
    </w:p>
    <w:p>
      <w:pPr>
        <w:pStyle w:val="ListBullet"/>
        <w:spacing w:after="40"/>
      </w:pPr>
      <w:r>
        <w:rPr>
          <w:rFonts w:ascii="Aptos" w:hAnsi="Aptos" w:eastAsia="Aptos"/>
          <w:b w:val="0"/>
          <w:i w:val="0"/>
          <w:sz w:val="18"/>
        </w:rPr>
        <w:t>Approve Recommended (HA) as the production baseline: approximately $9,084/month on-demand or $8,035/month with a 1-year Compute Savings Plan.</w:t>
      </w:r>
    </w:p>
    <w:p>
      <w:pPr>
        <w:pStyle w:val="ListBullet"/>
        <w:spacing w:after="40"/>
      </w:pPr>
      <w:r>
        <w:rPr>
          <w:rFonts w:ascii="Aptos" w:hAnsi="Aptos" w:eastAsia="Aptos"/>
          <w:b w:val="0"/>
          <w:i w:val="0"/>
          <w:sz w:val="18"/>
        </w:rPr>
        <w:t>Use Lean only for pilot/soft launch because a single mail/DB node can create downtime during maintenance or failure.</w:t>
      </w:r>
    </w:p>
    <w:p>
      <w:pPr>
        <w:pStyle w:val="ListBullet"/>
        <w:spacing w:after="40"/>
      </w:pPr>
      <w:r>
        <w:rPr>
          <w:rFonts w:ascii="Aptos" w:hAnsi="Aptos" w:eastAsia="Aptos"/>
          <w:b w:val="0"/>
          <w:i w:val="0"/>
          <w:sz w:val="18"/>
        </w:rPr>
        <w:t>Treat storage as the main budget control point. Mailbox quota policy and cold-mail archiving will determine long-term monthly cost.</w:t>
      </w:r>
    </w:p>
    <w:p>
      <w:pPr>
        <w:pStyle w:val="ListBullet"/>
        <w:spacing w:after="40"/>
      </w:pPr>
      <w:r>
        <w:rPr>
          <w:rFonts w:ascii="Aptos" w:hAnsi="Aptos" w:eastAsia="Aptos"/>
          <w:b w:val="0"/>
          <w:i w:val="0"/>
          <w:sz w:val="18"/>
        </w:rPr>
        <w:t>Use Amazon SES for outbound delivery to improve deliverability and avoid direct port-25 reputation problems.</w:t>
      </w:r>
    </w:p>
    <w:tbl>
      <w:tblPr>
        <w:tblW w:type="auto" w:w="0"/>
        <w:jc w:val="center"/>
        <w:tblLayout w:type="autofit"/>
        <w:tblLook w:firstColumn="1" w:firstRow="1" w:lastColumn="0" w:lastRow="0" w:noHBand="0" w:noVBand="1" w:val="04A0"/>
      </w:tblPr>
      <w:tblGrid>
        <w:gridCol w:w="10376"/>
      </w:tblGrid>
      <w:tr>
        <w:tc>
          <w:tcPr>
            <w:tcW w:type="dxa" w:w="10376"/>
            <w:tcBorders>
              <w:top w:sz="8" w:val="single" w:color="F26A21"/>
              <w:left w:sz="8" w:val="single" w:color="F26A21"/>
              <w:bottom w:sz="8" w:val="single" w:color="F26A21"/>
              <w:right w:sz="8" w:val="single" w:color="F26A21"/>
            </w:tcBorders>
            <w:tcMar>
              <w:top w:w="90" w:type="dxa"/>
              <w:start w:w="90" w:type="dxa"/>
              <w:bottom w:w="90" w:type="dxa"/>
              <w:end w:w="90" w:type="dxa"/>
            </w:tcMar>
            <w:vAlign w:val="center"/>
            <w:shd w:fill="FFF3E8"/>
          </w:tcPr>
          <w:p>
            <w:pPr>
              <w:spacing w:after="0"/>
            </w:pPr>
            <w:r/>
            <w:r>
              <w:rPr>
                <w:b/>
                <w:i w:val="0"/>
                <w:color w:val="F26A21"/>
                <w:sz w:val="22"/>
              </w:rPr>
              <w:t xml:space="preserve">₱  </w:t>
            </w:r>
            <w:r>
              <w:rPr>
                <w:b/>
                <w:i w:val="0"/>
                <w:color w:val="0B2E63"/>
                <w:sz w:val="19"/>
              </w:rPr>
              <w:t xml:space="preserve">Budget headline: </w:t>
            </w:r>
            <w:r>
              <w:rPr>
                <w:b w:val="0"/>
                <w:i w:val="0"/>
                <w:color w:val="111827"/>
                <w:sz w:val="19"/>
              </w:rPr>
              <w:t>Recommended (HA) is about ₱517,800/month on-demand or about ₱458,000/month with a 1-year Savings Plan, using ₱57/USD.</w:t>
            </w:r>
          </w:p>
        </w:tc>
      </w:tr>
    </w:tbl>
    <w:p>
      <w:r>
        <w:rPr>
          <w:rFonts w:ascii="Aptos" w:hAnsi="Aptos" w:eastAsia="Aptos"/>
        </w:rPr>
        <w:drawing>
          <wp:inline xmlns:a="http://schemas.openxmlformats.org/drawingml/2006/main" xmlns:pic="http://schemas.openxmlformats.org/drawingml/2006/picture">
            <wp:extent cx="6217920" cy="2020824"/>
            <wp:docPr id="1" name="Picture 1"/>
            <wp:cNvGraphicFramePr>
              <a:graphicFrameLocks noChangeAspect="1"/>
            </wp:cNvGraphicFramePr>
            <a:graphic>
              <a:graphicData uri="http://schemas.openxmlformats.org/drawingml/2006/picture">
                <pic:pic>
                  <pic:nvPicPr>
                    <pic:cNvPr id="0" name="itbs_cost_breakdown_bar.png"/>
                    <pic:cNvPicPr/>
                  </pic:nvPicPr>
                  <pic:blipFill>
                    <a:blip r:embed="rId11"/>
                    <a:stretch>
                      <a:fillRect/>
                    </a:stretch>
                  </pic:blipFill>
                  <pic:spPr>
                    <a:xfrm>
                      <a:off x="0" y="0"/>
                      <a:ext cx="6217920" cy="2020824"/>
                    </a:xfrm>
                    <a:prstGeom prst="rect"/>
                  </pic:spPr>
                </pic:pic>
              </a:graphicData>
            </a:graphic>
          </wp:inline>
        </w:drawing>
      </w:r>
    </w:p>
    <w:p>
      <w:pPr>
        <w:pStyle w:val="CaptionSmall"/>
        <w:jc w:val="center"/>
      </w:pPr>
      <w:r>
        <w:rPr>
          <w:rFonts w:ascii="Aptos" w:hAnsi="Aptos" w:eastAsia="Aptos"/>
        </w:rPr>
        <w:t>Figure 1. Cost breakdown summary for the Recommended (HA) tier.</w:t>
      </w:r>
    </w:p>
    <w:p>
      <w:pPr>
        <w:pStyle w:val="Heading1"/>
        <w:keepNext/>
        <w:spacing w:before="200" w:after="80"/>
      </w:pPr>
      <w:r>
        <w:rPr>
          <w:rFonts w:ascii="Aptos" w:hAnsi="Aptos" w:eastAsia="Aptos"/>
        </w:rPr>
        <w:t>2. Plain-English Setup Overview</w:t>
      </w:r>
    </w:p>
    <w:p>
      <w:pPr>
        <w:spacing w:after="80"/>
      </w:pPr>
      <w:r>
        <w:rPr>
          <w:rFonts w:ascii="Aptos" w:hAnsi="Aptos" w:eastAsia="Aptos"/>
        </w:rPr>
        <w:t>The platform is a containerized email hosting stack. At small scale, all services can run on one host. For 10,000 users, the roles should be separated into dedicated AWS instances so each layer can be scaled, maintained, and protected independently.</w:t>
      </w:r>
    </w:p>
    <w:tbl>
      <w:tblPr>
        <w:tblW w:type="auto" w:w="0"/>
        <w:jc w:val="center"/>
        <w:tblLook w:firstColumn="1" w:firstRow="1" w:lastColumn="0" w:lastRow="0" w:noHBand="0" w:noVBand="1" w:val="04A0"/>
      </w:tblPr>
      <w:tblGrid>
        <w:gridCol w:w="2594"/>
        <w:gridCol w:w="2594"/>
        <w:gridCol w:w="2594"/>
        <w:gridCol w:w="2594"/>
      </w:tblGrid>
      <w:tr>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Component</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What it does</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AWS placement</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Who cares most</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Docker Mailserver</w:t>
              <w:br/>
              <w:t>(Postfix + Dovecot)</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SMTP in/out, IMAP, mailboxes, anti-spam layer</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Mail nodes: r5.2xlarge ×2</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DevOps / Client IT</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Roundcube + AI Assistant plugin</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Webmail interface users access in the browser</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App nodes: c5.2xlarge ×2 behind ALB</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Client / Users / DevOps</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MariaDB 11</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Webmail metadata, sessions, address book, settings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DB nodes: m5.2xlarge ×2</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DevOps</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AI API (Go)</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Secure proxy between webmail plugin and OpenAI</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AI nodes: t3.medium ×2</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DevOps / Product</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Mail Admin</w:t>
              <w:br/>
              <w:t>(Go + React)</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Create/reset mailboxes, quotas, administration</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Private/co-located, IP-allowlisted</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IT/Admin</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Amazon SES relay</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Outbound email delivery and sender authentication support</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External AWS service</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Client / DevOps</w:t>
            </w:r>
          </w:p>
        </w:tc>
      </w:tr>
    </w:tbl>
    <w:p>
      <w:pPr>
        <w:pStyle w:val="Heading2"/>
        <w:keepNext/>
        <w:spacing w:before="200" w:after="80"/>
      </w:pPr>
      <w:r>
        <w:rPr>
          <w:rFonts w:ascii="Aptos" w:hAnsi="Aptos" w:eastAsia="Aptos"/>
        </w:rPr>
        <w:t>What changes from the current one-host setup?</w:t>
      </w:r>
    </w:p>
    <w:p>
      <w:pPr>
        <w:pStyle w:val="ListBullet"/>
        <w:spacing w:after="40"/>
      </w:pPr>
      <w:r>
        <w:rPr>
          <w:rFonts w:ascii="Aptos" w:hAnsi="Aptos" w:eastAsia="Aptos"/>
          <w:b w:val="0"/>
          <w:i w:val="0"/>
          <w:sz w:val="18"/>
        </w:rPr>
        <w:t>Mail, app, database, AI, monitoring, and backups are separated into roles instead of running everything on one server.</w:t>
      </w:r>
    </w:p>
    <w:p>
      <w:pPr>
        <w:pStyle w:val="ListBullet"/>
        <w:spacing w:after="40"/>
      </w:pPr>
      <w:r>
        <w:rPr>
          <w:rFonts w:ascii="Aptos" w:hAnsi="Aptos" w:eastAsia="Aptos"/>
          <w:b w:val="0"/>
          <w:i w:val="0"/>
          <w:sz w:val="18"/>
        </w:rPr>
        <w:t>Public traffic uses two load balancers: NLB for mail ports and ALB for HTTPS webmail.</w:t>
      </w:r>
    </w:p>
    <w:p>
      <w:pPr>
        <w:pStyle w:val="ListBullet"/>
        <w:spacing w:after="40"/>
      </w:pPr>
      <w:r>
        <w:rPr>
          <w:rFonts w:ascii="Aptos" w:hAnsi="Aptos" w:eastAsia="Aptos"/>
          <w:b w:val="0"/>
          <w:i w:val="0"/>
          <w:sz w:val="18"/>
        </w:rPr>
        <w:t>Database and mail have redundancy paths so failures can be handled with less downtime.</w:t>
      </w:r>
    </w:p>
    <w:p>
      <w:pPr>
        <w:pStyle w:val="ListBullet"/>
        <w:spacing w:after="40"/>
      </w:pPr>
      <w:r>
        <w:rPr>
          <w:rFonts w:ascii="Aptos" w:hAnsi="Aptos" w:eastAsia="Aptos"/>
          <w:b w:val="0"/>
          <w:i w:val="0"/>
          <w:sz w:val="18"/>
        </w:rPr>
        <w:t>The same Docker images and environment-file approach can still be reused; deployment is split by role.</w:t>
      </w:r>
    </w:p>
    <w:p>
      <w:pPr>
        <w:pStyle w:val="Heading1"/>
        <w:keepNext/>
        <w:spacing w:before="200" w:after="80"/>
      </w:pPr>
      <w:r>
        <w:rPr>
          <w:rFonts w:ascii="Aptos" w:hAnsi="Aptos" w:eastAsia="Aptos"/>
        </w:rPr>
        <w:t>3. Recommended High-Availability Architecture</w:t>
      </w:r>
    </w:p>
    <w:p>
      <w:pPr>
        <w:spacing w:after="80"/>
      </w:pPr>
      <w:r>
        <w:rPr>
          <w:rFonts w:ascii="Aptos" w:hAnsi="Aptos" w:eastAsia="Aptos"/>
        </w:rPr>
        <w:t>The recommended architecture is designed for approximately 1,000 to 2,000 peak concurrent webmail/IMAP sessions. It uses redundant mail, app, database, and AI nodes, with backup and monitoring services around them.</w:t>
      </w:r>
    </w:p>
    <w:tbl>
      <w:tblPr>
        <w:tblW w:type="auto" w:w="0"/>
        <w:jc w:val="center"/>
        <w:tblLook w:firstColumn="1" w:firstRow="1" w:lastColumn="0" w:lastRow="0" w:noHBand="0" w:noVBand="1" w:val="04A0"/>
      </w:tblPr>
      <w:tblGrid>
        <w:gridCol w:w="3459"/>
        <w:gridCol w:w="3459"/>
        <w:gridCol w:w="3459"/>
      </w:tblGrid>
      <w:tr>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Traffic path</w:t>
            </w:r>
          </w:p>
        </w:tc>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Production flow</w:t>
            </w:r>
          </w:p>
        </w:tc>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Purpose</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Webmail HTTPS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Internet → Cloudflare DNS/proxy → ALB :443 + TLS → App #1/App #2 → DB + AI API</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Secure browser access for users</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Mail protocol</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Internet mail clients → NLB :25/:465/:587/:993 → Mail #1/Mail #2</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SMTP, submission, and IMAP access</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Outbound mail</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Mail nodes → Amazon SES relay → recipient mail servers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Better deliverability, DKIM/SPF/DMARC alignment</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AI assistant</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Roundcube plugin → AI API Go proxy → OpenAI gpt-4o-mini</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Compose, reply, summarize, translate, phishing checks</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Backup path</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EBS snapshots + DB dumps + S3 Singapore copy</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Recovery and offsite backup</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Operations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Bastion + CloudWatch + log/queue alarms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Monitoring, controlled admin access, incident response</w:t>
            </w:r>
          </w:p>
        </w:tc>
      </w:tr>
    </w:tbl>
    <w:p>
      <w:pPr>
        <w:pStyle w:val="Heading2"/>
        <w:keepNext/>
        <w:spacing w:before="200" w:after="80"/>
      </w:pPr>
      <w:r>
        <w:rPr>
          <w:rFonts w:ascii="Aptos" w:hAnsi="Aptos" w:eastAsia="Aptos"/>
        </w:rPr>
        <w:t>Recommended node sizing</w:t>
      </w:r>
    </w:p>
    <w:tbl>
      <w:tblPr>
        <w:tblW w:type="auto" w:w="0"/>
        <w:jc w:val="center"/>
        <w:tblLook w:firstColumn="1" w:firstRow="1" w:lastColumn="0" w:lastRow="0" w:noHBand="0" w:noVBand="1" w:val="04A0"/>
      </w:tblPr>
      <w:tblGrid>
        <w:gridCol w:w="2075"/>
        <w:gridCol w:w="2075"/>
        <w:gridCol w:w="2075"/>
        <w:gridCol w:w="2075"/>
        <w:gridCol w:w="2075"/>
      </w:tblGrid>
      <w:tr>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Layer</w:t>
            </w:r>
          </w:p>
        </w:tc>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Instance</w:t>
            </w:r>
          </w:p>
        </w:tc>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Qty</w:t>
            </w:r>
          </w:p>
        </w:tc>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Specs</w:t>
            </w:r>
          </w:p>
        </w:tc>
        <w:tc>
          <w:tcPr>
            <w:tcW w:type="dxa" w:w="2075"/>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Reason</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Mail</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r5.2xlarge</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8 vCPU / 64 GB</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Memory helps IMAP concurrency and mail indexes. Second node supports standby/replication.</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App/Webmail</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c5.2xlarge</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8 vCPU / 16 GB</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CPU-focused for PHP-FPM/Roundcube behind ALB.</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Database</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m5.2xlarge</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8 vCPU / 32 GB</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Primary + replica for metadata/session workload.</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AI API</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t3.medium</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 vCPU / 4 GB</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Lightweight Go proxy; external model does heavy work.</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Bastion/Monitoring</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t3.medium</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 vCPU / 4 GB</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Admin entry point and monitoring support.</w:t>
            </w:r>
          </w:p>
        </w:tc>
      </w:tr>
    </w:tbl>
    <w:tbl>
      <w:tblPr>
        <w:tblW w:type="auto" w:w="0"/>
        <w:jc w:val="center"/>
        <w:tblLayout w:type="autofit"/>
        <w:tblLook w:firstColumn="1" w:firstRow="1" w:lastColumn="0" w:lastRow="0" w:noHBand="0" w:noVBand="1" w:val="04A0"/>
      </w:tblPr>
      <w:tblGrid>
        <w:gridCol w:w="10376"/>
      </w:tblGrid>
      <w:tr>
        <w:tc>
          <w:tcPr>
            <w:tcW w:type="dxa" w:w="10376"/>
            <w:tcBorders>
              <w:top w:sz="8" w:val="single" w:color="9AA7B6"/>
              <w:left w:sz="8" w:val="single" w:color="9AA7B6"/>
              <w:bottom w:sz="8" w:val="single" w:color="9AA7B6"/>
              <w:right w:sz="8" w:val="single" w:color="9AA7B6"/>
            </w:tcBorders>
            <w:tcMar>
              <w:top w:w="90" w:type="dxa"/>
              <w:start w:w="90" w:type="dxa"/>
              <w:bottom w:w="90" w:type="dxa"/>
              <w:end w:w="90" w:type="dxa"/>
            </w:tcMar>
            <w:vAlign w:val="center"/>
            <w:shd w:fill="F3F6FA"/>
          </w:tcPr>
          <w:p>
            <w:pPr>
              <w:spacing w:after="0"/>
            </w:pPr>
            <w:r/>
            <w:r>
              <w:rPr>
                <w:b/>
                <w:i w:val="0"/>
                <w:color w:val="9AA7B6"/>
                <w:sz w:val="22"/>
              </w:rPr>
              <w:t xml:space="preserve">⚙  </w:t>
            </w:r>
            <w:r>
              <w:rPr>
                <w:b/>
                <w:i w:val="0"/>
                <w:color w:val="0B2E63"/>
                <w:sz w:val="19"/>
              </w:rPr>
              <w:t xml:space="preserve">DevOps note: </w:t>
            </w:r>
            <w:r>
              <w:rPr>
                <w:b w:val="0"/>
                <w:i w:val="0"/>
                <w:color w:val="111827"/>
                <w:sz w:val="19"/>
              </w:rPr>
              <w:t>Managed services such as RDS or ElastiCache may not be guaranteed in the Manila Local Zone. This design self-manages MariaDB on EC2 to match the current container stack.</w:t>
            </w:r>
          </w:p>
        </w:tc>
      </w:tr>
    </w:tbl>
    <w:p>
      <w:pPr>
        <w:pStyle w:val="Heading1"/>
        <w:keepNext/>
        <w:spacing w:before="200" w:after="80"/>
      </w:pPr>
      <w:r>
        <w:rPr>
          <w:rFonts w:ascii="Aptos" w:hAnsi="Aptos" w:eastAsia="Aptos"/>
        </w:rPr>
        <w:t>4. Detailed Monthly Cost — Recommended (HA) Tier</w:t>
      </w:r>
    </w:p>
    <w:p>
      <w:pPr>
        <w:spacing w:after="80"/>
      </w:pPr>
      <w:r>
        <w:rPr>
          <w:rFonts w:ascii="Aptos" w:hAnsi="Aptos" w:eastAsia="Aptos"/>
        </w:rPr>
        <w:t>This section shows the monthly estimate in the format most useful for finance review and DevOps validation. All amounts are planning estimates and should be verified in the AWS Pricing Calculator before contract.</w:t>
      </w:r>
    </w:p>
    <w:tbl>
      <w:tblPr>
        <w:tblW w:type="auto" w:w="0"/>
        <w:jc w:val="center"/>
        <w:tblLook w:firstColumn="1" w:firstRow="1" w:lastColumn="0" w:lastRow="0" w:noHBand="0" w:noVBand="1" w:val="04A0"/>
      </w:tblPr>
      <w:tblGrid>
        <w:gridCol w:w="3459"/>
        <w:gridCol w:w="3459"/>
        <w:gridCol w:w="3459"/>
      </w:tblGrid>
      <w:tr>
        <w:tc>
          <w:tcPr>
            <w:tcW w:type="dxa" w:w="3459"/>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7"/>
              </w:rPr>
              <w:t>Cost group</w:t>
            </w:r>
          </w:p>
        </w:tc>
        <w:tc>
          <w:tcPr>
            <w:tcW w:type="dxa" w:w="3459"/>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7"/>
              </w:rPr>
              <w:t>On-demand</w:t>
            </w:r>
          </w:p>
        </w:tc>
        <w:tc>
          <w:tcPr>
            <w:tcW w:type="dxa" w:w="3459"/>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7"/>
              </w:rPr>
              <w:t>With 1-year Savings Plan</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Compute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$2,731.80</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$1,780.00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Storage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$3,651.90</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$3,651.90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Platform &amp; operations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$1,600.00</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$1,600.00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AI (OpenAI estimate)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$300.00</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$300.00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AWS Business Support</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$800.00</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$703.00</w:t>
            </w:r>
          </w:p>
        </w:tc>
      </w:tr>
      <w:tr>
        <w:tc>
          <w:tcPr>
            <w:tcW w:type="dxa" w:w="3459"/>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TOTAL / month</w:t>
            </w:r>
          </w:p>
        </w:tc>
        <w:tc>
          <w:tcPr>
            <w:tcW w:type="dxa" w:w="3459"/>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 $9,084</w:t>
            </w:r>
          </w:p>
        </w:tc>
        <w:tc>
          <w:tcPr>
            <w:tcW w:type="dxa" w:w="3459"/>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 $8,035</w:t>
            </w:r>
          </w:p>
        </w:tc>
      </w:tr>
      <w:tr>
        <w:tc>
          <w:tcPr>
            <w:tcW w:type="dxa" w:w="3459"/>
            <w:shd w:fill="FFF3E8"/>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Indicative PHP @ ₱57/USD</w:t>
            </w:r>
          </w:p>
        </w:tc>
        <w:tc>
          <w:tcPr>
            <w:tcW w:type="dxa" w:w="3459"/>
            <w:shd w:fill="FFF3E8"/>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 ₱517,800</w:t>
            </w:r>
          </w:p>
        </w:tc>
        <w:tc>
          <w:tcPr>
            <w:tcW w:type="dxa" w:w="3459"/>
            <w:shd w:fill="FFF3E8"/>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 ₱458,000</w:t>
            </w:r>
          </w:p>
        </w:tc>
      </w:tr>
    </w:tbl>
    <w:p>
      <w:pPr>
        <w:pStyle w:val="Heading2"/>
        <w:keepNext/>
        <w:spacing w:before="200" w:after="80"/>
      </w:pPr>
      <w:r>
        <w:rPr>
          <w:rFonts w:ascii="Aptos" w:hAnsi="Aptos" w:eastAsia="Aptos"/>
        </w:rPr>
        <w:t>4.1 Compute</w:t>
      </w:r>
    </w:p>
    <w:tbl>
      <w:tblPr>
        <w:tblW w:type="auto" w:w="0"/>
        <w:jc w:val="center"/>
        <w:tblLook w:firstColumn="1" w:firstRow="1" w:lastColumn="0" w:lastRow="0" w:noHBand="0" w:noVBand="1" w:val="04A0"/>
      </w:tblPr>
      <w:tblGrid>
        <w:gridCol w:w="2075"/>
        <w:gridCol w:w="2075"/>
        <w:gridCol w:w="2075"/>
        <w:gridCol w:w="2075"/>
        <w:gridCol w:w="2075"/>
      </w:tblGrid>
      <w:tr>
        <w:tc>
          <w:tcPr>
            <w:tcW w:type="dxa" w:w="2075"/>
            <w:shd w:fill="0B5CAD"/>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Role</w:t>
            </w:r>
          </w:p>
        </w:tc>
        <w:tc>
          <w:tcPr>
            <w:tcW w:type="dxa" w:w="2075"/>
            <w:shd w:fill="0B5CAD"/>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Instance</w:t>
            </w:r>
          </w:p>
        </w:tc>
        <w:tc>
          <w:tcPr>
            <w:tcW w:type="dxa" w:w="2075"/>
            <w:shd w:fill="0B5CAD"/>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Qty</w:t>
            </w:r>
          </w:p>
        </w:tc>
        <w:tc>
          <w:tcPr>
            <w:tcW w:type="dxa" w:w="2075"/>
            <w:shd w:fill="0B5CAD"/>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$/mo each</w:t>
            </w:r>
          </w:p>
        </w:tc>
        <w:tc>
          <w:tcPr>
            <w:tcW w:type="dxa" w:w="2075"/>
            <w:shd w:fill="0B5CAD"/>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Subtotal</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Webmail / App</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c5.2xlarge</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$343.10</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$686.20</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Mail (primary + standby)</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r5.2xlarge</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$532.90</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$1,065.80</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Database (primary + replica)</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m5.2xlarge</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$420.48</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$840.96</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AI API</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t3.medium</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$46.28</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$92.56</w:t>
            </w:r>
          </w:p>
        </w:tc>
      </w:tr>
      <w:tr>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Bastion / monitoring</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t3.medium</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$46.28</w:t>
            </w:r>
          </w:p>
        </w:tc>
        <w:tc>
          <w:tcPr>
            <w:tcW w:type="dxa" w:w="2075"/>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$46.28</w:t>
            </w:r>
          </w:p>
        </w:tc>
      </w:tr>
      <w:tr>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Compute subtotal</w:t>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$2,731.80</w:t>
            </w:r>
          </w:p>
        </w:tc>
      </w:tr>
      <w:tr>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With 1-year Compute Savings Plan</w:t>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r>
          </w:p>
        </w:tc>
        <w:tc>
          <w:tcPr>
            <w:tcW w:type="dxa" w:w="2075"/>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$1,780.00</w:t>
            </w:r>
          </w:p>
        </w:tc>
      </w:tr>
    </w:tbl>
    <w:p>
      <w:pPr>
        <w:pStyle w:val="Heading2"/>
        <w:keepNext/>
        <w:spacing w:before="200" w:after="80"/>
      </w:pPr>
      <w:r>
        <w:rPr>
          <w:rFonts w:ascii="Aptos" w:hAnsi="Aptos" w:eastAsia="Aptos"/>
        </w:rPr>
        <w:t>4.2 Storage</w:t>
      </w:r>
    </w:p>
    <w:tbl>
      <w:tblPr>
        <w:tblW w:type="auto" w:w="0"/>
        <w:jc w:val="center"/>
        <w:tblLook w:firstColumn="1" w:firstRow="1" w:lastColumn="0" w:lastRow="0" w:noHBand="0" w:noVBand="1" w:val="04A0"/>
      </w:tblPr>
      <w:tblGrid>
        <w:gridCol w:w="3459"/>
        <w:gridCol w:w="3459"/>
        <w:gridCol w:w="3459"/>
      </w:tblGrid>
      <w:tr>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7"/>
              </w:rPr>
              <w:t>Volume</w:t>
            </w:r>
          </w:p>
        </w:tc>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7"/>
              </w:rPr>
              <w:t>Size</w:t>
            </w:r>
          </w:p>
        </w:tc>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7"/>
              </w:rPr>
              <w:t>Subtotal</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OS / root volumes (9 instances × 50 GB)</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450 GB</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$99.90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Database data (primary + replica, 2 × 500 GB)</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1,000 GB</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$222.00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Mail store (single copy; standby restored from snapshot)</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15,000 GB (~15 TB)</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$3,330.00</w:t>
            </w:r>
          </w:p>
        </w:tc>
      </w:tr>
      <w:tr>
        <w:tc>
          <w:tcPr>
            <w:tcW w:type="dxa" w:w="3459"/>
            <w:shd w:fill="E7F6F7"/>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Storage subtotal</w:t>
            </w:r>
          </w:p>
        </w:tc>
        <w:tc>
          <w:tcPr>
            <w:tcW w:type="dxa" w:w="3459"/>
            <w:shd w:fill="E7F6F7"/>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r>
          </w:p>
        </w:tc>
        <w:tc>
          <w:tcPr>
            <w:tcW w:type="dxa" w:w="3459"/>
            <w:shd w:fill="E7F6F7"/>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7"/>
              </w:rPr>
              <w:t>$3,651.90</w:t>
            </w:r>
          </w:p>
        </w:tc>
      </w:tr>
    </w:tbl>
    <w:tbl>
      <w:tblPr>
        <w:tblW w:type="auto" w:w="0"/>
        <w:jc w:val="center"/>
        <w:tblLayout w:type="autofit"/>
        <w:tblLook w:firstColumn="1" w:firstRow="1" w:lastColumn="0" w:lastRow="0" w:noHBand="0" w:noVBand="1" w:val="04A0"/>
      </w:tblPr>
      <w:tblGrid>
        <w:gridCol w:w="10376"/>
      </w:tblGrid>
      <w:tr>
        <w:tc>
          <w:tcPr>
            <w:tcW w:type="dxa" w:w="10376"/>
            <w:tcBorders>
              <w:top w:sz="8" w:val="single" w:color="F26A21"/>
              <w:left w:sz="8" w:val="single" w:color="F26A21"/>
              <w:bottom w:sz="8" w:val="single" w:color="F26A21"/>
              <w:right w:sz="8" w:val="single" w:color="F26A21"/>
            </w:tcBorders>
            <w:tcMar>
              <w:top w:w="90" w:type="dxa"/>
              <w:start w:w="90" w:type="dxa"/>
              <w:bottom w:w="90" w:type="dxa"/>
              <w:end w:w="90" w:type="dxa"/>
            </w:tcMar>
            <w:vAlign w:val="center"/>
            <w:shd w:fill="FFF3E8"/>
          </w:tcPr>
          <w:p>
            <w:pPr>
              <w:spacing w:after="0"/>
            </w:pPr>
            <w:r/>
            <w:r>
              <w:rPr>
                <w:b/>
                <w:i w:val="0"/>
                <w:color w:val="F26A21"/>
                <w:sz w:val="22"/>
              </w:rPr>
              <w:t xml:space="preserve">!  </w:t>
            </w:r>
            <w:r>
              <w:rPr>
                <w:b/>
                <w:i w:val="0"/>
                <w:color w:val="0B2E63"/>
                <w:sz w:val="19"/>
              </w:rPr>
              <w:t xml:space="preserve">Storage warning: </w:t>
            </w:r>
            <w:r>
              <w:rPr>
                <w:b w:val="0"/>
                <w:i w:val="0"/>
                <w:color w:val="111827"/>
                <w:sz w:val="19"/>
              </w:rPr>
              <w:t>Mail storage is the largest budget risk. A full 5 GB/user quota at 10,000 users can push mail-store-only cost to around $11,100/month before backups and operations.</w:t>
            </w:r>
          </w:p>
        </w:tc>
      </w:tr>
    </w:tbl>
    <w:p>
      <w:pPr>
        <w:pStyle w:val="Heading2"/>
        <w:keepNext/>
        <w:spacing w:before="200" w:after="80"/>
      </w:pPr>
      <w:r>
        <w:rPr>
          <w:rFonts w:ascii="Aptos" w:hAnsi="Aptos" w:eastAsia="Aptos"/>
        </w:rPr>
        <w:t>4.3 Platform, operations, AI, and support</w:t>
      </w:r>
    </w:p>
    <w:tbl>
      <w:tblPr>
        <w:tblW w:type="auto" w:w="0"/>
        <w:jc w:val="center"/>
        <w:tblLook w:firstColumn="1" w:firstRow="1" w:lastColumn="0" w:lastRow="0" w:noHBand="0" w:noVBand="1" w:val="04A0"/>
      </w:tblPr>
      <w:tblGrid>
        <w:gridCol w:w="3459"/>
        <w:gridCol w:w="3459"/>
        <w:gridCol w:w="3459"/>
      </w:tblGrid>
      <w:tr>
        <w:tc>
          <w:tcPr>
            <w:tcW w:type="dxa" w:w="3459"/>
            <w:shd w:fill="5E35B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Item</w:t>
            </w:r>
          </w:p>
        </w:tc>
        <w:tc>
          <w:tcPr>
            <w:tcW w:type="dxa" w:w="3459"/>
            <w:shd w:fill="5E35B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Basis</w:t>
            </w:r>
          </w:p>
        </w:tc>
        <w:tc>
          <w:tcPr>
            <w:tcW w:type="dxa" w:w="3459"/>
            <w:shd w:fill="5E35B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Monthly subtotal</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Backups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EBS snapshots + S3 offsite, approximately 18 TB effective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$750.00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Data transfer out</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Approximately 3 TB/month @ $0.09/GB</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$300.00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Load balancers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ALB + NLB + LCUs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$80.00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Public IPv4</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Approximately 5 EIPs for mail/PTR</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CloudWatch / logs / alarms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Monitoring and operational alerts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$100.00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Amazon SES outbound relay</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Approximately 3M external emails/month</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$350.00</w:t>
            </w:r>
          </w:p>
        </w:tc>
      </w:tr>
      <w:tr>
        <w:tc>
          <w:tcPr>
            <w:tcW w:type="dxa" w:w="3459"/>
            <w:shd w:fill="EFE9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Platform subtotal</w:t>
            </w:r>
          </w:p>
        </w:tc>
        <w:tc>
          <w:tcPr>
            <w:tcW w:type="dxa" w:w="3459"/>
            <w:shd w:fill="EFE9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r>
          </w:p>
        </w:tc>
        <w:tc>
          <w:tcPr>
            <w:tcW w:type="dxa" w:w="3459"/>
            <w:shd w:fill="EFE9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$1,600.00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AI estimate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~3,000 active AI users; ~30 actions/user/month; ~2,000 in / 500 out tokens/action</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$300.00</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AWS Business Support</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10% of first $10k AWS spend estimate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 $800.00</w:t>
            </w:r>
          </w:p>
        </w:tc>
      </w:tr>
    </w:tbl>
    <w:p>
      <w:pPr>
        <w:pStyle w:val="Heading1"/>
        <w:keepNext/>
        <w:spacing w:before="200" w:after="80"/>
      </w:pPr>
      <w:r>
        <w:rPr>
          <w:rFonts w:ascii="Aptos" w:hAnsi="Aptos" w:eastAsia="Aptos"/>
        </w:rPr>
        <w:t>5. Tier Comparison and Storage Scenarios</w:t>
      </w:r>
    </w:p>
    <w:p>
      <w:pPr>
        <w:spacing w:after="80"/>
      </w:pPr>
      <w:r>
        <w:rPr>
          <w:rFonts w:ascii="Aptos" w:hAnsi="Aptos" w:eastAsia="Aptos"/>
        </w:rPr>
        <w:t>The tier choice controls reliability and headroom. The storage policy controls the biggest long-term cost variable.</w:t>
      </w:r>
    </w:p>
    <w:tbl>
      <w:tblPr>
        <w:tblW w:type="auto" w:w="0"/>
        <w:jc w:val="center"/>
        <w:tblLook w:firstColumn="1" w:firstRow="1" w:lastColumn="0" w:lastRow="0" w:noHBand="0" w:noVBand="1" w:val="04A0"/>
      </w:tblPr>
      <w:tblGrid>
        <w:gridCol w:w="2594"/>
        <w:gridCol w:w="2594"/>
        <w:gridCol w:w="2594"/>
        <w:gridCol w:w="2594"/>
      </w:tblGrid>
      <w:tr>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5"/>
              </w:rPr>
              <w:t>Item</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5"/>
              </w:rPr>
              <w:t>Lean</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5"/>
              </w:rPr>
              <w:t>Recommended (HA)</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5"/>
              </w:rPr>
              <w:t>Premium</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App nodes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1 × c5.2xlarge</w:t>
            </w:r>
          </w:p>
        </w:tc>
        <w:tc>
          <w:tcPr>
            <w:tcW w:type="dxa" w:w="2594"/>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 × c5.2xlarge</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 × c5.4xlarge</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Mail nodes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1 combined r5.4xlarge</w:t>
            </w:r>
          </w:p>
        </w:tc>
        <w:tc>
          <w:tcPr>
            <w:tcW w:type="dxa" w:w="2594"/>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 × r5.2xlarge</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 × r5.4xlarge</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Database</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On mail node</w:t>
            </w:r>
          </w:p>
        </w:tc>
        <w:tc>
          <w:tcPr>
            <w:tcW w:type="dxa" w:w="2594"/>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 × m5.2xlarge</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 × r5.2xlarge</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AI nodes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Shared</w:t>
            </w:r>
          </w:p>
        </w:tc>
        <w:tc>
          <w:tcPr>
            <w:tcW w:type="dxa" w:w="2594"/>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 × t3.medium</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 × t3.xlarge</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High availability</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None</w:t>
            </w:r>
          </w:p>
        </w:tc>
        <w:tc>
          <w:tcPr>
            <w:tcW w:type="dxa" w:w="2594"/>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App/mail/DB redundancy</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Full + headroom</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Mail storage</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~12 TB</w:t>
            </w:r>
          </w:p>
        </w:tc>
        <w:tc>
          <w:tcPr>
            <w:tcW w:type="dxa" w:w="2594"/>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~15 TB</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~50 TB</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Estimated monthly</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 $6,200</w:t>
            </w:r>
          </w:p>
        </w:tc>
        <w:tc>
          <w:tcPr>
            <w:tcW w:type="dxa" w:w="2594"/>
            <w:shd w:fill="EAF3FF"/>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 $9,100</w:t>
              <w:br/>
              <w:t>(≈ $8,000 w/ Savings Plan)</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 $22,000</w:t>
            </w:r>
          </w:p>
        </w:tc>
      </w:tr>
    </w:tbl>
    <w:p>
      <w:pPr>
        <w:pStyle w:val="Heading2"/>
        <w:keepNext/>
        <w:spacing w:before="200" w:after="80"/>
      </w:pPr>
      <w:r>
        <w:rPr>
          <w:rFonts w:ascii="Aptos" w:hAnsi="Aptos" w:eastAsia="Aptos"/>
        </w:rPr>
        <w:t>Storage scenarios for 10,000 mailboxes</w:t>
      </w:r>
    </w:p>
    <w:tbl>
      <w:tblPr>
        <w:tblW w:type="auto" w:w="0"/>
        <w:jc w:val="center"/>
        <w:tblLook w:firstColumn="1" w:firstRow="1" w:lastColumn="0" w:lastRow="0" w:noHBand="0" w:noVBand="1" w:val="04A0"/>
      </w:tblPr>
      <w:tblGrid>
        <w:gridCol w:w="2594"/>
        <w:gridCol w:w="2594"/>
        <w:gridCol w:w="2594"/>
        <w:gridCol w:w="2594"/>
      </w:tblGrid>
      <w:tr>
        <w:tc>
          <w:tcPr>
            <w:tcW w:type="dxa" w:w="2594"/>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Offered quota</w:t>
            </w:r>
          </w:p>
        </w:tc>
        <w:tc>
          <w:tcPr>
            <w:tcW w:type="dxa" w:w="2594"/>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Provisioned / realistic</w:t>
            </w:r>
          </w:p>
        </w:tc>
        <w:tc>
          <w:tcPr>
            <w:tcW w:type="dxa" w:w="2594"/>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Mail store cost / month</w:t>
            </w:r>
          </w:p>
        </w:tc>
        <w:tc>
          <w:tcPr>
            <w:tcW w:type="dxa" w:w="2594"/>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If tiered to S3 Singapore</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 GB/user</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~15 TB (year-1 actual)</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$3,330</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~$1,200–1,800</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 GB/user</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20 TB (full quota)</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$4,440</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~$1,600–2,400</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3 GB/user</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30 TB</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$6,660</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~$2,400–3,600</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5 GB/user</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50 TB</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$11,100</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~$4,000–6,000</w:t>
            </w:r>
          </w:p>
        </w:tc>
      </w:tr>
    </w:tbl>
    <w:tbl>
      <w:tblPr>
        <w:tblW w:type="auto" w:w="0"/>
        <w:jc w:val="center"/>
        <w:tblLayout w:type="autofit"/>
        <w:tblLook w:firstColumn="1" w:firstRow="1" w:lastColumn="0" w:lastRow="0" w:noHBand="0" w:noVBand="1" w:val="04A0"/>
      </w:tblPr>
      <w:tblGrid>
        <w:gridCol w:w="10376"/>
      </w:tblGrid>
      <w:tr>
        <w:tc>
          <w:tcPr>
            <w:tcW w:type="dxa" w:w="10376"/>
            <w:tcBorders>
              <w:top w:sz="8" w:val="single" w:color="0B7D82"/>
              <w:left w:sz="8" w:val="single" w:color="0B7D82"/>
              <w:bottom w:sz="8" w:val="single" w:color="0B7D82"/>
              <w:right w:sz="8" w:val="single" w:color="0B7D82"/>
            </w:tcBorders>
            <w:tcMar>
              <w:top w:w="90" w:type="dxa"/>
              <w:start w:w="90" w:type="dxa"/>
              <w:bottom w:w="90" w:type="dxa"/>
              <w:end w:w="90" w:type="dxa"/>
            </w:tcMar>
            <w:vAlign w:val="center"/>
            <w:shd w:fill="E7F6F7"/>
          </w:tcPr>
          <w:p>
            <w:pPr>
              <w:spacing w:after="0"/>
            </w:pPr>
            <w:r/>
            <w:r>
              <w:rPr>
                <w:b/>
                <w:i w:val="0"/>
                <w:color w:val="0B7D82"/>
                <w:sz w:val="22"/>
              </w:rPr>
              <w:t xml:space="preserve">i  </w:t>
            </w:r>
            <w:r>
              <w:rPr>
                <w:b/>
                <w:i w:val="0"/>
                <w:color w:val="0B2E63"/>
                <w:sz w:val="19"/>
              </w:rPr>
              <w:t xml:space="preserve">Important: </w:t>
            </w:r>
            <w:r>
              <w:rPr>
                <w:b w:val="0"/>
                <w:i w:val="0"/>
                <w:color w:val="111827"/>
                <w:sz w:val="19"/>
              </w:rPr>
              <w:t>Hot/recent mail should stay on fast Local Zone EBS. Cold or archived mail can be moved to S3 Singapore to reduce cost, but this requires integration work and may add latency when users access old mail.</w:t>
            </w:r>
          </w:p>
        </w:tc>
      </w:tr>
    </w:tbl>
    <w:p>
      <w:pPr>
        <w:pStyle w:val="Heading1"/>
        <w:keepNext/>
        <w:spacing w:before="200" w:after="80"/>
      </w:pPr>
      <w:r>
        <w:rPr>
          <w:rFonts w:ascii="Aptos" w:hAnsi="Aptos" w:eastAsia="Aptos"/>
        </w:rPr>
        <w:t>6. Cost Optimization Levers</w:t>
      </w:r>
    </w:p>
    <w:tbl>
      <w:tblPr>
        <w:tblW w:type="auto" w:w="0"/>
        <w:jc w:val="center"/>
        <w:tblLook w:firstColumn="1" w:firstRow="1" w:lastColumn="0" w:lastRow="0" w:noHBand="0" w:noVBand="1" w:val="04A0"/>
      </w:tblPr>
      <w:tblGrid>
        <w:gridCol w:w="3459"/>
        <w:gridCol w:w="3459"/>
        <w:gridCol w:w="3459"/>
      </w:tblGrid>
      <w:tr>
        <w:tc>
          <w:tcPr>
            <w:tcW w:type="dxa" w:w="3459"/>
            <w:shd w:fill="F26A2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Lever</w:t>
            </w:r>
          </w:p>
        </w:tc>
        <w:tc>
          <w:tcPr>
            <w:tcW w:type="dxa" w:w="3459"/>
            <w:shd w:fill="F26A2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Expected saving</w:t>
            </w:r>
          </w:p>
        </w:tc>
        <w:tc>
          <w:tcPr>
            <w:tcW w:type="dxa" w:w="3459"/>
            <w:shd w:fill="F26A2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Trade-off / note</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1-year / 3-year Compute Savings Plan or Reserved Instances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Compute −35% to −55%</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Requires a commitment term. No architecture change.</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Tier cold mail + backups to S3 Singapore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Storage −50% to −75% on archived data</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Added latency for old mail; requires archival design.</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Confirm and use EBS gp3 if available in Local Zone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Storage −10% to −25% vs gp2</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Availability must be verified before final design.</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Right-size mailbox quotas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Linear savings with reduced TB</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Requires policy, communication, and possibly paid quota tiers.</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Snapshot-based standby for mail</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Avoids doubling mail storage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Slower failover because restore/promotion steps are needed.</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Single DB node during non-critical phases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Approximately −$420/month</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No database HA during that phase.</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Amazon SES for outbound delivery</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Deliverability and ops benefit</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SES cost applies, but improves deliverability posture.</w:t>
            </w:r>
          </w:p>
        </w:tc>
      </w:tr>
    </w:tbl>
    <w:p>
      <w:pPr>
        <w:pStyle w:val="Heading1"/>
        <w:keepNext/>
        <w:spacing w:before="200" w:after="80"/>
      </w:pPr>
      <w:r>
        <w:rPr>
          <w:rFonts w:ascii="Aptos" w:hAnsi="Aptos" w:eastAsia="Aptos"/>
        </w:rPr>
        <w:t>7. DevOps Deployment Plan</w:t>
      </w:r>
    </w:p>
    <w:p>
      <w:pPr>
        <w:spacing w:after="80"/>
      </w:pPr>
      <w:r>
        <w:rPr>
          <w:rFonts w:ascii="Aptos" w:hAnsi="Aptos" w:eastAsia="Aptos"/>
        </w:rPr>
        <w:t>The following phased plan gives DevOps a practical path from AWS preparation through go-live. Dates can be attached later after vendor confirmation and resource assignment.</w:t>
      </w:r>
    </w:p>
    <w:tbl>
      <w:tblPr>
        <w:tblW w:type="auto" w:w="0"/>
        <w:jc w:val="center"/>
        <w:tblLook w:firstColumn="1" w:firstRow="1" w:lastColumn="0" w:lastRow="0" w:noHBand="0" w:noVBand="1" w:val="04A0"/>
      </w:tblPr>
      <w:tblGrid>
        <w:gridCol w:w="2594"/>
        <w:gridCol w:w="2594"/>
        <w:gridCol w:w="2594"/>
        <w:gridCol w:w="2594"/>
      </w:tblGrid>
      <w:tr>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5"/>
              </w:rPr>
              <w:t>Phase</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5"/>
              </w:rPr>
              <w:t>Focus</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5"/>
              </w:rPr>
              <w:t>Main activities</w:t>
            </w:r>
          </w:p>
        </w:tc>
        <w:tc>
          <w:tcPr>
            <w:tcW w:type="dxa" w:w="2594"/>
            <w:shd w:fill="0B2E63"/>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5"/>
              </w:rPr>
              <w:t>Output / checkpoint</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0</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Prerequisites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AWS account; opt in to Manila Local Zone; Cloudflare DNS plan; SES production access; DKIM/SPF/DMARC; port 25/PTR decision.</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Ready to provision</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1</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Network</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VPC, subnets in Local Zone, security groups, NAT, EIPs, public/private access model.</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Secure network baseline</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2</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Compute &amp; containers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Launch EC2 nodes; install Docker; split compose by role; configure remote.env per environment.</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Running service layers</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3</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Storage &amp; data</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Attach/mount EBS mail store; DB volumes; set up MariaDB primary/replica; Dovecot replication.</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Persistent and replicated data</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4</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TLS &amp; DNS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ALB certificate; mail TLS; MX, SPF, DKIM, DMARC, PTR verification.</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Domain validated and mail-ready</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5</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HA &amp; backups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Nightly snapshots, offsite S3 copy, DB dumps, restore tests, failover runbook.</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Recoverable platform</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6</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Monitoring</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CPU, disk, queue depth, IMAP connections, ALB health, log/alerting rules.</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Operational visibility</w:t>
            </w:r>
          </w:p>
        </w:tc>
      </w:tr>
      <w:tr>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7</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Load test &amp; go-live</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Test webmail/IMAP concurrency, migrate users via IMAP sync where applicable, staged cutover.</w:t>
            </w:r>
          </w:p>
        </w:tc>
        <w:tc>
          <w:tcPr>
            <w:tcW w:type="dxa" w:w="2594"/>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5"/>
              </w:rPr>
              <w:t>Production launch</w:t>
            </w:r>
          </w:p>
        </w:tc>
      </w:tr>
    </w:tbl>
    <w:p>
      <w:pPr>
        <w:pStyle w:val="Heading2"/>
        <w:keepNext/>
        <w:spacing w:before="200" w:after="80"/>
      </w:pPr>
      <w:r>
        <w:rPr>
          <w:rFonts w:ascii="Aptos" w:hAnsi="Aptos" w:eastAsia="Aptos"/>
        </w:rPr>
        <w:t>DevOps acceptance checklist</w:t>
      </w:r>
    </w:p>
    <w:p>
      <w:pPr>
        <w:pStyle w:val="ListBullet"/>
        <w:spacing w:after="40"/>
      </w:pPr>
      <w:r>
        <w:rPr>
          <w:rFonts w:ascii="Aptos" w:hAnsi="Aptos" w:eastAsia="Aptos"/>
          <w:b w:val="0"/>
          <w:i w:val="0"/>
          <w:sz w:val="18"/>
        </w:rPr>
        <w:t>☐ All mail ports and HTTPS endpoints pass health checks.</w:t>
      </w:r>
    </w:p>
    <w:p>
      <w:pPr>
        <w:pStyle w:val="ListBullet"/>
        <w:spacing w:after="40"/>
      </w:pPr>
      <w:r>
        <w:rPr>
          <w:rFonts w:ascii="Aptos" w:hAnsi="Aptos" w:eastAsia="Aptos"/>
          <w:b w:val="0"/>
          <w:i w:val="0"/>
          <w:sz w:val="18"/>
        </w:rPr>
        <w:t>☐ MX, SPF, DKIM, DMARC, and PTR records are published and verified.</w:t>
      </w:r>
    </w:p>
    <w:p>
      <w:pPr>
        <w:pStyle w:val="ListBullet"/>
        <w:spacing w:after="40"/>
      </w:pPr>
      <w:r>
        <w:rPr>
          <w:rFonts w:ascii="Aptos" w:hAnsi="Aptos" w:eastAsia="Aptos"/>
          <w:b w:val="0"/>
          <w:i w:val="0"/>
          <w:sz w:val="18"/>
        </w:rPr>
        <w:t>☐ Backup restore test is completed before production cutover.</w:t>
      </w:r>
    </w:p>
    <w:p>
      <w:pPr>
        <w:pStyle w:val="ListBullet"/>
        <w:spacing w:after="40"/>
      </w:pPr>
      <w:r>
        <w:rPr>
          <w:rFonts w:ascii="Aptos" w:hAnsi="Aptos" w:eastAsia="Aptos"/>
          <w:b w:val="0"/>
          <w:i w:val="0"/>
          <w:sz w:val="18"/>
        </w:rPr>
        <w:t>☐ Failover runbook is documented and tested at least once.</w:t>
      </w:r>
    </w:p>
    <w:p>
      <w:pPr>
        <w:pStyle w:val="ListBullet"/>
        <w:spacing w:after="40"/>
      </w:pPr>
      <w:r>
        <w:rPr>
          <w:rFonts w:ascii="Aptos" w:hAnsi="Aptos" w:eastAsia="Aptos"/>
          <w:b w:val="0"/>
          <w:i w:val="0"/>
          <w:sz w:val="18"/>
        </w:rPr>
        <w:t>☐ Mailbox quota policy is confirmed with business/client stakeholders.</w:t>
      </w:r>
    </w:p>
    <w:p>
      <w:pPr>
        <w:pStyle w:val="ListBullet"/>
        <w:spacing w:after="40"/>
      </w:pPr>
      <w:r>
        <w:rPr>
          <w:rFonts w:ascii="Aptos" w:hAnsi="Aptos" w:eastAsia="Aptos"/>
          <w:b w:val="0"/>
          <w:i w:val="0"/>
          <w:sz w:val="18"/>
        </w:rPr>
        <w:t>☐ Monitoring alerts reach the correct DevOps/on-call contacts.</w:t>
      </w:r>
    </w:p>
    <w:p>
      <w:pPr>
        <w:pStyle w:val="ListBullet"/>
        <w:spacing w:after="40"/>
      </w:pPr>
      <w:r>
        <w:rPr>
          <w:rFonts w:ascii="Aptos" w:hAnsi="Aptos" w:eastAsia="Aptos"/>
          <w:b w:val="0"/>
          <w:i w:val="0"/>
          <w:sz w:val="18"/>
        </w:rPr>
        <w:t>☐ OpenAI API key is stored securely and usage limits are configured.</w:t>
      </w:r>
    </w:p>
    <w:p>
      <w:pPr>
        <w:pStyle w:val="ListBullet"/>
        <w:spacing w:after="40"/>
      </w:pPr>
      <w:r>
        <w:rPr>
          <w:rFonts w:ascii="Aptos" w:hAnsi="Aptos" w:eastAsia="Aptos"/>
          <w:b w:val="0"/>
          <w:i w:val="0"/>
          <w:sz w:val="18"/>
        </w:rPr>
        <w:t>☐ SES sending limits are sufficient for expected outbound volume.</w:t>
      </w:r>
    </w:p>
    <w:p>
      <w:pPr>
        <w:pStyle w:val="Heading1"/>
        <w:keepNext/>
        <w:spacing w:before="200" w:after="80"/>
      </w:pPr>
      <w:r>
        <w:rPr>
          <w:rFonts w:ascii="Aptos" w:hAnsi="Aptos" w:eastAsia="Aptos"/>
        </w:rPr>
        <w:t>8. Ownership, Decisions, Risks, and Assumptions</w:t>
      </w:r>
    </w:p>
    <w:p>
      <w:pPr>
        <w:spacing w:after="80"/>
      </w:pPr>
      <w:r>
        <w:rPr>
          <w:rFonts w:ascii="Aptos" w:hAnsi="Aptos" w:eastAsia="Aptos"/>
        </w:rPr>
        <w:t>This section clarifies what each audience needs to decide or validate before final procurement and deployment.</w:t>
      </w:r>
    </w:p>
    <w:tbl>
      <w:tblPr>
        <w:tblW w:type="auto" w:w="0"/>
        <w:jc w:val="center"/>
        <w:tblLook w:firstColumn="1" w:firstRow="1" w:lastColumn="0" w:lastRow="0" w:noHBand="0" w:noVBand="1" w:val="04A0"/>
      </w:tblPr>
      <w:tblGrid>
        <w:gridCol w:w="3459"/>
        <w:gridCol w:w="3459"/>
        <w:gridCol w:w="3459"/>
      </w:tblGrid>
      <w:tr>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Audience</w:t>
            </w:r>
          </w:p>
        </w:tc>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What they need to understand</w:t>
            </w:r>
          </w:p>
        </w:tc>
        <w:tc>
          <w:tcPr>
            <w:tcW w:type="dxa" w:w="3459"/>
            <w:shd w:fill="0B7D82"/>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Decision / action needed</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Boss / Decision Maker</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Recommended HA costs about $9,084/month on-demand or $8,035/month with Savings Plan.</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Approve target tier, monthly budget, and Savings Plan direction.</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Client</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This setup is production-ready, redundant, and sized for 10,000 users with AI features.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Confirm quota policy, data residency expectations, and go-live window.</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DevOps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Architecture separates mail, app, DB, AI, backups, and monitoring for scaling and reliability.</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Validate Local Zone availability, deploy phased infrastructure, and confirm runbooks.</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Finance / Procurement</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AWS and OpenAI may bill separately; amounts are planning estimates.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Verify final calculator pricing, taxes, FX, support plan, and contract terms.</w:t>
            </w:r>
          </w:p>
        </w:tc>
      </w:tr>
    </w:tbl>
    <w:p>
      <w:pPr>
        <w:pStyle w:val="Heading2"/>
        <w:keepNext/>
        <w:spacing w:before="200" w:after="80"/>
      </w:pPr>
      <w:r>
        <w:rPr>
          <w:rFonts w:ascii="Aptos" w:hAnsi="Aptos" w:eastAsia="Aptos"/>
        </w:rPr>
        <w:t>Assumptions</w:t>
      </w:r>
    </w:p>
    <w:p>
      <w:pPr>
        <w:pStyle w:val="ListBullet"/>
        <w:spacing w:after="40"/>
      </w:pPr>
      <w:r>
        <w:rPr>
          <w:rFonts w:ascii="Aptos" w:hAnsi="Aptos" w:eastAsia="Aptos"/>
          <w:b w:val="0"/>
          <w:i w:val="0"/>
          <w:sz w:val="18"/>
        </w:rPr>
        <w:t>10,000 mailboxes with 10–20% peak concurrency assumption.</w:t>
      </w:r>
    </w:p>
    <w:p>
      <w:pPr>
        <w:pStyle w:val="ListBullet"/>
        <w:spacing w:after="40"/>
      </w:pPr>
      <w:r>
        <w:rPr>
          <w:rFonts w:ascii="Aptos" w:hAnsi="Aptos" w:eastAsia="Aptos"/>
          <w:b w:val="0"/>
          <w:i w:val="0"/>
          <w:sz w:val="18"/>
        </w:rPr>
        <w:t>Standard quota target of 2 GB/user, provisioned-as-you-grow for realistic year-1 storage.</w:t>
      </w:r>
    </w:p>
    <w:p>
      <w:pPr>
        <w:pStyle w:val="ListBullet"/>
        <w:spacing w:after="40"/>
      </w:pPr>
      <w:r>
        <w:rPr>
          <w:rFonts w:ascii="Aptos" w:hAnsi="Aptos" w:eastAsia="Aptos"/>
          <w:b w:val="0"/>
          <w:i w:val="0"/>
          <w:sz w:val="18"/>
        </w:rPr>
        <w:t>Outbound delivery through Amazon SES is recommended.</w:t>
      </w:r>
    </w:p>
    <w:p>
      <w:pPr>
        <w:pStyle w:val="ListBullet"/>
        <w:spacing w:after="40"/>
      </w:pPr>
      <w:r>
        <w:rPr>
          <w:rFonts w:ascii="Aptos" w:hAnsi="Aptos" w:eastAsia="Aptos"/>
          <w:b w:val="0"/>
          <w:i w:val="0"/>
          <w:sz w:val="18"/>
        </w:rPr>
        <w:t>AI adoption estimate: about 3,000 active AI users at moderate usage intensity.</w:t>
      </w:r>
    </w:p>
    <w:p>
      <w:pPr>
        <w:pStyle w:val="ListBullet"/>
        <w:spacing w:after="40"/>
      </w:pPr>
      <w:r>
        <w:rPr>
          <w:rFonts w:ascii="Aptos" w:hAnsi="Aptos" w:eastAsia="Aptos"/>
          <w:b w:val="0"/>
          <w:i w:val="0"/>
          <w:sz w:val="18"/>
        </w:rPr>
        <w:t>730 hours/month; on-demand pricing unless Savings Plan is shown.</w:t>
      </w:r>
    </w:p>
    <w:p>
      <w:pPr>
        <w:pStyle w:val="ListBullet"/>
        <w:spacing w:after="40"/>
      </w:pPr>
      <w:r>
        <w:rPr>
          <w:rFonts w:ascii="Aptos" w:hAnsi="Aptos" w:eastAsia="Aptos"/>
          <w:b w:val="0"/>
          <w:i w:val="0"/>
          <w:sz w:val="18"/>
        </w:rPr>
        <w:t>USD pricing with indicative PHP conversion at ₱57/USD.</w:t>
      </w:r>
    </w:p>
    <w:p>
      <w:pPr>
        <w:pStyle w:val="Heading2"/>
        <w:keepNext/>
        <w:spacing w:before="200" w:after="80"/>
      </w:pPr>
      <w:r>
        <w:rPr>
          <w:rFonts w:ascii="Aptos" w:hAnsi="Aptos" w:eastAsia="Aptos"/>
        </w:rPr>
        <w:t>Excluded from monthly estimate</w:t>
      </w:r>
    </w:p>
    <w:p>
      <w:pPr>
        <w:pStyle w:val="ListBullet"/>
        <w:spacing w:after="40"/>
      </w:pPr>
      <w:r>
        <w:rPr>
          <w:rFonts w:ascii="Aptos" w:hAnsi="Aptos" w:eastAsia="Aptos"/>
          <w:b w:val="0"/>
          <w:i w:val="0"/>
          <w:sz w:val="18"/>
        </w:rPr>
        <w:t>One-time professional services: architecture, deployment, migration, load testing, security hardening.</w:t>
      </w:r>
    </w:p>
    <w:p>
      <w:pPr>
        <w:pStyle w:val="ListBullet"/>
        <w:spacing w:after="40"/>
      </w:pPr>
      <w:r>
        <w:rPr>
          <w:rFonts w:ascii="Aptos" w:hAnsi="Aptos" w:eastAsia="Aptos"/>
          <w:b w:val="0"/>
          <w:i w:val="0"/>
          <w:sz w:val="18"/>
        </w:rPr>
        <w:t>Domain registration, third-party anti-spam/AV licenses, and premium security tools.</w:t>
      </w:r>
    </w:p>
    <w:p>
      <w:pPr>
        <w:pStyle w:val="ListBullet"/>
        <w:spacing w:after="40"/>
      </w:pPr>
      <w:r>
        <w:rPr>
          <w:rFonts w:ascii="Aptos" w:hAnsi="Aptos" w:eastAsia="Aptos"/>
          <w:b w:val="0"/>
          <w:i w:val="0"/>
          <w:sz w:val="18"/>
        </w:rPr>
        <w:t>Taxes, VAT, withholding tax, and foreign exchange movement.</w:t>
      </w:r>
    </w:p>
    <w:p>
      <w:pPr>
        <w:pStyle w:val="ListBullet"/>
        <w:spacing w:after="40"/>
      </w:pPr>
      <w:r>
        <w:rPr>
          <w:rFonts w:ascii="Aptos" w:hAnsi="Aptos" w:eastAsia="Aptos"/>
          <w:b w:val="0"/>
          <w:i w:val="0"/>
          <w:sz w:val="18"/>
        </w:rPr>
        <w:t>Final AWS contractual quote and any negotiated discounts.</w:t>
      </w:r>
    </w:p>
    <w:p>
      <w:pPr>
        <w:pStyle w:val="Heading2"/>
        <w:keepNext/>
        <w:spacing w:before="200" w:after="80"/>
      </w:pPr>
      <w:r>
        <w:rPr>
          <w:rFonts w:ascii="Aptos" w:hAnsi="Aptos" w:eastAsia="Aptos"/>
        </w:rPr>
        <w:t>Key risks and controls</w:t>
      </w:r>
    </w:p>
    <w:tbl>
      <w:tblPr>
        <w:tblW w:type="auto" w:w="0"/>
        <w:jc w:val="center"/>
        <w:tblLook w:firstColumn="1" w:firstRow="1" w:lastColumn="0" w:lastRow="0" w:noHBand="0" w:noVBand="1" w:val="04A0"/>
      </w:tblPr>
      <w:tblGrid>
        <w:gridCol w:w="3459"/>
        <w:gridCol w:w="3459"/>
        <w:gridCol w:w="3459"/>
      </w:tblGrid>
      <w:tr>
        <w:tc>
          <w:tcPr>
            <w:tcW w:type="dxa" w:w="3459"/>
            <w:shd w:fill="F26A2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Risk</w:t>
            </w:r>
          </w:p>
        </w:tc>
        <w:tc>
          <w:tcPr>
            <w:tcW w:type="dxa" w:w="3459"/>
            <w:shd w:fill="F26A2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Why it matters</w:t>
            </w:r>
          </w:p>
        </w:tc>
        <w:tc>
          <w:tcPr>
            <w:tcW w:type="dxa" w:w="3459"/>
            <w:shd w:fill="F26A21"/>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b/>
                <w:color w:val="FFFFFF"/>
                <w:sz w:val="16"/>
              </w:rPr>
              <w:t>Control / mitigation</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Local Zone pricing changes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The estimate uses Manila Local Zone rate assumptions.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Verify in AWS Pricing Calculator before contract.</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Storage growth</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Storage is the largest monthly cost driver.</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Enforce quotas, monitor growth, tier cold mail.</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Email deliverability</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Self-hosted mail can suffer from reputation and PTR issues.</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Use SES, DKIM, SPF, DMARC, PTR, and reputation monitoring.</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Service availability in Local Zone</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Not all AWS managed services are guaranteed locally.</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Self-manage core services on EC2 or place unavailable services in Singapore with latency acceptance.</w:t>
            </w:r>
          </w:p>
        </w:tc>
      </w:tr>
      <w:tr>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Backup/data residency policy</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Backups in Singapore may need approval.</w:t>
            </w:r>
          </w:p>
        </w:tc>
        <w:tc>
          <w:tcPr>
            <w:tcW w:type="dxa" w:w="3459"/>
            <w:tcBorders>
              <w:top w:sz="6" w:val="single" w:color="D7DEE8"/>
              <w:left w:sz="6" w:val="single" w:color="D7DEE8"/>
              <w:bottom w:sz="6" w:val="single" w:color="D7DEE8"/>
              <w:right w:sz="6" w:val="single" w:color="D7DEE8"/>
            </w:tcBorders>
            <w:tcMar>
              <w:top w:w="90" w:type="dxa"/>
              <w:start w:w="90" w:type="dxa"/>
              <w:bottom w:w="90" w:type="dxa"/>
              <w:end w:w="90" w:type="dxa"/>
            </w:tcMar>
            <w:vAlign w:val="center"/>
          </w:tcPr>
          <w:p>
            <w:pPr>
              <w:spacing w:after="0"/>
            </w:pPr>
            <w:r>
              <w:rPr>
                <w:rFonts w:ascii="Aptos" w:hAnsi="Aptos"/>
                <w:sz w:val="16"/>
              </w:rPr>
              <w:t>Confirm client data-residency and compliance requirements.</w:t>
            </w:r>
          </w:p>
        </w:tc>
      </w:tr>
    </w:tbl>
    <w:tbl>
      <w:tblPr>
        <w:tblW w:type="auto" w:w="0"/>
        <w:jc w:val="center"/>
        <w:tblLayout w:type="autofit"/>
        <w:tblLook w:firstColumn="1" w:firstRow="1" w:lastColumn="0" w:lastRow="0" w:noHBand="0" w:noVBand="1" w:val="04A0"/>
      </w:tblPr>
      <w:tblGrid>
        <w:gridCol w:w="10376"/>
      </w:tblGrid>
      <w:tr>
        <w:tc>
          <w:tcPr>
            <w:tcW w:type="dxa" w:w="10376"/>
            <w:tcBorders>
              <w:top w:sz="8" w:val="single" w:color="F26A21"/>
              <w:left w:sz="8" w:val="single" w:color="F26A21"/>
              <w:bottom w:sz="8" w:val="single" w:color="F26A21"/>
              <w:right w:sz="8" w:val="single" w:color="F26A21"/>
            </w:tcBorders>
            <w:tcMar>
              <w:top w:w="90" w:type="dxa"/>
              <w:start w:w="90" w:type="dxa"/>
              <w:bottom w:w="90" w:type="dxa"/>
              <w:end w:w="90" w:type="dxa"/>
            </w:tcMar>
            <w:vAlign w:val="center"/>
            <w:shd w:fill="FFF3E8"/>
          </w:tcPr>
          <w:p>
            <w:pPr>
              <w:spacing w:after="0"/>
            </w:pPr>
            <w:r/>
            <w:r>
              <w:rPr>
                <w:b/>
                <w:i w:val="0"/>
                <w:color w:val="F26A21"/>
                <w:sz w:val="22"/>
              </w:rPr>
              <w:t xml:space="preserve">!  </w:t>
            </w:r>
            <w:r>
              <w:rPr>
                <w:b/>
                <w:i w:val="0"/>
                <w:color w:val="0B2E63"/>
                <w:sz w:val="19"/>
              </w:rPr>
              <w:t xml:space="preserve">Final approval gate: </w:t>
            </w:r>
            <w:r>
              <w:rPr>
                <w:b w:val="0"/>
                <w:i w:val="0"/>
                <w:color w:val="111827"/>
                <w:sz w:val="19"/>
              </w:rPr>
              <w:t>A firm quote requires confirming Manila Local Zone rates, final quota policy, selected Savings Plan term, taxes, and the final architecture in the AWS Pricing Calculator.</w:t>
            </w:r>
          </w:p>
        </w:tc>
      </w:tr>
    </w:tbl>
    <w:p>
      <w:pPr>
        <w:pStyle w:val="Heading1"/>
        <w:keepNext/>
        <w:spacing w:before="200" w:after="80"/>
      </w:pPr>
      <w:r>
        <w:rPr>
          <w:rFonts w:ascii="Aptos" w:hAnsi="Aptos" w:eastAsia="Aptos"/>
        </w:rPr>
        <w:t>9. Appendix: Visual Infographics</w:t>
      </w:r>
    </w:p>
    <w:p>
      <w:pPr>
        <w:spacing w:after="80"/>
      </w:pPr>
      <w:r>
        <w:rPr>
          <w:rFonts w:ascii="Aptos" w:hAnsi="Aptos" w:eastAsia="Aptos"/>
        </w:rPr>
        <w:t>These visuals summarize the architecture and the monthly cost profile. The detailed tables above are the source of truth for amounts and implementation decisions.</w:t>
      </w:r>
    </w:p>
    <w:p>
      <w:r>
        <w:rPr>
          <w:rFonts w:ascii="Aptos" w:hAnsi="Aptos" w:eastAsia="Aptos"/>
        </w:rPr>
        <w:drawing>
          <wp:inline xmlns:a="http://schemas.openxmlformats.org/drawingml/2006/main" xmlns:pic="http://schemas.openxmlformats.org/drawingml/2006/picture">
            <wp:extent cx="6217920" cy="8787601"/>
            <wp:docPr id="2" name="Picture 2"/>
            <wp:cNvGraphicFramePr>
              <a:graphicFrameLocks noChangeAspect="1"/>
            </wp:cNvGraphicFramePr>
            <a:graphic>
              <a:graphicData uri="http://schemas.openxmlformats.org/drawingml/2006/picture">
                <pic:pic>
                  <pic:nvPicPr>
                    <pic:cNvPr id="0" name="email_hosting_platform_proposal_infographic.png"/>
                    <pic:cNvPicPr/>
                  </pic:nvPicPr>
                  <pic:blipFill>
                    <a:blip r:embed="rId12"/>
                    <a:stretch>
                      <a:fillRect/>
                    </a:stretch>
                  </pic:blipFill>
                  <pic:spPr>
                    <a:xfrm>
                      <a:off x="0" y="0"/>
                      <a:ext cx="6217920" cy="8787601"/>
                    </a:xfrm>
                    <a:prstGeom prst="rect"/>
                  </pic:spPr>
                </pic:pic>
              </a:graphicData>
            </a:graphic>
          </wp:inline>
        </w:drawing>
      </w:r>
    </w:p>
    <w:p>
      <w:pPr>
        <w:pStyle w:val="CaptionSmall"/>
        <w:jc w:val="center"/>
      </w:pPr>
      <w:r>
        <w:rPr>
          <w:rFonts w:ascii="Aptos" w:hAnsi="Aptos" w:eastAsia="Aptos"/>
        </w:rPr>
        <w:t>Figure 2. Architecture and setup overview infographic.</w:t>
      </w:r>
    </w:p>
    <w:p>
      <w:r>
        <w:rPr>
          <w:rFonts w:ascii="Aptos" w:hAnsi="Aptos" w:eastAsia="Aptos"/>
        </w:rPr>
        <w:br w:type="page"/>
      </w:r>
    </w:p>
    <w:p>
      <w:r>
        <w:rPr>
          <w:rFonts w:ascii="Aptos" w:hAnsi="Aptos" w:eastAsia="Aptos"/>
        </w:rPr>
        <w:drawing>
          <wp:inline xmlns:a="http://schemas.openxmlformats.org/drawingml/2006/main" xmlns:pic="http://schemas.openxmlformats.org/drawingml/2006/picture">
            <wp:extent cx="6217920" cy="8787601"/>
            <wp:docPr id="3" name="Picture 3"/>
            <wp:cNvGraphicFramePr>
              <a:graphicFrameLocks noChangeAspect="1"/>
            </wp:cNvGraphicFramePr>
            <a:graphic>
              <a:graphicData uri="http://schemas.openxmlformats.org/drawingml/2006/picture">
                <pic:pic>
                  <pic:nvPicPr>
                    <pic:cNvPr id="0" name="monthly_aws_cost_breakdown_optimization.png"/>
                    <pic:cNvPicPr/>
                  </pic:nvPicPr>
                  <pic:blipFill>
                    <a:blip r:embed="rId13"/>
                    <a:stretch>
                      <a:fillRect/>
                    </a:stretch>
                  </pic:blipFill>
                  <pic:spPr>
                    <a:xfrm>
                      <a:off x="0" y="0"/>
                      <a:ext cx="6217920" cy="8787601"/>
                    </a:xfrm>
                    <a:prstGeom prst="rect"/>
                  </pic:spPr>
                </pic:pic>
              </a:graphicData>
            </a:graphic>
          </wp:inline>
        </w:drawing>
      </w:r>
    </w:p>
    <w:p>
      <w:pPr>
        <w:pStyle w:val="CaptionSmall"/>
        <w:jc w:val="center"/>
      </w:pPr>
      <w:r>
        <w:rPr>
          <w:rFonts w:ascii="Aptos" w:hAnsi="Aptos" w:eastAsia="Aptos"/>
        </w:rPr>
        <w:t>Figure 3. Monthly cost breakdown and optimization infographic.</w:t>
      </w:r>
    </w:p>
    <w:sectPr w:rsidR="00FC693F" w:rsidRPr="0006063C" w:rsidSect="00034616">
      <w:headerReference w:type="default" r:id="rId9"/>
      <w:footerReference w:type="default" r:id="rId10"/>
      <w:pgSz w:w="11906" w:h="16838"/>
      <w:pgMar w:top="822" w:right="765" w:bottom="765"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74151"/>
        <w:sz w:val="16"/>
      </w:rPr>
      <w:t>Planning estimate only — verify final pricing in AWS Pricing Calculator before contract.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74151"/>
        <w:sz w:val="16"/>
      </w:rPr>
      <w:t>ITBS Mail — AWS Manila Local Zone Setup &amp; Monthly Cost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2E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B5CA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B7D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2E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eastAsia="Aptos"/>
      <w:i/>
      <w:color w:val="37415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