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B19" w:rsidRPr="00077B19" w:rsidRDefault="00077B19" w:rsidP="00077B19">
      <w:pPr>
        <w:spacing w:before="100" w:beforeAutospacing="1" w:after="100" w:afterAutospacing="1" w:line="240" w:lineRule="auto"/>
        <w:outlineLvl w:val="2"/>
        <w:rPr>
          <w:rFonts w:ascii="Times New Roman" w:eastAsia="Times New Roman" w:hAnsi="Times New Roman" w:cs="Times New Roman"/>
          <w:b/>
          <w:bCs/>
          <w:sz w:val="27"/>
          <w:szCs w:val="27"/>
        </w:rPr>
      </w:pPr>
      <w:r w:rsidRPr="00077B19">
        <w:rPr>
          <w:rFonts w:ascii="Times New Roman" w:eastAsia="Times New Roman" w:hAnsi="Times New Roman" w:cs="Times New Roman"/>
          <w:b/>
          <w:bCs/>
          <w:sz w:val="27"/>
          <w:szCs w:val="27"/>
        </w:rPr>
        <w:t>Phần 2: Cơ sở Lý thuyết về Lãnh đạo Đương đại</w:t>
      </w:r>
    </w:p>
    <w:p w:rsidR="00077B19" w:rsidRPr="00077B19" w:rsidRDefault="00077B19" w:rsidP="00077B19">
      <w:pPr>
        <w:spacing w:before="100" w:beforeAutospacing="1" w:after="100" w:afterAutospacing="1" w:line="240" w:lineRule="auto"/>
        <w:outlineLvl w:val="3"/>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2.1. Sự dịch chuyển của Lãnh đạo: Từ "Người Điều hành" (Manager) sang "Người Kiến tạo" (Leader)</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Trong quản trị học đương đại, sự phân biệt giữa "Quản trị" (Management) và "Lãnh đạo" (Leadership) là nền tảng cốt lõi. Nếu quản trị là nghệ thuật để hoàn thành công việc </w:t>
      </w:r>
      <w:r w:rsidRPr="00077B19">
        <w:rPr>
          <w:rFonts w:ascii="Times New Roman" w:eastAsia="Times New Roman" w:hAnsi="Times New Roman" w:cs="Times New Roman"/>
          <w:i/>
          <w:iCs/>
          <w:sz w:val="24"/>
          <w:szCs w:val="24"/>
        </w:rPr>
        <w:t>thông qua</w:t>
      </w:r>
      <w:r w:rsidRPr="00077B19">
        <w:rPr>
          <w:rFonts w:ascii="Times New Roman" w:eastAsia="Times New Roman" w:hAnsi="Times New Roman" w:cs="Times New Roman"/>
          <w:sz w:val="24"/>
          <w:szCs w:val="24"/>
        </w:rPr>
        <w:t xml:space="preserve"> người khác, thì lãnh đạo là nghệ thuật </w:t>
      </w:r>
      <w:r w:rsidRPr="00077B19">
        <w:rPr>
          <w:rFonts w:ascii="Times New Roman" w:eastAsia="Times New Roman" w:hAnsi="Times New Roman" w:cs="Times New Roman"/>
          <w:i/>
          <w:iCs/>
          <w:sz w:val="24"/>
          <w:szCs w:val="24"/>
        </w:rPr>
        <w:t>khiến</w:t>
      </w:r>
      <w:r w:rsidRPr="00077B19">
        <w:rPr>
          <w:rFonts w:ascii="Times New Roman" w:eastAsia="Times New Roman" w:hAnsi="Times New Roman" w:cs="Times New Roman"/>
          <w:sz w:val="24"/>
          <w:szCs w:val="24"/>
        </w:rPr>
        <w:t xml:space="preserve"> người khác </w:t>
      </w:r>
      <w:r w:rsidRPr="00077B19">
        <w:rPr>
          <w:rFonts w:ascii="Times New Roman" w:eastAsia="Times New Roman" w:hAnsi="Times New Roman" w:cs="Times New Roman"/>
          <w:i/>
          <w:iCs/>
          <w:sz w:val="24"/>
          <w:szCs w:val="24"/>
        </w:rPr>
        <w:t>muốn</w:t>
      </w:r>
      <w:r w:rsidRPr="00077B19">
        <w:rPr>
          <w:rFonts w:ascii="Times New Roman" w:eastAsia="Times New Roman" w:hAnsi="Times New Roman" w:cs="Times New Roman"/>
          <w:sz w:val="24"/>
          <w:szCs w:val="24"/>
        </w:rPr>
        <w:t xml:space="preserve"> hoàn thành công việc.</w:t>
      </w:r>
    </w:p>
    <w:p w:rsidR="00077B19" w:rsidRPr="00077B19" w:rsidRDefault="00077B19" w:rsidP="00077B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Vai trò "Người Điều hành" (Management):</w:t>
      </w:r>
      <w:r w:rsidRPr="00077B19">
        <w:rPr>
          <w:rFonts w:ascii="Times New Roman" w:eastAsia="Times New Roman" w:hAnsi="Times New Roman" w:cs="Times New Roman"/>
          <w:sz w:val="24"/>
          <w:szCs w:val="24"/>
        </w:rPr>
        <w:t xml:space="preserve"> Vai trò này tập trung vào sự ổn định, hiệu quả và trật tự. "Người Điều hành" làm chủ các quy trình, tập trung vào việc "làm đúng quy trình" (Doing things right). Họ kiểm soát (Control), phân bổ nguồn lực, giải quyết các vấno đề ngắn hạn và duy trì hoạt động của tổ chức. Công cụ của họ là mệnh lệnh, chính sách và cơ cấu tổ chức.</w:t>
      </w:r>
    </w:p>
    <w:p w:rsidR="00077B19" w:rsidRPr="00077B19" w:rsidRDefault="00077B19" w:rsidP="00077B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Vai trò "Người Kiến tạo" (Leadership):</w:t>
      </w:r>
      <w:r w:rsidRPr="00077B19">
        <w:rPr>
          <w:rFonts w:ascii="Times New Roman" w:eastAsia="Times New Roman" w:hAnsi="Times New Roman" w:cs="Times New Roman"/>
          <w:sz w:val="24"/>
          <w:szCs w:val="24"/>
        </w:rPr>
        <w:t xml:space="preserve"> Vai trò này tập trung vào sự thay đổi, tầm nhìn và động lực. "Người Kiến tạo" thiết kế tương lai, tập trung vào việc "làm đúng việc" (Doing the right things). Họ truyền cảm hứng (Inspire), trao quyền (Empower), xây dựng niềm tin và định hướng cho tổ chức trong dài hạn. Công cụ của họ là tầm nhìn, giá trị và văn hóa.</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Luận điểm cốt lõi của bài nghiên cứu này là phong cách lãnh đạo tại Techcombank đã thể hiện rõ sự dịch chuyển từ vai trò "Người Điều hành" sang "Người Kiến tạo". Ban lãnh đạo TCB không chỉ vận hành một ngân hàng; họ đang kiến tạo một tổ chức dựa trên tầm nhìn, niềm tin và hiệu suất.</w:t>
      </w:r>
    </w:p>
    <w:p w:rsidR="00077B19" w:rsidRPr="00077B19" w:rsidRDefault="00077B19" w:rsidP="00077B19">
      <w:pPr>
        <w:spacing w:before="100" w:beforeAutospacing="1" w:after="100" w:afterAutospacing="1" w:line="240" w:lineRule="auto"/>
        <w:outlineLvl w:val="3"/>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2.2. Mô hình Lãnh đạo Chuyển đổi (Transformational Leadership)</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Học thuyết trung tâm được sử dụng để phân tích Techcombank là Lãnh đạo Chuyển đổi. Đây là phong cách mà nhà lãnh đạo làm việc với cấp dưới để xác định sự thay đổi cần thiết, kiến tạo một tầm nhìn để dẫn dắt sự thay đổi thông qua cảm hứng, và thực thi sự thay đổi song song với việc cam kết phát triển thành viên trong nhóm.</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Dựa trên mô hình bài giảng, phong cách này được cấu thành từ 3 yếu tố chính:</w:t>
      </w:r>
    </w:p>
    <w:p w:rsidR="00077B19" w:rsidRPr="00077B19" w:rsidRDefault="00077B19" w:rsidP="00077B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Lãnh đạo Lôi cuốn (Inspirational Motivation):</w:t>
      </w:r>
      <w:r w:rsidRPr="00077B19">
        <w:rPr>
          <w:rFonts w:ascii="Times New Roman" w:eastAsia="Times New Roman" w:hAnsi="Times New Roman" w:cs="Times New Roman"/>
          <w:sz w:val="24"/>
          <w:szCs w:val="24"/>
        </w:rPr>
        <w:t xml:space="preserve"> Đây là khả năng truyền cảm hứng và động lực. Theo bài giảng, đây là nhà lãnh đạo "nhiệt tình, tự tin, có khả năng truyền đạt rõ ràng tầm nhìn của mình về những điều tốt đẹp có thể xảy ra". Họ không chỉ ra lệnh, mà còn khiến nhân viên có cảm xúc và tin tưởng vào tương lai của tổ chức, tạo ra một cam kết về mặt tình cảm.</w:t>
      </w:r>
    </w:p>
    <w:p w:rsidR="00077B19" w:rsidRPr="00077B19" w:rsidRDefault="00077B19" w:rsidP="00077B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Kích thích Trí tuệ (Intellectual Stimulation):</w:t>
      </w:r>
      <w:r w:rsidRPr="00077B19">
        <w:rPr>
          <w:rFonts w:ascii="Times New Roman" w:eastAsia="Times New Roman" w:hAnsi="Times New Roman" w:cs="Times New Roman"/>
          <w:sz w:val="24"/>
          <w:szCs w:val="24"/>
        </w:rPr>
        <w:t xml:space="preserve"> Đây là hành vi thách thức các giả định, khuyến khích sự sáng tạo. Nhà lãnh đạo "khiến cho những người đi theo nhận thức được các vấn đề và nhìn những vấn đề này theo những cách nhìn mới, phù hợp với tầm nhìn của nhà lãnh đạo". Yếu tố này bao gồm cả việc </w:t>
      </w:r>
      <w:r w:rsidRPr="00077B19">
        <w:rPr>
          <w:rFonts w:ascii="Times New Roman" w:eastAsia="Times New Roman" w:hAnsi="Times New Roman" w:cs="Times New Roman"/>
          <w:b/>
          <w:bCs/>
          <w:sz w:val="24"/>
          <w:szCs w:val="24"/>
        </w:rPr>
        <w:t>Trao quyền (Empowerment)</w:t>
      </w:r>
      <w:r w:rsidRPr="00077B19">
        <w:rPr>
          <w:rFonts w:ascii="Times New Roman" w:eastAsia="Times New Roman" w:hAnsi="Times New Roman" w:cs="Times New Roman"/>
          <w:sz w:val="24"/>
          <w:szCs w:val="24"/>
        </w:rPr>
        <w:t>, như ví dụ về Jeff Bezos, khuyến khích nhân viên "nghĩ như một người chủ", từ đó giải phóng tiềm năng sáng tạo và chủ động của họ.</w:t>
      </w:r>
    </w:p>
    <w:p w:rsidR="00077B19" w:rsidRPr="00077B19" w:rsidRDefault="00077B19" w:rsidP="00077B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lastRenderedPageBreak/>
        <w:t>Sự quan tâm có tính Phát triển (Individualized Consideration):</w:t>
      </w:r>
      <w:r w:rsidRPr="00077B19">
        <w:rPr>
          <w:rFonts w:ascii="Times New Roman" w:eastAsia="Times New Roman" w:hAnsi="Times New Roman" w:cs="Times New Roman"/>
          <w:sz w:val="24"/>
          <w:szCs w:val="24"/>
        </w:rPr>
        <w:t xml:space="preserve"> Đây là hành vi tập trung vào con người. Nhà lãnh đạo "thực hiện để hỗ trợ và khuyến khích những người đi theo, và giúp họ phát triển và trưởng thành trong công việc". Điều này thể hiện qua việc huấn luyện (coaching), cố vấn (mentoring), và tạo ra một môi trường mà ở đó nỗ lực và sự phát triển cá nhân được ghi nhận và tưởng thưởng công bằng.</w:t>
      </w:r>
    </w:p>
    <w:p w:rsidR="00077B19" w:rsidRPr="00077B19" w:rsidRDefault="00077B19" w:rsidP="00077B19">
      <w:pPr>
        <w:spacing w:after="0"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pict>
          <v:rect id="_x0000_i1028" style="width:0;height:1.5pt" o:hralign="center" o:hrstd="t" o:hr="t" fillcolor="#a0a0a0" stroked="f"/>
        </w:pict>
      </w:r>
    </w:p>
    <w:p w:rsidR="00077B19" w:rsidRPr="00077B19" w:rsidRDefault="00077B19" w:rsidP="00077B19">
      <w:pPr>
        <w:spacing w:before="100" w:beforeAutospacing="1" w:after="100" w:afterAutospacing="1" w:line="240" w:lineRule="auto"/>
        <w:outlineLvl w:val="2"/>
        <w:rPr>
          <w:rFonts w:ascii="Times New Roman" w:eastAsia="Times New Roman" w:hAnsi="Times New Roman" w:cs="Times New Roman"/>
          <w:b/>
          <w:bCs/>
          <w:sz w:val="27"/>
          <w:szCs w:val="27"/>
        </w:rPr>
      </w:pPr>
      <w:r w:rsidRPr="00077B19">
        <w:rPr>
          <w:rFonts w:ascii="Times New Roman" w:eastAsia="Times New Roman" w:hAnsi="Times New Roman" w:cs="Times New Roman"/>
          <w:b/>
          <w:bCs/>
          <w:sz w:val="27"/>
          <w:szCs w:val="27"/>
        </w:rPr>
        <w:t>Phần 3: Phân tích Tình huống: Lãnh đạo Chuyển đổi tại Techcombank</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Áp dụng khung lý thuyết trên, chúng ta sẽ "bóc tách" các hành động và chiến lược cụ thể của ban lãnh đạo Techcombank.</w:t>
      </w:r>
    </w:p>
    <w:p w:rsidR="00077B19" w:rsidRPr="00077B19" w:rsidRDefault="00077B19" w:rsidP="00077B19">
      <w:pPr>
        <w:spacing w:before="100" w:beforeAutospacing="1" w:after="100" w:afterAutospacing="1" w:line="240" w:lineRule="auto"/>
        <w:outlineLvl w:val="3"/>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3.1. Lãnh đạo Lôi cuốn: Kiến tạo Tầm nhìn &amp; Niềm tin</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Yếu tố đầu tiên và quan trọng nhất của Lãnh đạo Chuyển đổi là khả năng kiến tạo và "bán" một tầm nhìn hấp dẫn.</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 3.1.1: Tầm nhìn Chiến lược Cấp cao &amp; Kiến tạo Niềm tin</w:t>
      </w:r>
    </w:p>
    <w:p w:rsidR="00077B19" w:rsidRDefault="00077B19" w:rsidP="00077B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Dẫn chứng:</w:t>
      </w:r>
      <w:r w:rsidRPr="00077B19">
        <w:rPr>
          <w:rFonts w:ascii="Times New Roman" w:eastAsia="Times New Roman" w:hAnsi="Times New Roman" w:cs="Times New Roman"/>
          <w:sz w:val="24"/>
          <w:szCs w:val="24"/>
        </w:rPr>
        <w:t xml:space="preserve"> Một trong những tài liệu quan trọng nhất của TCB là Báo cáo thường niên </w:t>
      </w:r>
      <w:proofErr w:type="gramStart"/>
      <w:r w:rsidRPr="00077B19">
        <w:rPr>
          <w:rFonts w:ascii="Times New Roman" w:eastAsia="Times New Roman" w:hAnsi="Times New Roman" w:cs="Times New Roman"/>
          <w:sz w:val="24"/>
          <w:szCs w:val="24"/>
        </w:rPr>
        <w:t>2016 ,</w:t>
      </w:r>
      <w:proofErr w:type="gramEnd"/>
      <w:r w:rsidRPr="00077B19">
        <w:rPr>
          <w:rFonts w:ascii="Times New Roman" w:eastAsia="Times New Roman" w:hAnsi="Times New Roman" w:cs="Times New Roman"/>
          <w:sz w:val="24"/>
          <w:szCs w:val="24"/>
        </w:rPr>
        <w:t xml:space="preserve"> chỉ rõ: "Lãnh đạo đầu tư tâm sức vào việc giúp nhân viên </w:t>
      </w:r>
      <w:r w:rsidRPr="00077B19">
        <w:rPr>
          <w:rFonts w:ascii="Times New Roman" w:eastAsia="Times New Roman" w:hAnsi="Times New Roman" w:cs="Times New Roman"/>
          <w:b/>
          <w:bCs/>
          <w:sz w:val="24"/>
          <w:szCs w:val="24"/>
        </w:rPr>
        <w:t>BIẾT – HIỂU – TIN – LÀM THEO</w:t>
      </w:r>
      <w:r w:rsidRPr="00077B19">
        <w:rPr>
          <w:rFonts w:ascii="Times New Roman" w:eastAsia="Times New Roman" w:hAnsi="Times New Roman" w:cs="Times New Roman"/>
          <w:sz w:val="24"/>
          <w:szCs w:val="24"/>
        </w:rPr>
        <w:t xml:space="preserve"> chiến lược chung. 'Niềm tin sẽ là điểm tựa cho sự phát triển của Techcombank trong những năm tới!'"</w:t>
      </w:r>
    </w:p>
    <w:p w:rsidR="009F65D6" w:rsidRDefault="009F65D6" w:rsidP="009F65D6">
      <w:pPr>
        <w:spacing w:after="480" w:line="276" w:lineRule="auto"/>
        <w:rPr>
          <w:rFonts w:ascii="Arial" w:eastAsia="Arial" w:hAnsi="Arial" w:cs="Arial"/>
          <w:sz w:val="24"/>
          <w:szCs w:val="24"/>
        </w:rPr>
      </w:pPr>
      <w:hyperlink r:id="rId5">
        <w:r>
          <w:rPr>
            <w:rFonts w:ascii="Arial" w:eastAsia="Arial" w:hAnsi="Arial" w:cs="Arial"/>
            <w:color w:val="1155CC"/>
            <w:sz w:val="24"/>
            <w:szCs w:val="24"/>
            <w:u w:val="single"/>
          </w:rPr>
          <w:t>Tải file PDF - Techcombank (Báo cáo thường niên 2016 - Trang 15)</w:t>
        </w:r>
      </w:hyperlink>
    </w:p>
    <w:p w:rsidR="009F65D6" w:rsidRPr="00077B19" w:rsidRDefault="009F65D6" w:rsidP="00077B19">
      <w:pPr>
        <w:numPr>
          <w:ilvl w:val="0"/>
          <w:numId w:val="12"/>
        </w:numPr>
        <w:spacing w:before="100" w:beforeAutospacing="1" w:after="100" w:afterAutospacing="1" w:line="240" w:lineRule="auto"/>
        <w:rPr>
          <w:rFonts w:ascii="Times New Roman" w:eastAsia="Times New Roman" w:hAnsi="Times New Roman" w:cs="Times New Roman"/>
          <w:sz w:val="24"/>
          <w:szCs w:val="24"/>
        </w:rPr>
      </w:pPr>
    </w:p>
    <w:p w:rsidR="00077B19" w:rsidRPr="00077B19" w:rsidRDefault="00077B19" w:rsidP="00077B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Trích dẫn này cho thấy một sự thấu hiểu sâu sắc về lãnh đạo. Thay vì mô hình "ra lệnh - chấp hành" truyền thống (chỉ cần bước "LÀM THEO"), TCB đầu tư vào một quy trình nhận thức 4 bước. Họ hiểu rằng, để nhân viên "LÀM THEO" một cách toàn tâm, họ phải "TIN"; và để "TIN", họ phải "HIỂU"; và để "HIỂU", họ phải "BIẾT".</w:t>
      </w:r>
    </w:p>
    <w:p w:rsidR="00077B19" w:rsidRPr="00077B19" w:rsidRDefault="00077B19" w:rsidP="00077B1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Đây là biểu hiện rõ ràng của </w:t>
      </w:r>
      <w:r w:rsidRPr="00077B19">
        <w:rPr>
          <w:rFonts w:ascii="Times New Roman" w:eastAsia="Times New Roman" w:hAnsi="Times New Roman" w:cs="Times New Roman"/>
          <w:b/>
          <w:bCs/>
          <w:sz w:val="24"/>
          <w:szCs w:val="24"/>
        </w:rPr>
        <w:t>"Lãnh đạo Lôi cuốn"</w:t>
      </w:r>
      <w:r w:rsidRPr="00077B19">
        <w:rPr>
          <w:rFonts w:ascii="Times New Roman" w:eastAsia="Times New Roman" w:hAnsi="Times New Roman" w:cs="Times New Roman"/>
          <w:sz w:val="24"/>
          <w:szCs w:val="24"/>
        </w:rPr>
        <w:t>. Họ "truyền đạt rõ ràng tầm nhìn" (BIẾT, HIỂU) để xây dựng "niềm tin" (TIN).</w:t>
      </w:r>
    </w:p>
    <w:p w:rsidR="00077B19" w:rsidRPr="00077B19" w:rsidRDefault="00077B19" w:rsidP="00077B1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Nó cũng chứng minh vai trò </w:t>
      </w:r>
      <w:r w:rsidRPr="00077B19">
        <w:rPr>
          <w:rFonts w:ascii="Times New Roman" w:eastAsia="Times New Roman" w:hAnsi="Times New Roman" w:cs="Times New Roman"/>
          <w:b/>
          <w:bCs/>
          <w:sz w:val="24"/>
          <w:szCs w:val="24"/>
        </w:rPr>
        <w:t>"Người Kiến tạo"</w:t>
      </w:r>
      <w:r w:rsidRPr="00077B19">
        <w:rPr>
          <w:rFonts w:ascii="Times New Roman" w:eastAsia="Times New Roman" w:hAnsi="Times New Roman" w:cs="Times New Roman"/>
          <w:sz w:val="24"/>
          <w:szCs w:val="24"/>
        </w:rPr>
        <w:t>. "Người Điều hành" chỉ quan tâm đến bước "LÀM THEO". Ngược lại, "Người Kiến tạo" "đầu tư tâm sức" (một cụm từ chỉ sự cam kết cá nhân) để kiến tạo nền tảng tư tưởng và niềm tin, bởi họ hiểu rằng "Niềm tin" mới là "điểm tựa" cho sự phát triển, chứ không phải quy trình.</w:t>
      </w:r>
    </w:p>
    <w:p w:rsidR="00077B19" w:rsidRDefault="00077B19" w:rsidP="00077B19">
      <w:pPr>
        <w:spacing w:before="100" w:beforeAutospacing="1" w:after="100" w:afterAutospacing="1" w:line="240" w:lineRule="auto"/>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Phân tích 3.1.2: Truyền cảm hứng bằng Mục đích (Purpose-Driven)</w:t>
      </w:r>
    </w:p>
    <w:p w:rsidR="009F65D6" w:rsidRPr="009F65D6" w:rsidRDefault="009F65D6" w:rsidP="00077B19">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
        <w:r>
          <w:rPr>
            <w:rFonts w:ascii="Times New Roman" w:eastAsia="Times New Roman" w:hAnsi="Times New Roman" w:cs="Times New Roman"/>
            <w:color w:val="0000FF"/>
            <w:sz w:val="24"/>
            <w:szCs w:val="24"/>
            <w:u w:val="single"/>
          </w:rPr>
          <w:t>Giới thiệu về Techcombank (Tầm nhìn/Sứ mệnh)</w:t>
        </w:r>
      </w:hyperlink>
    </w:p>
    <w:p w:rsidR="00077B19" w:rsidRPr="00077B19" w:rsidRDefault="00077B19" w:rsidP="00077B19">
      <w:pPr>
        <w:numPr>
          <w:ilvl w:val="0"/>
          <w:numId w:val="13"/>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077B19">
        <w:rPr>
          <w:rFonts w:ascii="Times New Roman" w:eastAsia="Times New Roman" w:hAnsi="Times New Roman" w:cs="Times New Roman"/>
          <w:b/>
          <w:bCs/>
          <w:sz w:val="24"/>
          <w:szCs w:val="24"/>
        </w:rPr>
        <w:lastRenderedPageBreak/>
        <w:t>Dẫn chứng:</w:t>
      </w:r>
      <w:r w:rsidRPr="00077B19">
        <w:rPr>
          <w:rFonts w:ascii="Times New Roman" w:eastAsia="Times New Roman" w:hAnsi="Times New Roman" w:cs="Times New Roman"/>
          <w:sz w:val="24"/>
          <w:szCs w:val="24"/>
        </w:rPr>
        <w:t xml:space="preserve"> Tầm nhìn chiến lược của TCB không chỉ là con số. Theo 24</w:t>
      </w:r>
      <w:proofErr w:type="gramStart"/>
      <w:r w:rsidRPr="00077B19">
        <w:rPr>
          <w:rFonts w:ascii="Times New Roman" w:eastAsia="Times New Roman" w:hAnsi="Times New Roman" w:cs="Times New Roman"/>
          <w:sz w:val="24"/>
          <w:szCs w:val="24"/>
        </w:rPr>
        <w:t>HMoney ,</w:t>
      </w:r>
      <w:proofErr w:type="gramEnd"/>
      <w:r w:rsidRPr="00077B19">
        <w:rPr>
          <w:rFonts w:ascii="Times New Roman" w:eastAsia="Times New Roman" w:hAnsi="Times New Roman" w:cs="Times New Roman"/>
          <w:sz w:val="24"/>
          <w:szCs w:val="24"/>
        </w:rPr>
        <w:t xml:space="preserve"> tầm nhìn mới được công bố là </w:t>
      </w:r>
      <w:r w:rsidRPr="00077B19">
        <w:rPr>
          <w:rFonts w:ascii="Times New Roman" w:eastAsia="Times New Roman" w:hAnsi="Times New Roman" w:cs="Times New Roman"/>
          <w:b/>
          <w:bCs/>
          <w:sz w:val="24"/>
          <w:szCs w:val="24"/>
        </w:rPr>
        <w:t>“Change banking, change lives”</w:t>
      </w:r>
      <w:r w:rsidRPr="00077B19">
        <w:rPr>
          <w:rFonts w:ascii="Times New Roman" w:eastAsia="Times New Roman" w:hAnsi="Times New Roman" w:cs="Times New Roman"/>
          <w:sz w:val="24"/>
          <w:szCs w:val="24"/>
        </w:rPr>
        <w:t xml:space="preserve"> (Chuyển đổi cách làm ngân hàng, để nâng tầm giá trị cuộc sống).</w:t>
      </w:r>
    </w:p>
    <w:p w:rsidR="00077B19" w:rsidRPr="00077B19" w:rsidRDefault="00077B19" w:rsidP="00077B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Tầm nhìn này có sức lôi cuốn cực kỳ mạnh mẽ vì nó vượt ra ngoài mục tiêu tài chính (lợi nhuận, thị phần). Nó tạo ra một </w:t>
      </w:r>
      <w:r w:rsidRPr="00077B19">
        <w:rPr>
          <w:rFonts w:ascii="Times New Roman" w:eastAsia="Times New Roman" w:hAnsi="Times New Roman" w:cs="Times New Roman"/>
          <w:b/>
          <w:bCs/>
          <w:sz w:val="24"/>
          <w:szCs w:val="24"/>
        </w:rPr>
        <w:t>Mục đích (Purpose)</w:t>
      </w:r>
      <w:r w:rsidRPr="00077B19">
        <w:rPr>
          <w:rFonts w:ascii="Times New Roman" w:eastAsia="Times New Roman" w:hAnsi="Times New Roman" w:cs="Times New Roman"/>
          <w:sz w:val="24"/>
          <w:szCs w:val="24"/>
        </w:rPr>
        <w:t>. "Change banking" là thay đổi cách làm, nhưng "change lives" là tạo ra tác động xã hội.</w:t>
      </w:r>
    </w:p>
    <w:p w:rsidR="00077B19" w:rsidRPr="00077B19" w:rsidRDefault="00077B19" w:rsidP="00077B1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Điều này tạo ra "ý nghĩa công việc" cho nhân viên. Họ không còn chỉ là "giao dịch viên" hay "chuyên viên tín dụng", họ là một phần của sứ mệnh "nâng tầm giá trị cuộc sống</w:t>
      </w:r>
      <w:proofErr w:type="gramStart"/>
      <w:r w:rsidRPr="00077B19">
        <w:rPr>
          <w:rFonts w:ascii="Times New Roman" w:eastAsia="Times New Roman" w:hAnsi="Times New Roman" w:cs="Times New Roman"/>
          <w:sz w:val="24"/>
          <w:szCs w:val="24"/>
        </w:rPr>
        <w:t>" .</w:t>
      </w:r>
      <w:proofErr w:type="gramEnd"/>
      <w:r w:rsidRPr="00077B19">
        <w:rPr>
          <w:rFonts w:ascii="Times New Roman" w:eastAsia="Times New Roman" w:hAnsi="Times New Roman" w:cs="Times New Roman"/>
          <w:sz w:val="24"/>
          <w:szCs w:val="24"/>
        </w:rPr>
        <w:t xml:space="preserve"> Khi nhân viên cảm thấy công việc của mình có ý nghĩa, động lực nội tại của họ được kích hoạt, vượt xa động lực tài chính.</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 3.1.3: Biến tầm nhìn thành Văn hóa "Vượt trội"</w:t>
      </w:r>
    </w:p>
    <w:p w:rsidR="00077B19" w:rsidRPr="00077B19" w:rsidRDefault="00077B19" w:rsidP="00077B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Dẫn chứng:</w:t>
      </w:r>
      <w:r w:rsidRPr="00077B19">
        <w:rPr>
          <w:rFonts w:ascii="Times New Roman" w:eastAsia="Times New Roman" w:hAnsi="Times New Roman" w:cs="Times New Roman"/>
          <w:sz w:val="24"/>
          <w:szCs w:val="24"/>
        </w:rPr>
        <w:t xml:space="preserve"> Tầm nhìn sẽ trở nên sáo rỗng nếu không được thực thi. TCB đã biến tầm nhìn thành hành động thông qua văn hóa. Bài báo trên VnEconomy ghi nhận: "Techcombank lan tỏa tích cực thông điệp 'Tiến tới phiên bản vượt trội trong bạn'". Đây là một phần của </w:t>
      </w:r>
      <w:r w:rsidRPr="00077B19">
        <w:rPr>
          <w:rFonts w:ascii="Times New Roman" w:eastAsia="Times New Roman" w:hAnsi="Times New Roman" w:cs="Times New Roman"/>
          <w:b/>
          <w:bCs/>
          <w:sz w:val="24"/>
          <w:szCs w:val="24"/>
        </w:rPr>
        <w:t>"Văn hóa Vượt trội (Make It Better Culture)</w:t>
      </w:r>
      <w:proofErr w:type="gramStart"/>
      <w:r w:rsidRPr="00077B19">
        <w:rPr>
          <w:rFonts w:ascii="Times New Roman" w:eastAsia="Times New Roman" w:hAnsi="Times New Roman" w:cs="Times New Roman"/>
          <w:b/>
          <w:bCs/>
          <w:sz w:val="24"/>
          <w:szCs w:val="24"/>
        </w:rPr>
        <w:t>"</w:t>
      </w:r>
      <w:r w:rsidRPr="00077B19">
        <w:rPr>
          <w:rFonts w:ascii="Times New Roman" w:eastAsia="Times New Roman" w:hAnsi="Times New Roman" w:cs="Times New Roman"/>
          <w:sz w:val="24"/>
          <w:szCs w:val="24"/>
        </w:rPr>
        <w:t xml:space="preserve"> ,</w:t>
      </w:r>
      <w:proofErr w:type="gramEnd"/>
      <w:r w:rsidRPr="00077B19">
        <w:rPr>
          <w:rFonts w:ascii="Times New Roman" w:eastAsia="Times New Roman" w:hAnsi="Times New Roman" w:cs="Times New Roman"/>
          <w:sz w:val="24"/>
          <w:szCs w:val="24"/>
        </w:rPr>
        <w:t xml:space="preserve"> tạo ra "áp lực tích cực" .</w:t>
      </w:r>
    </w:p>
    <w:p w:rsidR="00077B19" w:rsidRPr="00077B19" w:rsidRDefault="00077B19" w:rsidP="00077B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Đây là bước "operationalize" (vận hành hóa) sự lôi cuốn. "Văn hóa Vượt trội" chính là công cụ để biến tầm nhìn "Change lives" thành hành động hàng ngày. Để "change lives", mỗi nhân viên phải "vượt trội" hơn chính mình của ngày hôm qua.</w:t>
      </w:r>
    </w:p>
    <w:p w:rsidR="00077B19" w:rsidRPr="00077B19" w:rsidRDefault="00077B19" w:rsidP="00077B1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"Áp lực tích cực" là một khái niệm then chốt. Nó không phải là áp lực từ sếp (kiểu "Người Điều hành"), mà là áp lực từ chính văn hóa, từ chính thông điệp "nhiệt tình, tự tin" của lãnh đạo. Nó thúc đẩy mỗi cá nhân tự mình đổi mới và cải tiến liên </w:t>
      </w:r>
      <w:proofErr w:type="gramStart"/>
      <w:r w:rsidRPr="00077B19">
        <w:rPr>
          <w:rFonts w:ascii="Times New Roman" w:eastAsia="Times New Roman" w:hAnsi="Times New Roman" w:cs="Times New Roman"/>
          <w:sz w:val="24"/>
          <w:szCs w:val="24"/>
        </w:rPr>
        <w:t>tục .</w:t>
      </w:r>
      <w:proofErr w:type="gramEnd"/>
    </w:p>
    <w:p w:rsidR="00077B19" w:rsidRPr="00077B19" w:rsidRDefault="00077B19" w:rsidP="00077B19">
      <w:pPr>
        <w:spacing w:before="100" w:beforeAutospacing="1" w:after="100" w:afterAutospacing="1" w:line="240" w:lineRule="auto"/>
        <w:outlineLvl w:val="3"/>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3.2. Kích thích Trí tuệ: Thúc đẩy "Doanh nhân nội bộ" &amp; Trao quyền</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Nếu "Lãnh đạo Lôi cuốn" là để nhân viên "TIN", thì "Kích thích Trí tuệ" là để họ "TƯ DUY".</w:t>
      </w:r>
    </w:p>
    <w:p w:rsidR="00077B19" w:rsidRDefault="00077B19" w:rsidP="00077B19">
      <w:pPr>
        <w:spacing w:before="100" w:beforeAutospacing="1" w:after="100" w:afterAutospacing="1" w:line="240" w:lineRule="auto"/>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Phân tích 3.2.1: Thách thức tư duy cũ bằng Dữ liệu</w:t>
      </w:r>
    </w:p>
    <w:p w:rsidR="009F65D6" w:rsidRDefault="009F65D6" w:rsidP="009F65D6">
      <w:pPr>
        <w:spacing w:after="480" w:line="24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0000FF"/>
            <w:sz w:val="24"/>
            <w:szCs w:val="24"/>
            <w:u w:val="single"/>
          </w:rPr>
          <w:t>Lãnh đạo Techcombank: 'Chúng tôi muốn truyền cảm hứng...' (Tạp chí Kinh tế Sài Gòn)</w:t>
        </w:r>
      </w:hyperlink>
    </w:p>
    <w:p w:rsidR="009F65D6" w:rsidRPr="00077B19" w:rsidRDefault="009F65D6" w:rsidP="00077B19">
      <w:pPr>
        <w:spacing w:before="100" w:beforeAutospacing="1" w:after="100" w:afterAutospacing="1" w:line="240" w:lineRule="auto"/>
        <w:rPr>
          <w:rFonts w:ascii="Times New Roman" w:eastAsia="Times New Roman" w:hAnsi="Times New Roman" w:cs="Times New Roman"/>
          <w:sz w:val="24"/>
          <w:szCs w:val="24"/>
        </w:rPr>
      </w:pPr>
    </w:p>
    <w:p w:rsidR="00077B19" w:rsidRPr="00077B19" w:rsidRDefault="00077B19" w:rsidP="00077B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Dẫn chứng:</w:t>
      </w:r>
      <w:r w:rsidRPr="00077B19">
        <w:rPr>
          <w:rFonts w:ascii="Times New Roman" w:eastAsia="Times New Roman" w:hAnsi="Times New Roman" w:cs="Times New Roman"/>
          <w:sz w:val="24"/>
          <w:szCs w:val="24"/>
        </w:rPr>
        <w:t xml:space="preserve"> Tạp chí Kinh tế Sài Gòn viết: "Lãnh đạo yêu cầu mọi quyết định phải dựa trên dữ liệu, định hướng nhân viên chuyển đổi số và dẫn dắt cả hệ sinh thái... theo hướng dữ liệu."</w:t>
      </w:r>
    </w:p>
    <w:p w:rsidR="00077B19" w:rsidRPr="00077B19" w:rsidRDefault="00077B19" w:rsidP="00077B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Đây là định nghĩa hoàn hảo của </w:t>
      </w:r>
      <w:r w:rsidRPr="00077B19">
        <w:rPr>
          <w:rFonts w:ascii="Times New Roman" w:eastAsia="Times New Roman" w:hAnsi="Times New Roman" w:cs="Times New Roman"/>
          <w:b/>
          <w:bCs/>
          <w:sz w:val="24"/>
          <w:szCs w:val="24"/>
        </w:rPr>
        <w:t>"Kích thích Trí tuệ"</w:t>
      </w:r>
      <w:r w:rsidRPr="00077B19">
        <w:rPr>
          <w:rFonts w:ascii="Times New Roman" w:eastAsia="Times New Roman" w:hAnsi="Times New Roman" w:cs="Times New Roman"/>
          <w:sz w:val="24"/>
          <w:szCs w:val="24"/>
        </w:rPr>
        <w:t>. Ban lãnh đạo TCB đang thách thức cách làm việc truyền thống (dựa trên kinh nghiệm, cảm tính, hay "sếp bảo sao làm vậy").</w:t>
      </w:r>
    </w:p>
    <w:p w:rsidR="00077B19" w:rsidRPr="00077B19" w:rsidRDefault="00077B19" w:rsidP="00077B1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lastRenderedPageBreak/>
        <w:t>Họ buộc nhân viên phải "nhìn vấn đề theo cách nhìn mới" – đó là cách nhìn của dữ liệu. "Dữ liệu" trở thành ngôn ngữ chung, một "sự thật" khách quan.</w:t>
      </w:r>
    </w:p>
    <w:p w:rsidR="00077B19" w:rsidRPr="00077B19" w:rsidRDefault="00077B19" w:rsidP="00077B1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Đây là hành động của </w:t>
      </w:r>
      <w:r w:rsidRPr="00077B19">
        <w:rPr>
          <w:rFonts w:ascii="Times New Roman" w:eastAsia="Times New Roman" w:hAnsi="Times New Roman" w:cs="Times New Roman"/>
          <w:b/>
          <w:bCs/>
          <w:sz w:val="24"/>
          <w:szCs w:val="24"/>
        </w:rPr>
        <w:t>"Người Kiến tạo"</w:t>
      </w:r>
      <w:r w:rsidRPr="00077B19">
        <w:rPr>
          <w:rFonts w:ascii="Times New Roman" w:eastAsia="Times New Roman" w:hAnsi="Times New Roman" w:cs="Times New Roman"/>
          <w:sz w:val="24"/>
          <w:szCs w:val="24"/>
        </w:rPr>
        <w:t xml:space="preserve"> tư duy. Họ không chỉ sử dụng báo cáo (như "Người Điều hành"), họ thay đổi fundamentally cách tổ chức ra quyết định, "kiến tạo" một văn hóa dựa trên dữ liệu (data-driven culture).</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 3.2.2: Trao quyền để Sáng tạo (Tinh thần Doanh nhân nội bộ)</w:t>
      </w:r>
    </w:p>
    <w:p w:rsidR="00077B19" w:rsidRPr="00077B19" w:rsidRDefault="00077B19" w:rsidP="00077B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Dẫn chứng:</w:t>
      </w:r>
      <w:r w:rsidRPr="00077B19">
        <w:rPr>
          <w:rFonts w:ascii="Times New Roman" w:eastAsia="Times New Roman" w:hAnsi="Times New Roman" w:cs="Times New Roman"/>
          <w:sz w:val="24"/>
          <w:szCs w:val="24"/>
        </w:rPr>
        <w:t xml:space="preserve"> Nguồn Techcombank.com cho biết lãnh đạo "khuyến khích đổi mới sáng tạo (một trong 5 giá trị cốt lõi)". Điều này liên kết trực tiếp với ví dụ về Jeff Bezos là "khiến nhân viên nghĩ bản thân mình như một người chủ".</w:t>
      </w:r>
    </w:p>
    <w:p w:rsidR="00077B19" w:rsidRPr="00077B19" w:rsidRDefault="00077B19" w:rsidP="00077B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Việc "Kích thích Trí tuệ" bằng dữ liệu (3.2.1) là </w:t>
      </w:r>
      <w:r w:rsidRPr="00077B19">
        <w:rPr>
          <w:rFonts w:ascii="Times New Roman" w:eastAsia="Times New Roman" w:hAnsi="Times New Roman" w:cs="Times New Roman"/>
          <w:i/>
          <w:iCs/>
          <w:sz w:val="24"/>
          <w:szCs w:val="24"/>
        </w:rPr>
        <w:t>điều kiện cần</w:t>
      </w:r>
      <w:r w:rsidRPr="00077B19">
        <w:rPr>
          <w:rFonts w:ascii="Times New Roman" w:eastAsia="Times New Roman" w:hAnsi="Times New Roman" w:cs="Times New Roman"/>
          <w:sz w:val="24"/>
          <w:szCs w:val="24"/>
        </w:rPr>
        <w:t xml:space="preserve">. Việc "Trao quyền" để sáng tạo (3.2.2) là </w:t>
      </w:r>
      <w:r w:rsidRPr="00077B19">
        <w:rPr>
          <w:rFonts w:ascii="Times New Roman" w:eastAsia="Times New Roman" w:hAnsi="Times New Roman" w:cs="Times New Roman"/>
          <w:i/>
          <w:iCs/>
          <w:sz w:val="24"/>
          <w:szCs w:val="24"/>
        </w:rPr>
        <w:t>điều kiện đủ</w:t>
      </w:r>
      <w:r w:rsidRPr="00077B19">
        <w:rPr>
          <w:rFonts w:ascii="Times New Roman" w:eastAsia="Times New Roman" w:hAnsi="Times New Roman" w:cs="Times New Roman"/>
          <w:sz w:val="24"/>
          <w:szCs w:val="24"/>
        </w:rPr>
        <w:t>.</w:t>
      </w:r>
    </w:p>
    <w:p w:rsidR="00077B19" w:rsidRPr="00077B19" w:rsidRDefault="00077B19" w:rsidP="00077B1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Khi bạn trao cho nhân viên </w:t>
      </w:r>
      <w:r w:rsidRPr="00077B19">
        <w:rPr>
          <w:rFonts w:ascii="Times New Roman" w:eastAsia="Times New Roman" w:hAnsi="Times New Roman" w:cs="Times New Roman"/>
          <w:i/>
          <w:iCs/>
          <w:sz w:val="24"/>
          <w:szCs w:val="24"/>
        </w:rPr>
        <w:t>dữ liệu</w:t>
      </w:r>
      <w:r w:rsidRPr="00077B19">
        <w:rPr>
          <w:rFonts w:ascii="Times New Roman" w:eastAsia="Times New Roman" w:hAnsi="Times New Roman" w:cs="Times New Roman"/>
          <w:sz w:val="24"/>
          <w:szCs w:val="24"/>
        </w:rPr>
        <w:t xml:space="preserve"> (để họ tự phân tích) và </w:t>
      </w:r>
      <w:r w:rsidRPr="00077B19">
        <w:rPr>
          <w:rFonts w:ascii="Times New Roman" w:eastAsia="Times New Roman" w:hAnsi="Times New Roman" w:cs="Times New Roman"/>
          <w:i/>
          <w:iCs/>
          <w:sz w:val="24"/>
          <w:szCs w:val="24"/>
        </w:rPr>
        <w:t>sự cho phép</w:t>
      </w:r>
      <w:r w:rsidRPr="00077B19">
        <w:rPr>
          <w:rFonts w:ascii="Times New Roman" w:eastAsia="Times New Roman" w:hAnsi="Times New Roman" w:cs="Times New Roman"/>
          <w:sz w:val="24"/>
          <w:szCs w:val="24"/>
        </w:rPr>
        <w:t xml:space="preserve"> (khuyến khích sáng tạo), bạn đang thúc đẩy tinh thần </w:t>
      </w:r>
      <w:r w:rsidRPr="00077B19">
        <w:rPr>
          <w:rFonts w:ascii="Times New Roman" w:eastAsia="Times New Roman" w:hAnsi="Times New Roman" w:cs="Times New Roman"/>
          <w:b/>
          <w:bCs/>
          <w:sz w:val="24"/>
          <w:szCs w:val="24"/>
        </w:rPr>
        <w:t>"doanh nhân nội bộ" (Intrapreneurship)</w:t>
      </w:r>
      <w:r w:rsidRPr="00077B19">
        <w:rPr>
          <w:rFonts w:ascii="Times New Roman" w:eastAsia="Times New Roman" w:hAnsi="Times New Roman" w:cs="Times New Roman"/>
          <w:sz w:val="24"/>
          <w:szCs w:val="24"/>
        </w:rPr>
        <w:t>.</w:t>
      </w:r>
    </w:p>
    <w:p w:rsidR="00077B19" w:rsidRPr="00077B19" w:rsidRDefault="00077B19" w:rsidP="00077B1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Nhân viên TCB được kỳ vọng hành động như một "người chủ" với công việc của mình: Tự phát hiện vấn đề (qua dữ liệu), tự tìm giải pháp (sáng tạo), và tự mình "Vượt trội" mà không cần chờ chỉ thị chi tiết.</w:t>
      </w:r>
    </w:p>
    <w:p w:rsidR="00077B19" w:rsidRPr="00077B19" w:rsidRDefault="00077B19" w:rsidP="00077B19">
      <w:pPr>
        <w:spacing w:before="100" w:beforeAutospacing="1" w:after="100" w:afterAutospacing="1" w:line="240" w:lineRule="auto"/>
        <w:outlineLvl w:val="3"/>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3.3. Sự quan tâm có tính Phát triển: Kiến tạo Môi trường Hiệu suất cao</w:t>
      </w:r>
    </w:p>
    <w:p w:rsidR="00077B19" w:rsidRPr="00077B19" w:rsidRDefault="00077B19" w:rsidP="00077B19">
      <w:p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Yếu tố cuối cùng là sự tập trung vào con người, không phải theo cách "cảm tính", mà theo cách "có hệ thống" để phát triển và tưởng thưởng.</w:t>
      </w:r>
    </w:p>
    <w:p w:rsidR="00077B19" w:rsidRDefault="00077B19" w:rsidP="00077B19">
      <w:pPr>
        <w:spacing w:before="100" w:beforeAutospacing="1" w:after="100" w:afterAutospacing="1" w:line="240" w:lineRule="auto"/>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Phân tích 3.3.1: Đãi ngộ xứng đáng theo hiệu suất (Pay-for-Performance)</w:t>
      </w:r>
    </w:p>
    <w:p w:rsidR="009F65D6" w:rsidRPr="00077B19" w:rsidRDefault="009F65D6" w:rsidP="00077B19">
      <w:pPr>
        <w:spacing w:before="100" w:beforeAutospacing="1" w:after="100" w:afterAutospacing="1" w:line="240" w:lineRule="auto"/>
        <w:rPr>
          <w:rFonts w:ascii="Times New Roman" w:eastAsia="Times New Roman" w:hAnsi="Times New Roman" w:cs="Times New Roman"/>
          <w:sz w:val="24"/>
          <w:szCs w:val="24"/>
        </w:rPr>
      </w:pPr>
      <w:hyperlink r:id="rId8">
        <w:r>
          <w:rPr>
            <w:rFonts w:ascii="Times New Roman" w:eastAsia="Times New Roman" w:hAnsi="Times New Roman" w:cs="Times New Roman"/>
            <w:color w:val="0000FF"/>
            <w:sz w:val="24"/>
            <w:szCs w:val="24"/>
            <w:u w:val="single"/>
          </w:rPr>
          <w:t>Nhân sự Techcombank có thu nhập bình quân 540 triệu đồng trong năm 2023 (CafeF)</w:t>
        </w:r>
      </w:hyperlink>
    </w:p>
    <w:p w:rsidR="00077B19" w:rsidRPr="00077B19" w:rsidRDefault="00077B19" w:rsidP="00077B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Dẫn chứng:</w:t>
      </w:r>
      <w:r w:rsidRPr="00077B19">
        <w:rPr>
          <w:rFonts w:ascii="Times New Roman" w:eastAsia="Times New Roman" w:hAnsi="Times New Roman" w:cs="Times New Roman"/>
          <w:sz w:val="24"/>
          <w:szCs w:val="24"/>
        </w:rPr>
        <w:t xml:space="preserve"> CafeF đưa tin: "Nhân sự Techcombank có thu nhập bình quân </w:t>
      </w:r>
      <w:r w:rsidRPr="00077B19">
        <w:rPr>
          <w:rFonts w:ascii="Times New Roman" w:eastAsia="Times New Roman" w:hAnsi="Times New Roman" w:cs="Times New Roman"/>
          <w:b/>
          <w:bCs/>
          <w:sz w:val="24"/>
          <w:szCs w:val="24"/>
        </w:rPr>
        <w:t>540 triệu đồng</w:t>
      </w:r>
      <w:r w:rsidRPr="00077B19">
        <w:rPr>
          <w:rFonts w:ascii="Times New Roman" w:eastAsia="Times New Roman" w:hAnsi="Times New Roman" w:cs="Times New Roman"/>
          <w:sz w:val="24"/>
          <w:szCs w:val="24"/>
        </w:rPr>
        <w:t xml:space="preserve"> trong năm 2023." Ngân hàng áp dụng mô hình "Pay-for-Performance (trả lương theo hiệu suất) rõ ràng", và biến thu nhập cạnh tranh thành "bằng chứng cho sự thành công cá nhân".</w:t>
      </w:r>
    </w:p>
    <w:p w:rsidR="00077B19" w:rsidRPr="00077B19" w:rsidRDefault="00077B19" w:rsidP="00077B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Con số 540 triệu/năm (45 triệu/tháng) là một minh chứng vật chất ấn tượng cho </w:t>
      </w:r>
      <w:r w:rsidRPr="00077B19">
        <w:rPr>
          <w:rFonts w:ascii="Times New Roman" w:eastAsia="Times New Roman" w:hAnsi="Times New Roman" w:cs="Times New Roman"/>
          <w:b/>
          <w:bCs/>
          <w:sz w:val="24"/>
          <w:szCs w:val="24"/>
        </w:rPr>
        <w:t>"Sự quan tâm có tính Phát triển"</w:t>
      </w:r>
      <w:r w:rsidRPr="00077B19">
        <w:rPr>
          <w:rFonts w:ascii="Times New Roman" w:eastAsia="Times New Roman" w:hAnsi="Times New Roman" w:cs="Times New Roman"/>
          <w:sz w:val="24"/>
          <w:szCs w:val="24"/>
        </w:rPr>
        <w:t>. Đây là hành động "hỗ trợ và khuyến khích" nhân viên một cách rõ ràng nhất.</w:t>
      </w:r>
    </w:p>
    <w:p w:rsidR="00077B19" w:rsidRPr="00077B19" w:rsidRDefault="00077B19" w:rsidP="00077B1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Tuy nhiên, điểm cốt lõi là "Pay-for-Performance". Sự quan tâm ở đây không phải là "cào bằng". Nó là một hệ thống được </w:t>
      </w:r>
      <w:r w:rsidRPr="00077B19">
        <w:rPr>
          <w:rFonts w:ascii="Times New Roman" w:eastAsia="Times New Roman" w:hAnsi="Times New Roman" w:cs="Times New Roman"/>
          <w:b/>
          <w:bCs/>
          <w:sz w:val="24"/>
          <w:szCs w:val="24"/>
        </w:rPr>
        <w:t>kiến tạo</w:t>
      </w:r>
      <w:r w:rsidRPr="00077B19">
        <w:rPr>
          <w:rFonts w:ascii="Times New Roman" w:eastAsia="Times New Roman" w:hAnsi="Times New Roman" w:cs="Times New Roman"/>
          <w:sz w:val="24"/>
          <w:szCs w:val="24"/>
        </w:rPr>
        <w:t xml:space="preserve"> để đảm bảo sự công bằng: nỗ lực và hiệu suất cá nhân được "đền đáp xứng đáng</w:t>
      </w:r>
      <w:proofErr w:type="gramStart"/>
      <w:r w:rsidRPr="00077B19">
        <w:rPr>
          <w:rFonts w:ascii="Times New Roman" w:eastAsia="Times New Roman" w:hAnsi="Times New Roman" w:cs="Times New Roman"/>
          <w:sz w:val="24"/>
          <w:szCs w:val="24"/>
        </w:rPr>
        <w:t>" .</w:t>
      </w:r>
      <w:proofErr w:type="gramEnd"/>
    </w:p>
    <w:p w:rsidR="00077B19" w:rsidRPr="00077B19" w:rsidRDefault="00077B19" w:rsidP="00077B1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 xml:space="preserve">Cụm từ "bằng chứng cho sự thành công cá nhân" rất quan trọng. Nó cho thấy TCB hiểu rằng lương không chỉ để chi tiêu; lương là sự </w:t>
      </w:r>
      <w:r w:rsidRPr="00077B19">
        <w:rPr>
          <w:rFonts w:ascii="Times New Roman" w:eastAsia="Times New Roman" w:hAnsi="Times New Roman" w:cs="Times New Roman"/>
          <w:i/>
          <w:iCs/>
          <w:sz w:val="24"/>
          <w:szCs w:val="24"/>
        </w:rPr>
        <w:t>công nhận</w:t>
      </w:r>
      <w:r w:rsidRPr="00077B19">
        <w:rPr>
          <w:rFonts w:ascii="Times New Roman" w:eastAsia="Times New Roman" w:hAnsi="Times New Roman" w:cs="Times New Roman"/>
          <w:sz w:val="24"/>
          <w:szCs w:val="24"/>
        </w:rPr>
        <w:t>.</w:t>
      </w:r>
    </w:p>
    <w:p w:rsidR="00077B19" w:rsidRDefault="00077B19" w:rsidP="00077B19">
      <w:pPr>
        <w:spacing w:before="100" w:beforeAutospacing="1" w:after="100" w:afterAutospacing="1" w:line="240" w:lineRule="auto"/>
        <w:rPr>
          <w:rFonts w:ascii="Times New Roman" w:eastAsia="Times New Roman" w:hAnsi="Times New Roman" w:cs="Times New Roman"/>
          <w:b/>
          <w:bCs/>
          <w:sz w:val="24"/>
          <w:szCs w:val="24"/>
        </w:rPr>
      </w:pPr>
      <w:r w:rsidRPr="00077B19">
        <w:rPr>
          <w:rFonts w:ascii="Times New Roman" w:eastAsia="Times New Roman" w:hAnsi="Times New Roman" w:cs="Times New Roman"/>
          <w:b/>
          <w:bCs/>
          <w:sz w:val="24"/>
          <w:szCs w:val="24"/>
        </w:rPr>
        <w:t>Phân tích 3.3.2: Huấn luyện (Coaching) và Công bằng</w:t>
      </w:r>
    </w:p>
    <w:p w:rsidR="009F65D6" w:rsidRDefault="009F65D6" w:rsidP="009F65D6">
      <w:pPr>
        <w:spacing w:after="480" w:line="240" w:lineRule="auto"/>
        <w:rPr>
          <w:rFonts w:ascii="Times New Roman" w:eastAsia="Times New Roman" w:hAnsi="Times New Roman" w:cs="Times New Roman"/>
          <w:sz w:val="24"/>
          <w:szCs w:val="24"/>
        </w:rPr>
      </w:pPr>
      <w:hyperlink r:id="rId9">
        <w:r>
          <w:rPr>
            <w:rFonts w:ascii="Times New Roman" w:eastAsia="Times New Roman" w:hAnsi="Times New Roman" w:cs="Times New Roman"/>
            <w:color w:val="0000FF"/>
            <w:sz w:val="24"/>
            <w:szCs w:val="24"/>
            <w:u w:val="single"/>
          </w:rPr>
          <w:t>Nhân lực chất lượng cao giúp ngân hàng phát triển bền vững (Techcombank.com)</w:t>
        </w:r>
      </w:hyperlink>
    </w:p>
    <w:p w:rsidR="009F65D6" w:rsidRPr="00077B19" w:rsidRDefault="009F65D6" w:rsidP="00077B19">
      <w:pPr>
        <w:spacing w:before="100" w:beforeAutospacing="1" w:after="100" w:afterAutospacing="1" w:line="240" w:lineRule="auto"/>
        <w:rPr>
          <w:rFonts w:ascii="Times New Roman" w:eastAsia="Times New Roman" w:hAnsi="Times New Roman" w:cs="Times New Roman"/>
          <w:sz w:val="24"/>
          <w:szCs w:val="24"/>
        </w:rPr>
      </w:pPr>
    </w:p>
    <w:p w:rsidR="00077B19" w:rsidRPr="00077B19" w:rsidRDefault="00077B19" w:rsidP="00077B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Dẫn chứng:</w:t>
      </w:r>
      <w:r w:rsidRPr="00077B19">
        <w:rPr>
          <w:rFonts w:ascii="Times New Roman" w:eastAsia="Times New Roman" w:hAnsi="Times New Roman" w:cs="Times New Roman"/>
          <w:sz w:val="24"/>
          <w:szCs w:val="24"/>
        </w:rPr>
        <w:t xml:space="preserve"> Tiền không phải là tất cả. Nguồn Techcombank.com ghi nhận: "Ban lãnh đạo tham gia trực tiếp và huấn luyện (coaching)...", đồng thời khẳng định mọi thứ đều "Rất minh bạch và công bằng cho tất cả mọi người."</w:t>
      </w:r>
    </w:p>
    <w:p w:rsidR="00077B19" w:rsidRPr="00077B19" w:rsidRDefault="00077B19" w:rsidP="00077B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b/>
          <w:bCs/>
          <w:sz w:val="24"/>
          <w:szCs w:val="24"/>
        </w:rPr>
        <w:t>Phân tích:</w:t>
      </w:r>
    </w:p>
    <w:p w:rsidR="00077B19" w:rsidRPr="00077B19" w:rsidRDefault="00077B19" w:rsidP="00077B1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Nếu "Pay-for-Performance" (3.3.1) là phần thưởng (Reward), thì "Coaching" là phần "Phát triển" (Development).</w:t>
      </w:r>
    </w:p>
    <w:p w:rsidR="00077B19" w:rsidRPr="00077B19" w:rsidRDefault="00077B19" w:rsidP="00077B1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Việc "Ban lãnh đạo tham gia trực tiếp và huấn luyện" chính là hành vi "giúp họ phát triển và trưởng thành" điển hình. Lãnh đạo TCB không chỉ "trả tiền" cho hiệu suất, họ "đầu tư thời gian" để giúp nhân viên đạt được hiệu suất đó.</w:t>
      </w:r>
    </w:p>
    <w:p w:rsidR="00077B19" w:rsidRDefault="00077B19" w:rsidP="00077B1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77B19">
        <w:rPr>
          <w:rFonts w:ascii="Times New Roman" w:eastAsia="Times New Roman" w:hAnsi="Times New Roman" w:cs="Times New Roman"/>
          <w:sz w:val="24"/>
          <w:szCs w:val="24"/>
        </w:rPr>
        <w:t>Sự "minh bạch và công bằng" là chất keo gắn kết tất cả. Nó đảm bảo rằng hệ thống "Pay-for-Performance" và "Coaching" được tin tưởng, giúp nhân viên "hiểu rõ con đường phát triển" và cam kết gắn bó.</w:t>
      </w:r>
    </w:p>
    <w:p w:rsidR="009F65D6" w:rsidRDefault="009F65D6" w:rsidP="009F65D6">
      <w:pPr>
        <w:pStyle w:val="Heading4"/>
      </w:pPr>
      <w:r>
        <w:t>3.4. Bằng chứng về Hiệu quả Lãnh đạo (Số liệu tổng hợp)</w:t>
      </w:r>
    </w:p>
    <w:p w:rsidR="009F65D6" w:rsidRDefault="009F65D6" w:rsidP="009F65D6">
      <w:pPr>
        <w:pStyle w:val="Heading4"/>
      </w:pPr>
      <w:hyperlink r:id="rId10" w:history="1">
        <w:r w:rsidRPr="00B7628D">
          <w:rPr>
            <w:rStyle w:val="Hyperlink"/>
            <w:rFonts w:ascii="Roboto Mono" w:eastAsia="Roboto Mono" w:hAnsi="Roboto Mono" w:cs="Roboto Mono"/>
          </w:rPr>
          <w:t>https://techcombank.com/content/dam/techcombank/public-site/documents/1-bao-cao-ket-qua-kinh-doanh-2024-and-ke-hoach-kinh-doanh-2025.pdf</w:t>
        </w:r>
      </w:hyperlink>
      <w:r>
        <w:rPr>
          <w:rFonts w:ascii="Roboto Mono" w:eastAsia="Roboto Mono" w:hAnsi="Roboto Mono" w:cs="Roboto Mono"/>
          <w:color w:val="188038"/>
        </w:rPr>
        <w:t xml:space="preserve"> </w:t>
      </w:r>
      <w:r>
        <w:rPr>
          <w:rFonts w:ascii="Roboto Mono" w:eastAsia="Roboto Mono" w:hAnsi="Roboto Mono" w:cs="Roboto Mono"/>
          <w:color w:val="188038"/>
        </w:rPr>
        <w:br/>
        <w:t>(BÁO CÁO HOẠT ĐỘNG năm 2024)</w:t>
      </w:r>
    </w:p>
    <w:p w:rsidR="009F65D6" w:rsidRDefault="009F65D6" w:rsidP="009F65D6">
      <w:pPr>
        <w:pStyle w:val="NormalWeb"/>
      </w:pPr>
      <w:r>
        <w:t>Một phong cách lãnh đạo chỉ thực sự hiệu quả khi nó tạo ra kết quả.</w:t>
      </w:r>
    </w:p>
    <w:p w:rsidR="009F65D6" w:rsidRDefault="009F65D6" w:rsidP="009F65D6">
      <w:pPr>
        <w:pStyle w:val="NormalWeb"/>
        <w:numPr>
          <w:ilvl w:val="0"/>
          <w:numId w:val="19"/>
        </w:numPr>
      </w:pPr>
      <w:r>
        <w:rPr>
          <w:b/>
          <w:bCs/>
        </w:rPr>
        <w:t>Dẫn chứng:</w:t>
      </w:r>
      <w:r>
        <w:t xml:space="preserve"> Báo cáo hoạt động 2024 chỉ ra một loạt các con số "số 1":</w:t>
      </w:r>
    </w:p>
    <w:p w:rsidR="009F65D6" w:rsidRDefault="009F65D6" w:rsidP="009F65D6">
      <w:pPr>
        <w:pStyle w:val="NormalWeb"/>
        <w:numPr>
          <w:ilvl w:val="1"/>
          <w:numId w:val="19"/>
        </w:numPr>
      </w:pPr>
      <w:r>
        <w:t xml:space="preserve">#1 tỷ lệ CASA (tiền gửi không kỳ hạn) đạt </w:t>
      </w:r>
      <w:r>
        <w:rPr>
          <w:b/>
          <w:bCs/>
        </w:rPr>
        <w:t>40,9%</w:t>
      </w:r>
      <w:r>
        <w:t>.</w:t>
      </w:r>
    </w:p>
    <w:p w:rsidR="009F65D6" w:rsidRDefault="009F65D6" w:rsidP="009F65D6">
      <w:pPr>
        <w:pStyle w:val="NormalWeb"/>
        <w:numPr>
          <w:ilvl w:val="1"/>
          <w:numId w:val="19"/>
        </w:numPr>
      </w:pPr>
      <w:r>
        <w:t xml:space="preserve">Số dư CASA tăng trưởng ấn tượng </w:t>
      </w:r>
      <w:r>
        <w:rPr>
          <w:b/>
          <w:bCs/>
        </w:rPr>
        <w:t>27,2%</w:t>
      </w:r>
      <w:r>
        <w:t xml:space="preserve"> so với cuối năm trước.</w:t>
      </w:r>
    </w:p>
    <w:p w:rsidR="009F65D6" w:rsidRDefault="009F65D6" w:rsidP="009F65D6">
      <w:pPr>
        <w:pStyle w:val="NormalWeb"/>
        <w:numPr>
          <w:ilvl w:val="1"/>
          <w:numId w:val="19"/>
        </w:numPr>
      </w:pPr>
      <w:r>
        <w:t>#1 về thị phần giao dịch thanh toán thẻ Visa (ước tính 28%).</w:t>
      </w:r>
    </w:p>
    <w:p w:rsidR="009F65D6" w:rsidRDefault="009F65D6" w:rsidP="009F65D6">
      <w:pPr>
        <w:pStyle w:val="NormalWeb"/>
        <w:numPr>
          <w:ilvl w:val="1"/>
          <w:numId w:val="19"/>
        </w:numPr>
      </w:pPr>
      <w:r>
        <w:t>#1 về quản lý gia sản và #1 về tư vấn trái phiếu.</w:t>
      </w:r>
    </w:p>
    <w:p w:rsidR="009F65D6" w:rsidRDefault="009F65D6" w:rsidP="009F65D6">
      <w:pPr>
        <w:pStyle w:val="NormalWeb"/>
        <w:numPr>
          <w:ilvl w:val="0"/>
          <w:numId w:val="19"/>
        </w:numPr>
      </w:pPr>
      <w:r>
        <w:rPr>
          <w:b/>
          <w:bCs/>
        </w:rPr>
        <w:t>Phân tích:</w:t>
      </w:r>
    </w:p>
    <w:p w:rsidR="009F65D6" w:rsidRDefault="009F65D6" w:rsidP="009F65D6">
      <w:pPr>
        <w:pStyle w:val="NormalWeb"/>
        <w:numPr>
          <w:ilvl w:val="1"/>
          <w:numId w:val="19"/>
        </w:numPr>
      </w:pPr>
      <w:r>
        <w:t>Những con số "vô địch" này không phải là ngẫu nhiên. Chúng là hệ quả trực tiếp của một tổ chức được lãnh đạo hiệu quả.</w:t>
      </w:r>
    </w:p>
    <w:p w:rsidR="009F65D6" w:rsidRDefault="009F65D6" w:rsidP="009F65D6">
      <w:pPr>
        <w:pStyle w:val="NormalWeb"/>
        <w:numPr>
          <w:ilvl w:val="1"/>
          <w:numId w:val="19"/>
        </w:numPr>
      </w:pPr>
      <w:r>
        <w:t>Tỷ lệ CASA 40.9% là một ví dụ điển hình. Để đạt được CASA cao, ngân hàng phải có sản phẩm vượt trội, dịch vụ thuận tiện và niềm tin khách hàng. Điều này chỉ có thể đến từ một đội ngũ:</w:t>
      </w:r>
    </w:p>
    <w:p w:rsidR="009F65D6" w:rsidRDefault="009F65D6" w:rsidP="009F65D6">
      <w:pPr>
        <w:pStyle w:val="NormalWeb"/>
        <w:numPr>
          <w:ilvl w:val="2"/>
          <w:numId w:val="19"/>
        </w:numPr>
      </w:pPr>
      <w:r>
        <w:rPr>
          <w:b/>
          <w:bCs/>
        </w:rPr>
        <w:t>Tin</w:t>
      </w:r>
      <w:r>
        <w:t xml:space="preserve"> vào tầm nhìn "Change lives" (3.1.2) để phục vụ khách hàng.</w:t>
      </w:r>
    </w:p>
    <w:p w:rsidR="009F65D6" w:rsidRDefault="009F65D6" w:rsidP="009F65D6">
      <w:pPr>
        <w:pStyle w:val="NormalWeb"/>
        <w:numPr>
          <w:ilvl w:val="2"/>
          <w:numId w:val="19"/>
        </w:numPr>
      </w:pPr>
      <w:r>
        <w:t xml:space="preserve">Sử dụng </w:t>
      </w:r>
      <w:r>
        <w:rPr>
          <w:b/>
          <w:bCs/>
        </w:rPr>
        <w:t>dữ liệu</w:t>
      </w:r>
      <w:r>
        <w:t xml:space="preserve"> (3.2.1) để hiểu nhu cầu khách hàng.</w:t>
      </w:r>
    </w:p>
    <w:p w:rsidR="009F65D6" w:rsidRDefault="009F65D6" w:rsidP="009F65D6">
      <w:pPr>
        <w:pStyle w:val="NormalWeb"/>
        <w:numPr>
          <w:ilvl w:val="2"/>
          <w:numId w:val="19"/>
        </w:numPr>
      </w:pPr>
      <w:r>
        <w:t xml:space="preserve">Được </w:t>
      </w:r>
      <w:r>
        <w:rPr>
          <w:b/>
          <w:bCs/>
        </w:rPr>
        <w:t>trao quyền</w:t>
      </w:r>
      <w:r>
        <w:t xml:space="preserve"> (3.2.2) để "sáng tạo" các giải pháp.</w:t>
      </w:r>
    </w:p>
    <w:p w:rsidR="009F65D6" w:rsidRDefault="009F65D6" w:rsidP="009F65D6">
      <w:pPr>
        <w:pStyle w:val="NormalWeb"/>
        <w:numPr>
          <w:ilvl w:val="2"/>
          <w:numId w:val="19"/>
        </w:numPr>
      </w:pPr>
      <w:r>
        <w:t xml:space="preserve">Được </w:t>
      </w:r>
      <w:r>
        <w:rPr>
          <w:b/>
          <w:bCs/>
        </w:rPr>
        <w:t>động viên</w:t>
      </w:r>
      <w:r>
        <w:t xml:space="preserve"> bằng "Văn hóa Vượt trội" (3.1.3) và </w:t>
      </w:r>
      <w:r>
        <w:rPr>
          <w:b/>
          <w:bCs/>
        </w:rPr>
        <w:t>đãi ngộ</w:t>
      </w:r>
      <w:r>
        <w:t xml:space="preserve"> xứng đáng (3.3.1).</w:t>
      </w:r>
    </w:p>
    <w:p w:rsidR="009F65D6" w:rsidRDefault="009F65D6" w:rsidP="009F65D6">
      <w:pPr>
        <w:pStyle w:val="NormalWeb"/>
        <w:numPr>
          <w:ilvl w:val="1"/>
          <w:numId w:val="19"/>
        </w:numPr>
      </w:pPr>
      <w:r>
        <w:t>Nói cách khác, các kết quả kinh doanh này chính là bằng chứng xác thực nhất, chứng minh 3 trụ cột Lãnh đạo Chuyển đổi đã được TCB thực thi thành công.</w:t>
      </w:r>
    </w:p>
    <w:p w:rsidR="009F65D6" w:rsidRPr="00077B19" w:rsidRDefault="009F65D6" w:rsidP="009F65D6">
      <w:pPr>
        <w:spacing w:before="100" w:beforeAutospacing="1" w:after="100" w:afterAutospacing="1" w:line="240" w:lineRule="auto"/>
        <w:rPr>
          <w:rFonts w:ascii="Times New Roman" w:eastAsia="Times New Roman" w:hAnsi="Times New Roman" w:cs="Times New Roman"/>
          <w:sz w:val="24"/>
          <w:szCs w:val="24"/>
        </w:rPr>
      </w:pPr>
    </w:p>
    <w:p w:rsidR="00404B13" w:rsidRPr="00077B19" w:rsidRDefault="00404B13" w:rsidP="00077B19"/>
    <w:sectPr w:rsidR="00404B13" w:rsidRPr="00077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3598"/>
    <w:multiLevelType w:val="multilevel"/>
    <w:tmpl w:val="75C2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21C1"/>
    <w:multiLevelType w:val="multilevel"/>
    <w:tmpl w:val="31B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6ADC"/>
    <w:multiLevelType w:val="multilevel"/>
    <w:tmpl w:val="76D6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990"/>
    <w:multiLevelType w:val="multilevel"/>
    <w:tmpl w:val="8A068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6502D"/>
    <w:multiLevelType w:val="multilevel"/>
    <w:tmpl w:val="403E0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E4EF1"/>
    <w:multiLevelType w:val="multilevel"/>
    <w:tmpl w:val="4EF6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25C1C"/>
    <w:multiLevelType w:val="multilevel"/>
    <w:tmpl w:val="E196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51FB5"/>
    <w:multiLevelType w:val="multilevel"/>
    <w:tmpl w:val="1C924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11F82"/>
    <w:multiLevelType w:val="multilevel"/>
    <w:tmpl w:val="D06EA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34264"/>
    <w:multiLevelType w:val="multilevel"/>
    <w:tmpl w:val="88C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F5833"/>
    <w:multiLevelType w:val="multilevel"/>
    <w:tmpl w:val="B5C26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807C2"/>
    <w:multiLevelType w:val="multilevel"/>
    <w:tmpl w:val="7EDA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455A9"/>
    <w:multiLevelType w:val="multilevel"/>
    <w:tmpl w:val="D63C4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4351F"/>
    <w:multiLevelType w:val="multilevel"/>
    <w:tmpl w:val="4FD2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16AE8"/>
    <w:multiLevelType w:val="multilevel"/>
    <w:tmpl w:val="367A3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13"/>
    <w:lvlOverride w:ilvl="2">
      <w:startOverride w:val="1"/>
    </w:lvlOverride>
  </w:num>
  <w:num w:numId="4">
    <w:abstractNumId w:val="13"/>
    <w:lvlOverride w:ilvl="2">
      <w:startOverride w:val="1"/>
    </w:lvlOverride>
  </w:num>
  <w:num w:numId="5">
    <w:abstractNumId w:val="9"/>
  </w:num>
  <w:num w:numId="6">
    <w:abstractNumId w:val="9"/>
    <w:lvlOverride w:ilvl="2">
      <w:startOverride w:val="1"/>
    </w:lvlOverride>
  </w:num>
  <w:num w:numId="7">
    <w:abstractNumId w:val="3"/>
  </w:num>
  <w:num w:numId="8">
    <w:abstractNumId w:val="3"/>
    <w:lvlOverride w:ilvl="2">
      <w:startOverride w:val="1"/>
    </w:lvlOverride>
  </w:num>
  <w:num w:numId="9">
    <w:abstractNumId w:val="7"/>
  </w:num>
  <w:num w:numId="10">
    <w:abstractNumId w:val="1"/>
  </w:num>
  <w:num w:numId="11">
    <w:abstractNumId w:val="6"/>
  </w:num>
  <w:num w:numId="12">
    <w:abstractNumId w:val="0"/>
  </w:num>
  <w:num w:numId="13">
    <w:abstractNumId w:val="8"/>
  </w:num>
  <w:num w:numId="14">
    <w:abstractNumId w:val="5"/>
  </w:num>
  <w:num w:numId="15">
    <w:abstractNumId w:val="12"/>
  </w:num>
  <w:num w:numId="16">
    <w:abstractNumId w:val="2"/>
  </w:num>
  <w:num w:numId="17">
    <w:abstractNumId w:val="11"/>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61"/>
    <w:rsid w:val="00077B19"/>
    <w:rsid w:val="00404B13"/>
    <w:rsid w:val="00800A61"/>
    <w:rsid w:val="009F6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950E"/>
  <w15:chartTrackingRefBased/>
  <w15:docId w15:val="{9FEC32D8-963F-4023-9EB2-13B7E41D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00A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00A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0A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00A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00A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5">
    <w:name w:val="citation-235"/>
    <w:basedOn w:val="DefaultParagraphFont"/>
    <w:rsid w:val="00800A61"/>
  </w:style>
  <w:style w:type="character" w:customStyle="1" w:styleId="citation-234">
    <w:name w:val="citation-234"/>
    <w:basedOn w:val="DefaultParagraphFont"/>
    <w:rsid w:val="00800A61"/>
  </w:style>
  <w:style w:type="character" w:customStyle="1" w:styleId="citation-233">
    <w:name w:val="citation-233"/>
    <w:basedOn w:val="DefaultParagraphFont"/>
    <w:rsid w:val="00800A61"/>
  </w:style>
  <w:style w:type="character" w:customStyle="1" w:styleId="citation-232">
    <w:name w:val="citation-232"/>
    <w:basedOn w:val="DefaultParagraphFont"/>
    <w:rsid w:val="00800A61"/>
  </w:style>
  <w:style w:type="character" w:customStyle="1" w:styleId="citation-231">
    <w:name w:val="citation-231"/>
    <w:basedOn w:val="DefaultParagraphFont"/>
    <w:rsid w:val="00800A61"/>
  </w:style>
  <w:style w:type="character" w:customStyle="1" w:styleId="citation-230">
    <w:name w:val="citation-230"/>
    <w:basedOn w:val="DefaultParagraphFont"/>
    <w:rsid w:val="00800A61"/>
  </w:style>
  <w:style w:type="character" w:customStyle="1" w:styleId="citation-229">
    <w:name w:val="citation-229"/>
    <w:basedOn w:val="DefaultParagraphFont"/>
    <w:rsid w:val="00800A61"/>
  </w:style>
  <w:style w:type="character" w:customStyle="1" w:styleId="citation-228">
    <w:name w:val="citation-228"/>
    <w:basedOn w:val="DefaultParagraphFont"/>
    <w:rsid w:val="00800A61"/>
  </w:style>
  <w:style w:type="character" w:customStyle="1" w:styleId="citation-227">
    <w:name w:val="citation-227"/>
    <w:basedOn w:val="DefaultParagraphFont"/>
    <w:rsid w:val="00800A61"/>
  </w:style>
  <w:style w:type="character" w:customStyle="1" w:styleId="citation-226">
    <w:name w:val="citation-226"/>
    <w:basedOn w:val="DefaultParagraphFont"/>
    <w:rsid w:val="00800A61"/>
  </w:style>
  <w:style w:type="character" w:customStyle="1" w:styleId="citation-225">
    <w:name w:val="citation-225"/>
    <w:basedOn w:val="DefaultParagraphFont"/>
    <w:rsid w:val="00800A61"/>
  </w:style>
  <w:style w:type="character" w:customStyle="1" w:styleId="citation-224">
    <w:name w:val="citation-224"/>
    <w:basedOn w:val="DefaultParagraphFont"/>
    <w:rsid w:val="00800A61"/>
  </w:style>
  <w:style w:type="character" w:customStyle="1" w:styleId="citation-223">
    <w:name w:val="citation-223"/>
    <w:basedOn w:val="DefaultParagraphFont"/>
    <w:rsid w:val="00800A61"/>
  </w:style>
  <w:style w:type="character" w:customStyle="1" w:styleId="citation-222">
    <w:name w:val="citation-222"/>
    <w:basedOn w:val="DefaultParagraphFont"/>
    <w:rsid w:val="00800A61"/>
  </w:style>
  <w:style w:type="character" w:customStyle="1" w:styleId="citation-221">
    <w:name w:val="citation-221"/>
    <w:basedOn w:val="DefaultParagraphFont"/>
    <w:rsid w:val="00800A61"/>
  </w:style>
  <w:style w:type="character" w:customStyle="1" w:styleId="citation-220">
    <w:name w:val="citation-220"/>
    <w:basedOn w:val="DefaultParagraphFont"/>
    <w:rsid w:val="00800A61"/>
  </w:style>
  <w:style w:type="character" w:customStyle="1" w:styleId="citation-219">
    <w:name w:val="citation-219"/>
    <w:basedOn w:val="DefaultParagraphFont"/>
    <w:rsid w:val="00800A61"/>
  </w:style>
  <w:style w:type="character" w:customStyle="1" w:styleId="citation-218">
    <w:name w:val="citation-218"/>
    <w:basedOn w:val="DefaultParagraphFont"/>
    <w:rsid w:val="00800A61"/>
  </w:style>
  <w:style w:type="character" w:styleId="Hyperlink">
    <w:name w:val="Hyperlink"/>
    <w:basedOn w:val="DefaultParagraphFont"/>
    <w:uiPriority w:val="99"/>
    <w:unhideWhenUsed/>
    <w:rsid w:val="009F65D6"/>
    <w:rPr>
      <w:color w:val="0563C1" w:themeColor="hyperlink"/>
      <w:u w:val="single"/>
    </w:rPr>
  </w:style>
  <w:style w:type="character" w:styleId="UnresolvedMention">
    <w:name w:val="Unresolved Mention"/>
    <w:basedOn w:val="DefaultParagraphFont"/>
    <w:uiPriority w:val="99"/>
    <w:semiHidden/>
    <w:unhideWhenUsed/>
    <w:rsid w:val="009F6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72476">
      <w:bodyDiv w:val="1"/>
      <w:marLeft w:val="0"/>
      <w:marRight w:val="0"/>
      <w:marTop w:val="0"/>
      <w:marBottom w:val="0"/>
      <w:divBdr>
        <w:top w:val="none" w:sz="0" w:space="0" w:color="auto"/>
        <w:left w:val="none" w:sz="0" w:space="0" w:color="auto"/>
        <w:bottom w:val="none" w:sz="0" w:space="0" w:color="auto"/>
        <w:right w:val="none" w:sz="0" w:space="0" w:color="auto"/>
      </w:divBdr>
    </w:div>
    <w:div w:id="660498686">
      <w:bodyDiv w:val="1"/>
      <w:marLeft w:val="0"/>
      <w:marRight w:val="0"/>
      <w:marTop w:val="0"/>
      <w:marBottom w:val="0"/>
      <w:divBdr>
        <w:top w:val="none" w:sz="0" w:space="0" w:color="auto"/>
        <w:left w:val="none" w:sz="0" w:space="0" w:color="auto"/>
        <w:bottom w:val="none" w:sz="0" w:space="0" w:color="auto"/>
        <w:right w:val="none" w:sz="0" w:space="0" w:color="auto"/>
      </w:divBdr>
    </w:div>
    <w:div w:id="185310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fef.vn/nhan-su-techcombank-co-thu-nhap-binh-quan-540-trieu-dong-trong-nam-2023-gap-25-lan-sau-10-nam-188240123174501484.chn" TargetMode="External"/><Relationship Id="rId3" Type="http://schemas.openxmlformats.org/officeDocument/2006/relationships/settings" Target="settings.xml"/><Relationship Id="rId7" Type="http://schemas.openxmlformats.org/officeDocument/2006/relationships/hyperlink" Target="https://thesaigontimes.vn/lanh-dao-techcombank-chung-toi-muon-truyen-cam-hung-tao-dieu-kien-tot-nhat-de-tieu-thuong-vung-vang-hon-trong-thoi-dai-s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combankjobs.com/content/Who-We-Are-VN/?locale=vi_VN" TargetMode="External"/><Relationship Id="rId11" Type="http://schemas.openxmlformats.org/officeDocument/2006/relationships/fontTable" Target="fontTable.xml"/><Relationship Id="rId5" Type="http://schemas.openxmlformats.org/officeDocument/2006/relationships/hyperlink" Target="https://techcombank.com/content/dam/techcombank/public-site/imported-assets/Bao_cao_thuong_nien_nam_2016_77a58387e8_7459d2266e.pdf" TargetMode="External"/><Relationship Id="rId10" Type="http://schemas.openxmlformats.org/officeDocument/2006/relationships/hyperlink" Target="https://techcombank.com/content/dam/techcombank/public-site/documents/1-bao-cao-ket-qua-kinh-doanh-2024-and-ke-hoach-kinh-doanh-2025.pdf" TargetMode="External"/><Relationship Id="rId4" Type="http://schemas.openxmlformats.org/officeDocument/2006/relationships/webSettings" Target="webSettings.xml"/><Relationship Id="rId9" Type="http://schemas.openxmlformats.org/officeDocument/2006/relationships/hyperlink" Target="https://techcombank.com/thong-tin/thong-bao/nhan-luc-chat-luong-cao-giup-ngan-hang-phat-trien-ben-v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nguyen</dc:creator>
  <cp:keywords/>
  <dc:description/>
  <cp:lastModifiedBy>phong nguyen</cp:lastModifiedBy>
  <cp:revision>1</cp:revision>
  <dcterms:created xsi:type="dcterms:W3CDTF">2025-11-01T12:25:00Z</dcterms:created>
  <dcterms:modified xsi:type="dcterms:W3CDTF">2025-11-01T13:02:00Z</dcterms:modified>
</cp:coreProperties>
</file>