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Hairapy — CP4: Phần Chi phí (Expenses) 2027–2031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Nội dung slide dùng để trình bày phần Expenses trong bài Checkpoint 4 (EXE101). Copy trực tiếp vào PowerPoint/Canva, chỉnh layout theo template chung của nhóm.</w:t>
      </w:r>
    </w:p>
    <w:p>
      <w:pPr>
        <w:pStyle w:val="Heading1"/>
        <w:spacing w:after="150" w:before="300"/>
      </w:pPr>
      <w:r>
        <w:t xml:space="preserve">Slide 1 — Cấu trúc chi phí tổng quan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P&amp;L Expenses gồm 2 khối: Chi phí một lần 2026 (COGS: thành lập DN, thương hiệu, MVP — đã = 0 từ 2027 vì phát sinh trước) và Chi phí vận hành hàng năm (Công nghệ &amp; Hạ tầng + Marketing/Sales/CSKH/Pháp lý/R&amp;D).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Tổng chi phí vận hành tăng từ 302,5 triệu (2027) lên 1,25 tỷ (2031) — gấp ~4,1 lần sau 5 năm.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Trong khi đó doanh thu tăng ~134 lần cùng giai đoạn → chi phí KHÔNG phải nút thắt tăng trưởng, mô hình có đòn bẩy vận hành mạnh (đặc thù SaaS/app di động).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500"/>
        <w:gridCol w:w="1500"/>
      </w:tblGrid>
      <w:tr>
        <w:tc>
          <w:tcPr>
            <w:tcW w:type="dxa" w:w="26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Chỉ tiêu (VNĐ)</w:t>
            </w:r>
          </w:p>
        </w:tc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2027</w:t>
            </w:r>
          </w:p>
        </w:tc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2028</w:t>
            </w:r>
          </w:p>
        </w:tc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2029</w:t>
            </w:r>
          </w:p>
        </w:tc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2030</w:t>
            </w:r>
          </w:p>
        </w:tc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2031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Tổng chi phí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302.460.000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869.360.000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1.171.785.000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1.233.199.000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1.249.581.000</w:t>
            </w:r>
          </w:p>
        </w:tc>
      </w:tr>
    </w:tbl>
    <w:p>
      <w:pPr>
        <w:pStyle w:val="Heading1"/>
        <w:spacing w:after="150" w:before="300"/>
      </w:pPr>
      <w:r>
        <w:t xml:space="preserve">Slide 2 — Công nghệ &amp; Hạ tầng — hạng mục lớn nhất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Dùng API bên thứ 3: Railway/Vercel/Supabase (hạ tầng), Cloudinary (lưu ảnh, tự xoá sau 24h), PayOS (thanh toán), AILabTools (Face Mesh + Hair Swap) — không tự train AI, giữ chi phí biến đổi thay vì đầu tư hạ tầng cố định.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Tăng từ 209 triệu (2027) lên 1,148 tỷ (2031) — do các nhà cung cấp tự nâng bậc giá (tier) theo số user/khối lượng request.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Tỷ trọng trong tổng chi phí: 69% (2027) → 92% (2031) — phản ánh đúng bản chất mô hình 'AI-as-a-service', không phải chi phí nhân sự hay marketing.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Ghi chú: chi phí hạ tầng/user có xu hướng GIẢM dần theo quy mô nhờ bậc giá bulk-discount — điểm mạnh để nhấn khi trình bày unit economics (xem thêm file Funnel &amp; Chi phí hạ tầng).</w:t>
      </w:r>
    </w:p>
    <w:p>
      <w:pPr>
        <w:pStyle w:val="Heading1"/>
        <w:spacing w:after="150" w:before="300"/>
      </w:pPr>
      <w:r>
        <w:t xml:space="preserve">Slide 3 — SG&amp;A — chiến lược chi tiêu tinh gọn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Marketing + Sales + Customer success + Pháp lý + R&amp;D: neo CỐ ĐỊNH tổng 500 triệu đồng suốt 5 năm, không phình theo doanh thu.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Phân bổ theo năm: 93,5tr (2027) — 100tr (2028) — 105tr (2029) — 100tr (2030) — 101,5tr (2031).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Nhân sự (lương) = 0 toàn bộ 5 năm — mô hình bootstrap 2 dev, không thuê thêm nhân sự vận hành/marketing trong giai đoạn này.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Chi phí Pháp lý chỉ phát sinh 1 lần duy nhất năm 2027 (soạn điều khoản sử dụng + chính sách bảo mật), các năm sau = 0.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Lý do chiến lược: ưu tiên tăng trưởng product-led (chất lượng sản phẩm, truyền miệng) thay vì đốt tiền acquisition trả phí — phù hợp ngân sách hạn chế của startup 2 người.</w:t>
      </w:r>
    </w:p>
    <w:p>
      <w:pPr>
        <w:pStyle w:val="Heading1"/>
        <w:spacing w:after="150" w:before="300"/>
      </w:pPr>
      <w:r>
        <w:t xml:space="preserve">Slide 4 — Lộ trình lợi nhuận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500"/>
        <w:gridCol w:w="1500"/>
      </w:tblGrid>
      <w:tr>
        <w:tc>
          <w:tcPr>
            <w:tcW w:type="dxa" w:w="26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Chỉ tiêu (VNĐ)</w:t>
            </w:r>
          </w:p>
        </w:tc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2027</w:t>
            </w:r>
          </w:p>
        </w:tc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2028</w:t>
            </w:r>
          </w:p>
        </w:tc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2029</w:t>
            </w:r>
          </w:p>
        </w:tc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2030</w:t>
            </w:r>
          </w:p>
        </w:tc>
        <w:tc>
          <w:tcPr>
            <w:tcW w:type="dxa" w:w="1500"/>
            <w:shd w:fill="1F4E7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2031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EBIT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-14.081.879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1.375.892.613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5.794.419.276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14.963.130.227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37.374.828.221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Lãi vay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38.610.000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29.250.000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19.890.000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10.530.000</w:t>
            </w:r>
          </w:p>
        </w:tc>
        <w:tc>
          <w:tcPr>
            <w:tcW w:type="dxa" w:w="1500"/>
            <w:shd w:fill="F2F2F2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1.820.000</w:t>
            </w:r>
          </w:p>
        </w:tc>
      </w:tr>
      <w:tr>
        <w:tc>
          <w:tcPr>
            <w:tcW w:type="dxa" w:w="2600"/>
            <w:shd w:fill="FFFFFF" w:val="clear"/>
          </w:tcPr>
          <w:p>
            <w:r>
              <w:rPr>
                <w:b/>
                <w:bCs/>
                <w:sz w:val="18"/>
                <w:szCs w:val="18"/>
              </w:rPr>
              <w:t xml:space="preserve">Lợi nhuận ròng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-52.691.879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1.077.314.090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4.619.623.421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11.962.080.182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29.898.406.577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2027: vẫn lỗ ròng ~52,7 triệu — do doanh thu còn thấp (mới ra mắt) cộng lãi vay ban đầu 38,6 triệu.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Từ 2028 trở đi: có lãi ngay và tăng tốc rất nhanh — lợi nhuận ròng gấp hơn 27 lần chỉ sau 4 năm.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Biên lợi nhuận ròng cải thiện mạnh: âm (2027) → ~48% (2028) → ~77% (2031) — nhờ chi phí tăng chậm hơn nhiều so với doanh thu.</w:t>
      </w:r>
    </w:p>
    <w:p>
      <w:pPr>
        <w:pStyle w:val="Heading1"/>
        <w:spacing w:after="150" w:before="300"/>
      </w:pPr>
      <w:r>
        <w:t xml:space="preserve">Slide 5 — Khoản vay &amp; lãi suất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Vay 600 triệu đồng, kỳ hạn 5 năm (60 tháng), lãi suất ưu đãi 7,8%/năm (0,65%/tháng), trả gốc đều 10 triệu/tháng, bắt đầu từ T8/2026.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Lãi vay giảm dần theo dư nợ còn lại: 38,6 triệu (2027) → 1,82 triệu (2031), trả dứt điểm giữa năm 2031.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Gánh nặng lãi vay rơi vào đúng giai đoạn doanh thu còn thấp (2027) — là nguyên nhân chính khiến năm đầu lỗ ròng, nhưng ảnh hưởng giảm nhanh và gần như không đáng kể từ 2029 trở đi.</w:t>
      </w:r>
    </w:p>
    <w:p>
      <w:pPr>
        <w:pStyle w:val="Heading1"/>
        <w:spacing w:after="150" w:before="300"/>
      </w:pPr>
      <w:r>
        <w:t xml:space="preserve">Slide 6 — Rủi ro &amp; lưu ý khi hỏi đáp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Phụ thuộc giá bên thứ 3 (Railway/Cloudinary/AILabTools...) — nếu nhà cung cấp tăng giá hoặc lượng dùng tăng đột biến ngoài dự kiến, chi phí hạ tầng có thể vượt dự phóng.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Timeout AI &gt; 10 giây tự hoàn lượt cho user — bảo vệ trải nghiệm nhưng đồng nghĩa mất doanh thu tiềm năng ở những lượt lỗi, chưa tính vào mô hình chi phí hiện tại.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Ngân sách SG&amp;A cố định 500 triệu/5 năm là giả định lạc quan (dựa trên chiến lược lean) — nếu cạnh tranh thị trường tăng, có thể cần điều chỉnh tăng ngân sách marketing sớm hơn dự kiến.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2026-07-13T18:04:01.454Z</dcterms:created>
  <dcterms:modified xsi:type="dcterms:W3CDTF">2026-07-13T18:04:01.454Z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