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rFonts w:eastAsia="Arial" w:cs="Arial"/>
          <w:b/>
          <w:bCs/>
          <w:color w:val="1B3A5C"/>
          <w:sz w:val="48"/>
          <w:szCs w:val="48"/>
        </w:rPr>
        <w:t>GeoC</w:t>
      </w:r>
      <w:r>
        <w:rPr>
          <w:b/>
          <w:bCs/>
          <w:color w:val="1B3A5C"/>
          <w:sz w:val="48"/>
          <w:szCs w:val="48"/>
        </w:rPr>
        <w:t>enter</w:t>
      </w:r>
      <w:r>
        <w:rPr>
          <w:rFonts w:eastAsia="Arial" w:cs="Arial"/>
          <w:b/>
          <w:bCs/>
          <w:color w:val="1B3A5C"/>
          <w:sz w:val="48"/>
          <w:szCs w:val="48"/>
        </w:rPr>
        <w:t xml:space="preserve"> Analytics</w:t>
      </w:r>
    </w:p>
    <w:p>
      <w:pPr>
        <w:pStyle w:val="normal1"/>
        <w:spacing w:lineRule="auto" w:line="240" w:before="0" w:after="40"/>
        <w:jc w:val="center"/>
        <w:rPr/>
      </w:pPr>
      <w:r>
        <w:rPr>
          <w:rFonts w:eastAsia="Arial" w:cs="Arial"/>
          <w:color w:val="2E75B6"/>
          <w:sz w:val="28"/>
          <w:szCs w:val="28"/>
        </w:rPr>
        <w:t>Shark Den Demonstration — 2-Minute Pitch</w:t>
      </w:r>
    </w:p>
    <w:p>
      <w:pPr>
        <w:pStyle w:val="normal1"/>
        <w:spacing w:lineRule="auto" w:line="240" w:before="0" w:after="300"/>
        <w:jc w:val="center"/>
        <w:rPr/>
      </w:pPr>
      <w:r>
        <w:rPr>
          <w:rFonts w:eastAsia="Arial" w:cs="Arial"/>
          <w:i/>
          <w:iCs/>
          <w:color w:val="666666"/>
          <w:sz w:val="22"/>
          <w:szCs w:val="22"/>
        </w:rPr>
        <w:t>Market Assessment for Data Centre Liquid &amp; Immersion Cooling</w:t>
      </w:r>
    </w:p>
    <w:p>
      <w:pPr>
        <w:pStyle w:val="normal1"/>
        <w:pBdr>
          <w:bottom w:val="single" w:sz="6" w:space="4" w:color="1B3A5C"/>
        </w:pBdr>
        <w:spacing w:lineRule="auto" w:line="240" w:before="0" w:after="200"/>
        <w:rPr/>
      </w:pPr>
      <w:r>
        <w:rPr>
          <w:rFonts w:eastAsia="Arial" w:cs="Arial"/>
          <w:b/>
          <w:bCs/>
          <w:color w:val="1B3A5C"/>
          <w:sz w:val="20"/>
          <w:szCs w:val="20"/>
        </w:rPr>
        <w:t>SPEAKER SCRIPT</w:t>
      </w:r>
    </w:p>
    <w:p>
      <w:pPr>
        <w:pStyle w:val="normal1"/>
        <w:pBdr>
          <w:bottom w:val="single" w:sz="4" w:space="4" w:color="2E75B6"/>
        </w:pBdr>
        <w:spacing w:lineRule="auto" w:line="240" w:before="300" w:after="100"/>
        <w:rPr/>
      </w:pPr>
      <w:r>
        <w:rPr>
          <w:rFonts w:eastAsia="Arial" w:cs="Arial"/>
          <w:b/>
          <w:bCs/>
          <w:color w:val="1B3A5C"/>
          <w:sz w:val="26"/>
          <w:szCs w:val="26"/>
        </w:rPr>
        <w:t>1. THE OPPORTUNITY</w:t>
      </w:r>
    </w:p>
    <w:p>
      <w:pPr>
        <w:pStyle w:val="normal1"/>
        <w:spacing w:lineRule="auto" w:line="240" w:before="80" w:after="40"/>
        <w:rPr/>
      </w:pPr>
      <w:r>
        <w:rPr>
          <w:rFonts w:eastAsia="Arial" w:cs="Arial"/>
          <w:i/>
          <w:iCs/>
          <w:color w:val="888888"/>
          <w:sz w:val="18"/>
          <w:szCs w:val="18"/>
        </w:rPr>
        <w:t>[0:00 – 0:20]</w:t>
      </w:r>
    </w:p>
    <w:p>
      <w:pPr>
        <w:pStyle w:val="normal1"/>
        <w:spacing w:lineRule="auto" w:line="240" w:before="120" w:after="120"/>
        <w:jc w:val="start"/>
        <w:rPr/>
      </w:pPr>
      <w:r>
        <w:rPr>
          <w:rFonts w:eastAsia="Arial" w:cs="Arial"/>
          <w:color w:val="000000"/>
          <w:sz w:val="24"/>
          <w:szCs w:val="24"/>
        </w:rPr>
        <w:t>Good afternoon. The global data centre industry is at an inflection point. As artificial intelligence workloads surge, traditional air cooling is hitting a hard ceiling. Facilities running at a Power Usage Effectiveness of 1.5 or higher are haemorrhaging energy and capital.</w:t>
      </w:r>
    </w:p>
    <w:p>
      <w:pPr>
        <w:pStyle w:val="normal1"/>
        <w:spacing w:lineRule="auto" w:line="240" w:before="120" w:after="120"/>
        <w:jc w:val="start"/>
        <w:rPr/>
      </w:pPr>
      <w:r>
        <w:rPr>
          <w:rFonts w:eastAsia="Arial" w:cs="Arial"/>
          <w:b/>
          <w:bCs/>
          <w:color w:val="000000"/>
          <w:sz w:val="24"/>
          <w:szCs w:val="24"/>
        </w:rPr>
        <w:t>GeoCenter Analytics</w:t>
      </w:r>
      <w:r>
        <w:rPr>
          <w:rFonts w:eastAsia="Arial" w:cs="Arial"/>
          <w:color w:val="000000"/>
          <w:sz w:val="24"/>
          <w:szCs w:val="24"/>
        </w:rPr>
        <w:t xml:space="preserve">, in partnership with </w:t>
      </w:r>
      <w:r>
        <w:rPr>
          <w:rFonts w:eastAsia="Arial" w:cs="Arial"/>
          <w:b/>
          <w:bCs/>
          <w:color w:val="000000"/>
          <w:sz w:val="24"/>
          <w:szCs w:val="24"/>
        </w:rPr>
        <w:t>Solar Steam</w:t>
      </w:r>
      <w:r>
        <w:rPr>
          <w:rFonts w:eastAsia="Arial" w:cs="Arial"/>
          <w:color w:val="000000"/>
          <w:sz w:val="24"/>
          <w:szCs w:val="24"/>
        </w:rPr>
        <w:t>, exists to answer one critical question: where is the market for high-efficiency liquid and immersion cooling, and how large is it — today</w:t>
      </w:r>
      <w:r>
        <w:rPr/>
        <w:t>?</w:t>
      </w:r>
    </w:p>
    <w:p>
      <w:pPr>
        <w:pStyle w:val="normal1"/>
        <w:pBdr>
          <w:bottom w:val="single" w:sz="4" w:space="4" w:color="2E75B6"/>
        </w:pBdr>
        <w:spacing w:lineRule="auto" w:line="240" w:before="300" w:after="100"/>
        <w:rPr/>
      </w:pPr>
      <w:r>
        <w:rPr>
          <w:rFonts w:eastAsia="Arial" w:cs="Arial"/>
          <w:b/>
          <w:bCs/>
          <w:color w:val="1B3A5C"/>
          <w:sz w:val="26"/>
          <w:szCs w:val="26"/>
        </w:rPr>
        <w:t>2. WHAT WE DO</w:t>
      </w:r>
    </w:p>
    <w:p>
      <w:pPr>
        <w:pStyle w:val="normal1"/>
        <w:spacing w:lineRule="auto" w:line="240" w:before="80" w:after="40"/>
        <w:rPr/>
      </w:pPr>
      <w:r>
        <w:rPr>
          <w:rFonts w:eastAsia="Arial" w:cs="Arial"/>
          <w:i/>
          <w:iCs/>
          <w:color w:val="888888"/>
          <w:sz w:val="18"/>
          <w:szCs w:val="18"/>
        </w:rPr>
        <w:t>[0:20 – 0:50]</w:t>
      </w:r>
    </w:p>
    <w:p>
      <w:pPr>
        <w:pStyle w:val="normal1"/>
        <w:spacing w:lineRule="auto" w:line="240" w:before="120" w:after="120"/>
        <w:jc w:val="start"/>
        <w:rPr/>
      </w:pPr>
      <w:r>
        <w:rPr>
          <w:rFonts w:eastAsia="Arial" w:cs="Arial"/>
          <w:color w:val="000000"/>
          <w:sz w:val="24"/>
          <w:szCs w:val="24"/>
        </w:rPr>
        <w:t xml:space="preserve">We are building a comprehensive </w:t>
      </w:r>
      <w:r>
        <w:rPr>
          <w:rFonts w:eastAsia="Arial" w:cs="Arial"/>
          <w:b/>
          <w:bCs/>
          <w:color w:val="000000"/>
          <w:sz w:val="24"/>
          <w:szCs w:val="24"/>
        </w:rPr>
        <w:t>market assessment platform</w:t>
      </w:r>
      <w:r>
        <w:rPr>
          <w:rFonts w:eastAsia="Arial" w:cs="Arial"/>
          <w:color w:val="000000"/>
          <w:sz w:val="24"/>
          <w:szCs w:val="24"/>
        </w:rPr>
        <w:t xml:space="preserve"> that maps the total addressable cooling opportunity across </w:t>
      </w:r>
      <w:r>
        <w:rPr>
          <w:rFonts w:eastAsia="Arial" w:cs="Arial"/>
          <w:b/>
          <w:bCs/>
          <w:color w:val="000000"/>
          <w:sz w:val="24"/>
          <w:szCs w:val="24"/>
        </w:rPr>
        <w:t>Canada, the United States, and Europe</w:t>
      </w:r>
      <w:r>
        <w:rPr>
          <w:rFonts w:eastAsia="Arial" w:cs="Arial"/>
          <w:color w:val="000000"/>
          <w:sz w:val="24"/>
          <w:szCs w:val="24"/>
        </w:rPr>
        <w:t>.</w:t>
      </w:r>
    </w:p>
    <w:p>
      <w:pPr>
        <w:pStyle w:val="normal1"/>
        <w:spacing w:lineRule="auto" w:line="240" w:before="120" w:after="120"/>
        <w:jc w:val="start"/>
        <w:rPr/>
      </w:pPr>
      <w:r>
        <w:rPr>
          <w:rFonts w:eastAsia="Arial" w:cs="Arial"/>
          <w:color w:val="000000"/>
          <w:sz w:val="24"/>
          <w:szCs w:val="24"/>
        </w:rPr>
        <w:t xml:space="preserve">Our focus is exclusively on </w:t>
      </w:r>
      <w:r>
        <w:rPr>
          <w:rFonts w:eastAsia="Arial" w:cs="Arial"/>
          <w:b/>
          <w:bCs/>
          <w:color w:val="000000"/>
          <w:sz w:val="24"/>
          <w:szCs w:val="24"/>
        </w:rPr>
        <w:t>liquid and immersion cooling</w:t>
      </w:r>
      <w:r>
        <w:rPr>
          <w:rFonts w:eastAsia="Arial" w:cs="Arial"/>
          <w:color w:val="000000"/>
          <w:sz w:val="24"/>
          <w:szCs w:val="24"/>
        </w:rPr>
        <w:t xml:space="preserve"> — the technologies that achieve a PUE between </w:t>
      </w:r>
      <w:r>
        <w:rPr>
          <w:rFonts w:eastAsia="Arial" w:cs="Arial"/>
          <w:b/>
          <w:bCs/>
          <w:color w:val="000000"/>
          <w:sz w:val="24"/>
          <w:szCs w:val="24"/>
        </w:rPr>
        <w:t>1.04 and 1.2</w:t>
      </w:r>
      <w:r>
        <w:rPr>
          <w:rFonts w:eastAsia="Arial" w:cs="Arial"/>
          <w:color w:val="000000"/>
          <w:sz w:val="24"/>
          <w:szCs w:val="24"/>
        </w:rPr>
        <w:t>. While our primary focus is on liquid and immersion cooling, our research has also identified air-cooled facilities that meet our other criteria — representing additional potential customers. We are targeting the efficiency frontier.</w:t>
      </w:r>
    </w:p>
    <w:p>
      <w:pPr>
        <w:pStyle w:val="normal1"/>
        <w:spacing w:lineRule="auto" w:line="240" w:before="120" w:after="120"/>
        <w:jc w:val="start"/>
        <w:rPr/>
      </w:pPr>
      <w:r>
        <w:rPr>
          <w:rFonts w:eastAsia="Arial" w:cs="Arial"/>
          <w:color w:val="000000"/>
          <w:sz w:val="24"/>
          <w:szCs w:val="24"/>
        </w:rPr>
        <w:t xml:space="preserve">We concentrate on </w:t>
      </w:r>
      <w:r>
        <w:rPr>
          <w:rFonts w:eastAsia="Arial" w:cs="Arial"/>
          <w:b/>
          <w:bCs/>
          <w:color w:val="000000"/>
          <w:sz w:val="24"/>
          <w:szCs w:val="24"/>
        </w:rPr>
        <w:t>data centres up to 10 megawatts</w:t>
      </w:r>
      <w:r>
        <w:rPr>
          <w:rFonts w:eastAsia="Arial" w:cs="Arial"/>
          <w:color w:val="000000"/>
          <w:sz w:val="24"/>
          <w:szCs w:val="24"/>
        </w:rPr>
        <w:t xml:space="preserve"> — the mid-market segment where adoption is accelerating but intelligence is scarce. Hyperscale facilities fall outside our scope; this is where the underserved opportunity lives.</w:t>
      </w:r>
    </w:p>
    <w:p>
      <w:pPr>
        <w:pStyle w:val="normal1"/>
        <w:pBdr>
          <w:bottom w:val="single" w:sz="4" w:space="4" w:color="2E75B6"/>
        </w:pBdr>
        <w:spacing w:lineRule="auto" w:line="240" w:before="300" w:after="100"/>
        <w:rPr/>
      </w:pPr>
      <w:r>
        <w:rPr>
          <w:rFonts w:eastAsia="Arial" w:cs="Arial"/>
          <w:b/>
          <w:bCs/>
          <w:color w:val="1B3A5C"/>
          <w:sz w:val="26"/>
          <w:szCs w:val="26"/>
        </w:rPr>
        <w:t>3. MARKET SIZING</w:t>
      </w:r>
    </w:p>
    <w:p>
      <w:pPr>
        <w:pStyle w:val="normal1"/>
        <w:spacing w:lineRule="auto" w:line="240" w:before="80" w:after="40"/>
        <w:rPr/>
      </w:pPr>
      <w:r>
        <w:rPr>
          <w:rFonts w:eastAsia="Arial" w:cs="Arial"/>
          <w:i/>
          <w:iCs/>
          <w:color w:val="888888"/>
          <w:sz w:val="18"/>
          <w:szCs w:val="18"/>
        </w:rPr>
        <w:t>[0:50 – 1:20]</w:t>
      </w:r>
    </w:p>
    <w:p>
      <w:pPr>
        <w:pStyle w:val="normal1"/>
        <w:spacing w:lineRule="auto" w:line="240" w:before="120" w:after="120"/>
        <w:jc w:val="start"/>
        <w:rPr/>
      </w:pPr>
      <w:r>
        <w:rPr>
          <w:rFonts w:eastAsia="Arial" w:cs="Arial"/>
          <w:color w:val="000000"/>
          <w:sz w:val="24"/>
          <w:szCs w:val="24"/>
        </w:rPr>
        <w:t xml:space="preserve">Our deliverable is a rigorous </w:t>
      </w:r>
      <w:r>
        <w:rPr>
          <w:rFonts w:eastAsia="Arial" w:cs="Arial"/>
          <w:b/>
          <w:bCs/>
          <w:color w:val="000000"/>
          <w:sz w:val="24"/>
          <w:szCs w:val="24"/>
        </w:rPr>
        <w:t>TAM, SAM, and SOM analysis</w:t>
      </w:r>
      <w:r>
        <w:rPr>
          <w:rFonts w:eastAsia="Arial" w:cs="Arial"/>
          <w:color w:val="000000"/>
          <w:sz w:val="24"/>
          <w:szCs w:val="24"/>
        </w:rPr>
        <w:t>, segmented by geography</w:t>
      </w:r>
      <w:r>
        <w:rPr/>
        <w:t>.</w:t>
      </w:r>
    </w:p>
    <w:p>
      <w:pPr>
        <w:pStyle w:val="normal1"/>
        <w:spacing w:lineRule="auto" w:line="240" w:before="120" w:after="120"/>
        <w:jc w:val="start"/>
        <w:rPr/>
      </w:pPr>
      <w:r>
        <w:rPr>
          <w:rFonts w:eastAsia="Arial" w:cs="Arial"/>
          <w:color w:val="000000"/>
          <w:sz w:val="24"/>
          <w:szCs w:val="24"/>
        </w:rPr>
        <w:t xml:space="preserve">The </w:t>
      </w:r>
      <w:r>
        <w:rPr>
          <w:rFonts w:eastAsia="Arial" w:cs="Arial"/>
          <w:b/>
          <w:bCs/>
          <w:color w:val="000000"/>
          <w:sz w:val="24"/>
          <w:szCs w:val="24"/>
        </w:rPr>
        <w:t>Total Addressable Market</w:t>
      </w:r>
      <w:r>
        <w:rPr>
          <w:rFonts w:eastAsia="Arial" w:cs="Arial"/>
          <w:color w:val="000000"/>
          <w:sz w:val="24"/>
          <w:szCs w:val="24"/>
        </w:rPr>
        <w:t xml:space="preserve"> captures every data centre that could theoretically adopt advanced cooling. The </w:t>
      </w:r>
      <w:r>
        <w:rPr>
          <w:rFonts w:eastAsia="Arial" w:cs="Arial"/>
          <w:b/>
          <w:bCs/>
          <w:color w:val="000000"/>
          <w:sz w:val="24"/>
          <w:szCs w:val="24"/>
        </w:rPr>
        <w:t>Serviceable Addressable Market</w:t>
      </w:r>
      <w:r>
        <w:rPr>
          <w:rFonts w:eastAsia="Arial" w:cs="Arial"/>
          <w:color w:val="000000"/>
          <w:sz w:val="24"/>
          <w:szCs w:val="24"/>
        </w:rPr>
        <w:t xml:space="preserve"> narrows this to facilities we can realistically reach given current technology and infrastructure. And the </w:t>
      </w:r>
      <w:r>
        <w:rPr>
          <w:rFonts w:eastAsia="Arial" w:cs="Arial"/>
          <w:b/>
          <w:bCs/>
          <w:color w:val="000000"/>
          <w:sz w:val="24"/>
          <w:szCs w:val="24"/>
        </w:rPr>
        <w:t>Serviceable Obtainable Market</w:t>
      </w:r>
      <w:r>
        <w:rPr>
          <w:rFonts w:eastAsia="Arial" w:cs="Arial"/>
          <w:color w:val="000000"/>
          <w:sz w:val="24"/>
          <w:szCs w:val="24"/>
        </w:rPr>
        <w:t xml:space="preserve"> represents what is actionable today or in the near future — validated, high-quality opportunities.</w:t>
      </w:r>
    </w:p>
    <w:p>
      <w:pPr>
        <w:pStyle w:val="normal1"/>
        <w:spacing w:lineRule="auto" w:line="240" w:before="120" w:after="120"/>
        <w:jc w:val="start"/>
        <w:rPr/>
      </w:pPr>
      <w:r>
        <w:rPr>
          <w:rFonts w:eastAsia="Arial" w:cs="Arial"/>
          <w:color w:val="000000"/>
          <w:sz w:val="24"/>
          <w:szCs w:val="24"/>
        </w:rPr>
        <w:t xml:space="preserve">Each segment is broken down by </w:t>
      </w:r>
      <w:r>
        <w:rPr>
          <w:rFonts w:eastAsia="Arial" w:cs="Arial"/>
          <w:b/>
          <w:bCs/>
          <w:color w:val="000000"/>
          <w:sz w:val="24"/>
          <w:szCs w:val="24"/>
        </w:rPr>
        <w:t>region and capacity</w:t>
      </w:r>
      <w:r>
        <w:rPr>
          <w:rFonts w:eastAsia="Arial" w:cs="Arial"/>
          <w:color w:val="000000"/>
          <w:sz w:val="24"/>
          <w:szCs w:val="24"/>
        </w:rPr>
        <w:t>, giving investors and partners a clear, colour-coded view of where demand is concentrated — both in the current market and in the near-term growth trajectory.</w:t>
      </w:r>
    </w:p>
    <w:p>
      <w:pPr>
        <w:pStyle w:val="normal1"/>
        <w:spacing w:lineRule="auto" w:line="240" w:before="120" w:after="120"/>
        <w:jc w:val="start"/>
        <w:rPr/>
      </w:pPr>
      <w:r>
        <w:rPr>
          <w:rFonts w:eastAsia="Arial" w:cs="Arial"/>
          <w:color w:val="000000"/>
          <w:sz w:val="24"/>
          <w:szCs w:val="24"/>
        </w:rPr>
        <w:t xml:space="preserve">To put this in context: the current data centre liquid cooling market stands at approximately </w:t>
      </w:r>
      <w:r>
        <w:rPr>
          <w:rFonts w:eastAsia="Arial" w:cs="Arial"/>
          <w:b/>
          <w:bCs/>
          <w:color w:val="000000"/>
          <w:sz w:val="24"/>
          <w:szCs w:val="24"/>
        </w:rPr>
        <w:t>USD 6.65 billion globally</w:t>
      </w:r>
      <w:r>
        <w:rPr>
          <w:rFonts w:eastAsia="Arial" w:cs="Arial"/>
          <w:color w:val="000000"/>
          <w:sz w:val="24"/>
          <w:szCs w:val="24"/>
        </w:rPr>
        <w:t xml:space="preserve"> as of 2025. North America — our primary region — accounts for roughly </w:t>
      </w:r>
      <w:r>
        <w:rPr>
          <w:rFonts w:eastAsia="Arial" w:cs="Arial"/>
          <w:b/>
          <w:bCs/>
          <w:color w:val="000000"/>
          <w:sz w:val="24"/>
          <w:szCs w:val="24"/>
        </w:rPr>
        <w:t>34% of the global immersion cooling market</w:t>
      </w:r>
      <w:r>
        <w:rPr>
          <w:rFonts w:eastAsia="Arial" w:cs="Arial"/>
          <w:color w:val="000000"/>
          <w:sz w:val="24"/>
          <w:szCs w:val="24"/>
        </w:rPr>
        <w:t xml:space="preserve">, with the U.S. liquid cooling segment alone valued at USD 1.3 billion. Europe controls approximately </w:t>
      </w:r>
      <w:r>
        <w:rPr>
          <w:rFonts w:eastAsia="Arial" w:cs="Arial"/>
          <w:b/>
          <w:bCs/>
          <w:color w:val="000000"/>
          <w:sz w:val="24"/>
          <w:szCs w:val="24"/>
        </w:rPr>
        <w:t>28% of the global market</w:t>
      </w:r>
      <w:r>
        <w:rPr>
          <w:rFonts w:eastAsia="Arial" w:cs="Arial"/>
          <w:color w:val="000000"/>
          <w:sz w:val="24"/>
          <w:szCs w:val="24"/>
        </w:rPr>
        <w:t>, driven by EU energy-efficiency mandates and heat-recovery incentives. The broader data centre cooling market across our focus regions sits at over USD 12 billion today. Average PUE for liquid-cooled facilities ranges from 1.1 to 1.2, while immersion cooling achieves 1.02 to 1.10 — well within our target efficiency band.</w:t>
      </w:r>
    </w:p>
    <w:p>
      <w:pPr>
        <w:pStyle w:val="normal1"/>
        <w:pBdr>
          <w:bottom w:val="single" w:sz="4" w:space="4" w:color="2E75B6"/>
        </w:pBdr>
        <w:spacing w:lineRule="auto" w:line="240" w:before="300" w:after="100"/>
        <w:rPr/>
      </w:pPr>
      <w:r>
        <w:rPr>
          <w:rFonts w:eastAsia="Arial" w:cs="Arial"/>
          <w:b/>
          <w:bCs/>
          <w:color w:val="1B3A5C"/>
          <w:sz w:val="26"/>
          <w:szCs w:val="26"/>
        </w:rPr>
        <w:t>4. THE ASK &amp; WHAT’S NEXT</w:t>
      </w:r>
    </w:p>
    <w:p>
      <w:pPr>
        <w:pStyle w:val="normal1"/>
        <w:spacing w:lineRule="auto" w:line="240" w:before="80" w:after="40"/>
        <w:rPr/>
      </w:pPr>
      <w:r>
        <w:rPr>
          <w:rFonts w:eastAsia="Arial" w:cs="Arial"/>
          <w:i/>
          <w:iCs/>
          <w:color w:val="888888"/>
          <w:sz w:val="18"/>
          <w:szCs w:val="18"/>
        </w:rPr>
        <w:t>[1:20 – 2:00]</w:t>
      </w:r>
    </w:p>
    <w:p>
      <w:pPr>
        <w:pStyle w:val="normal1"/>
        <w:spacing w:lineRule="auto" w:line="240" w:before="120" w:after="120"/>
        <w:jc w:val="start"/>
        <w:rPr/>
      </w:pPr>
      <w:r>
        <w:rPr>
          <w:rFonts w:eastAsia="Arial" w:cs="Arial"/>
          <w:color w:val="000000"/>
          <w:sz w:val="24"/>
          <w:szCs w:val="24"/>
        </w:rPr>
        <w:t xml:space="preserve">To summarise: we are mapping the </w:t>
      </w:r>
      <w:r>
        <w:rPr>
          <w:rFonts w:eastAsia="Arial" w:cs="Arial"/>
          <w:b/>
          <w:bCs/>
          <w:color w:val="000000"/>
          <w:sz w:val="24"/>
          <w:szCs w:val="24"/>
        </w:rPr>
        <w:t>serviceable and addressable market</w:t>
      </w:r>
      <w:r>
        <w:rPr>
          <w:rFonts w:eastAsia="Arial" w:cs="Arial"/>
          <w:color w:val="000000"/>
          <w:sz w:val="24"/>
          <w:szCs w:val="24"/>
        </w:rPr>
        <w:t xml:space="preserve"> for advanced cooling across our three focus regions. We are quantifying the </w:t>
      </w:r>
      <w:r>
        <w:rPr>
          <w:rFonts w:eastAsia="Arial" w:cs="Arial"/>
          <w:b/>
          <w:bCs/>
          <w:color w:val="000000"/>
          <w:sz w:val="24"/>
          <w:szCs w:val="24"/>
        </w:rPr>
        <w:t>average PUE improvement</w:t>
      </w:r>
      <w:r>
        <w:rPr>
          <w:rFonts w:eastAsia="Arial" w:cs="Arial"/>
          <w:color w:val="000000"/>
          <w:sz w:val="24"/>
          <w:szCs w:val="24"/>
        </w:rPr>
        <w:t xml:space="preserve"> achievable and identifying the </w:t>
      </w:r>
      <w:r>
        <w:rPr>
          <w:rFonts w:eastAsia="Arial" w:cs="Arial"/>
          <w:b/>
          <w:bCs/>
          <w:color w:val="000000"/>
          <w:sz w:val="24"/>
          <w:szCs w:val="24"/>
        </w:rPr>
        <w:t>serviceable obtainable market</w:t>
      </w:r>
      <w:r>
        <w:rPr>
          <w:rFonts w:eastAsia="Arial" w:cs="Arial"/>
          <w:color w:val="000000"/>
          <w:sz w:val="24"/>
          <w:szCs w:val="24"/>
        </w:rPr>
        <w:t xml:space="preserve"> — the deals that are ready now.</w:t>
      </w:r>
    </w:p>
    <w:p>
      <w:pPr>
        <w:pStyle w:val="normal1"/>
        <w:spacing w:lineRule="auto" w:line="240" w:before="120" w:after="120"/>
        <w:jc w:val="start"/>
        <w:rPr/>
      </w:pPr>
      <w:r>
        <w:rPr>
          <w:rFonts w:eastAsia="Arial" w:cs="Arial"/>
          <w:color w:val="000000"/>
          <w:sz w:val="24"/>
          <w:szCs w:val="24"/>
        </w:rPr>
        <w:t xml:space="preserve">Our focus markets are Canada, the USA, and Europe, with clear parameters around facility size and cooling technology. Our research has also uncovered opportunities outside these boundaries that we are eager to discuss further. In partnership with </w:t>
      </w:r>
      <w:r>
        <w:rPr>
          <w:rFonts w:eastAsia="Arial" w:cs="Arial"/>
          <w:b/>
          <w:bCs/>
          <w:color w:val="000000"/>
          <w:sz w:val="24"/>
          <w:szCs w:val="24"/>
        </w:rPr>
        <w:t>Solar Steam</w:t>
      </w:r>
      <w:r>
        <w:rPr>
          <w:rFonts w:eastAsia="Arial" w:cs="Arial"/>
          <w:color w:val="000000"/>
          <w:sz w:val="24"/>
          <w:szCs w:val="24"/>
        </w:rPr>
        <w:t>, we see a compelling trail from this work into our broader portfolio of projects.</w:t>
      </w:r>
    </w:p>
    <w:p>
      <w:pPr>
        <w:pStyle w:val="normal1"/>
        <w:spacing w:lineRule="auto" w:line="240" w:before="120" w:after="120"/>
        <w:jc w:val="start"/>
        <w:rPr/>
      </w:pPr>
      <w:r>
        <w:rPr>
          <w:rFonts w:eastAsia="Arial" w:cs="Arial"/>
          <w:color w:val="000000"/>
          <w:sz w:val="24"/>
          <w:szCs w:val="24"/>
        </w:rPr>
        <w:t xml:space="preserve">We are looking for partners who see what we see: that </w:t>
      </w:r>
      <w:r>
        <w:rPr>
          <w:rFonts w:eastAsia="Arial" w:cs="Arial"/>
          <w:b/>
          <w:bCs/>
          <w:color w:val="000000"/>
          <w:sz w:val="24"/>
          <w:szCs w:val="24"/>
        </w:rPr>
        <w:t>the future of data centre infrastructure is liquid-cooled</w:t>
      </w:r>
      <w:r>
        <w:rPr>
          <w:rFonts w:eastAsia="Arial" w:cs="Arial"/>
          <w:color w:val="000000"/>
          <w:sz w:val="24"/>
          <w:szCs w:val="24"/>
        </w:rPr>
        <w:t>, and the companies that map this market first will own it.</w:t>
      </w:r>
    </w:p>
    <w:p>
      <w:pPr>
        <w:pStyle w:val="normal1"/>
        <w:spacing w:lineRule="auto" w:line="240" w:before="200" w:after="120"/>
        <w:jc w:val="start"/>
        <w:rPr/>
      </w:pPr>
      <w:r>
        <w:rPr>
          <w:rFonts w:eastAsia="Arial" w:cs="Arial"/>
          <w:b/>
          <w:bCs/>
          <w:color w:val="000000"/>
          <w:sz w:val="24"/>
          <w:szCs w:val="24"/>
        </w:rPr>
        <w:t>Thank you. We welcome your questions.</w:t>
      </w:r>
    </w:p>
    <w:p>
      <w:pPr>
        <w:pStyle w:val="normal1"/>
        <w:spacing w:lineRule="auto" w:line="240" w:before="40" w:after="40"/>
        <w:rPr/>
      </w:pPr>
      <w:r>
        <w:rPr/>
      </w:r>
    </w:p>
    <w:p>
      <w:pPr>
        <w:pStyle w:val="normal1"/>
        <w:spacing w:lineRule="auto" w:line="240" w:before="40" w:after="40"/>
        <w:rPr/>
      </w:pPr>
      <w:r>
        <w:rPr/>
      </w:r>
    </w:p>
    <w:p>
      <w:pPr>
        <w:pStyle w:val="normal1"/>
        <w:pBdr>
          <w:top w:val="single" w:sz="6" w:space="8" w:color="1B3A5C"/>
          <w:bottom w:val="single" w:sz="6" w:space="8" w:color="1B3A5C"/>
        </w:pBdr>
        <w:spacing w:lineRule="auto" w:line="240" w:before="300" w:after="100"/>
        <w:rPr/>
      </w:pPr>
      <w:r>
        <w:rPr>
          <w:rFonts w:eastAsia="Arial" w:cs="Arial"/>
          <w:b/>
          <w:bCs/>
          <w:color w:val="1B3A5C"/>
          <w:sz w:val="20"/>
          <w:szCs w:val="20"/>
        </w:rPr>
        <w:t>DELIVERY NOTES</w:t>
      </w:r>
    </w:p>
    <w:p>
      <w:pPr>
        <w:pStyle w:val="normal1"/>
        <w:spacing w:lineRule="auto" w:line="240" w:before="120" w:after="120"/>
        <w:jc w:val="start"/>
        <w:rPr/>
      </w:pPr>
      <w:r>
        <w:rPr>
          <w:rFonts w:eastAsia="Arial" w:cs="Arial"/>
          <w:color w:val="666666"/>
          <w:sz w:val="24"/>
          <w:szCs w:val="24"/>
        </w:rPr>
        <w:t>Pace: Approximately 150 words per minute. Aim for a confident, measured cadence — this is a market opportunity presentation, not a sales pitch.</w:t>
      </w:r>
    </w:p>
    <w:p>
      <w:pPr>
        <w:pStyle w:val="normal1"/>
        <w:spacing w:lineRule="auto" w:line="240" w:before="120" w:after="120"/>
        <w:jc w:val="start"/>
        <w:rPr/>
      </w:pPr>
      <w:r>
        <w:rPr>
          <w:rFonts w:eastAsia="Arial" w:cs="Arial"/>
          <w:color w:val="666666"/>
          <w:sz w:val="24"/>
          <w:szCs w:val="24"/>
        </w:rPr>
        <w:t>Emphasis: Stress the PUE range (1.04–1.2), the current market figures (USD 6.65B global liquid cooling, 34% North America, 28% Europe), and the TAM/SAM/SOM framework. These are your anchor numbers.</w:t>
      </w:r>
    </w:p>
    <w:p>
      <w:pPr>
        <w:pStyle w:val="normal1"/>
        <w:spacing w:lineRule="auto" w:line="240" w:before="120" w:after="120"/>
        <w:jc w:val="start"/>
        <w:rPr/>
      </w:pPr>
      <w:r>
        <w:rPr>
          <w:rFonts w:eastAsia="Arial" w:cs="Arial"/>
          <w:color w:val="666666"/>
          <w:sz w:val="24"/>
          <w:szCs w:val="24"/>
        </w:rPr>
        <w:t>Visual cue: If presenting alongside slides, pause briefly when referencing the colour-coded geographic breakdown to let the audience absorb the data.</w:t>
      </w:r>
    </w:p>
    <w:p>
      <w:pPr>
        <w:pStyle w:val="normal1"/>
        <w:spacing w:lineRule="auto" w:line="240" w:before="120" w:after="120"/>
        <w:jc w:val="start"/>
        <w:rPr/>
      </w:pPr>
      <w:r>
        <w:rPr>
          <w:rFonts w:eastAsia="Arial" w:cs="Arial"/>
          <w:color w:val="666666"/>
          <w:sz w:val="24"/>
          <w:szCs w:val="24"/>
        </w:rPr>
        <w:t>Trail-off: The closing reference to “our broader portfolio of projects” is intentional — use it to invite follow-up conversation rather than elaborating on-stage.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tabs>
        <w:tab w:val="clear" w:pos="720"/>
        <w:tab w:val="right" w:pos="9026" w:leader="none"/>
      </w:tabs>
      <w:rPr/>
    </w:pPr>
    <w:r>
      <w:rPr>
        <w:rFonts w:eastAsia="Arial" w:cs="Arial"/>
        <w:color w:val="666666"/>
        <w:sz w:val="16"/>
        <w:szCs w:val="16"/>
      </w:rPr>
      <w:t xml:space="preserve">CONFIDENTIALPage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tabs>
        <w:tab w:val="clear" w:pos="720"/>
        <w:tab w:val="right" w:pos="9026" w:leader="none"/>
      </w:tabs>
      <w:rPr/>
    </w:pPr>
    <w:r>
      <w:rPr>
        <w:rFonts w:eastAsia="Arial" w:cs="Arial"/>
        <w:color w:val="666666"/>
        <w:sz w:val="16"/>
        <w:szCs w:val="16"/>
      </w:rPr>
      <w:t xml:space="preserve">CONFIDENTIALPage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2E75B6"/>
      </w:pBdr>
      <w:tabs>
        <w:tab w:val="clear" w:pos="720"/>
        <w:tab w:val="right" w:pos="9026" w:leader="none"/>
      </w:tabs>
      <w:spacing w:lineRule="auto" w:line="240" w:before="0" w:after="200"/>
      <w:rPr/>
    </w:pPr>
    <w:r>
      <w:rPr>
        <w:rFonts w:eastAsia="Arial" w:cs="Arial"/>
        <w:b/>
        <w:bCs/>
        <w:color w:val="1B3A5C"/>
        <w:sz w:val="20"/>
        <w:szCs w:val="20"/>
      </w:rPr>
      <w:t>GeoCenter Analytics</w:t>
    </w:r>
    <w:r>
      <w:rPr>
        <w:rFonts w:eastAsia="Arial" w:cs="Arial"/>
        <w:color w:val="666666"/>
        <w:sz w:val="18"/>
        <w:szCs w:val="18"/>
      </w:rPr>
      <w:t>Shark Den Pitch — 2-Minute Script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2E75B6"/>
      </w:pBdr>
      <w:tabs>
        <w:tab w:val="clear" w:pos="720"/>
        <w:tab w:val="right" w:pos="9026" w:leader="none"/>
      </w:tabs>
      <w:spacing w:lineRule="auto" w:line="240" w:before="0" w:after="200"/>
      <w:rPr/>
    </w:pPr>
    <w:r>
      <w:rPr>
        <w:rFonts w:eastAsia="Arial" w:cs="Arial"/>
        <w:b/>
        <w:bCs/>
        <w:color w:val="1B3A5C"/>
        <w:sz w:val="20"/>
        <w:szCs w:val="20"/>
      </w:rPr>
      <w:t>GeoCenter Analytics</w:t>
    </w:r>
    <w:r>
      <w:rPr>
        <w:rFonts w:eastAsia="Arial" w:cs="Arial"/>
        <w:color w:val="666666"/>
        <w:sz w:val="18"/>
        <w:szCs w:val="18"/>
      </w:rPr>
      <w:t>Shark Den Pitch — 2-Minute Script</w: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120"/>
      <w:ind w:hanging="0" w:start="0" w:end="0"/>
      <w:jc w:val="start"/>
    </w:pPr>
    <w:rPr>
      <w:rFonts w:ascii="Arial" w:hAnsi="Arial" w:eastAsia="Arial" w:cs="Arial"/>
      <w:b/>
      <w:bCs/>
      <w:i w:val="false"/>
      <w:iCs w:val="false"/>
      <w:caps w:val="false"/>
      <w:smallCaps w:val="false"/>
      <w:strike w:val="false"/>
      <w:dstrike w:val="false"/>
      <w:color w:val="1B3A5C"/>
      <w:position w:val="0"/>
      <w:sz w:val="40"/>
      <w:szCs w:val="40"/>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00" w:after="120"/>
      <w:ind w:hanging="0" w:start="0" w:end="0"/>
      <w:jc w:val="start"/>
    </w:pPr>
    <w:rPr>
      <w:rFonts w:ascii="Arial" w:hAnsi="Arial" w:eastAsia="Arial" w:cs="Arial"/>
      <w:b/>
      <w:bCs/>
      <w:i w:val="false"/>
      <w:iCs w:val="false"/>
      <w:caps w:val="false"/>
      <w:smallCaps w:val="false"/>
      <w:strike w:val="false"/>
      <w:dstrike w:val="false"/>
      <w:color w:val="2E75B6"/>
      <w:position w:val="0"/>
      <w:sz w:val="28"/>
      <w:szCs w:val="28"/>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9D0EJR7omwCu18FAEnOfvQTO8g==">CgMxLjA4AHIhMXRSUlFaczY2VEpHOG15NDlIZDl0cmI2TWJnbTc4UG0t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Pages>
  <Words>650</Words>
  <Characters>3708</Characters>
  <CharactersWithSpaces>4343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2026-04-09T10:35:30Z</dcterms:modified>
  <cp:revision>1</cp:revision>
  <dc:subject/>
  <dc:title/>
</cp:coreProperties>
</file>