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</w:p>
    <w:p w:rsidR="00000000" w:rsidDel="00000000" w:rsidP="00000000" w:rsidRDefault="00000000" w:rsidRPr="00000000" w14:paraId="00000078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Firstly, I would recommend that Botium Toys implements proper encryption standards for customer PII/SPII. Not ensuring that such things are kept safe could damage Botium Toy’s reputation as well as their financial situation. Second, I would recommend that backups of all data should be implemented. </w:t>
        <w:br w:type="textWrapping"/>
        <w:br w:type="textWrapping"/>
        <w:t xml:space="preserve">After these two things have been accomplished, separation of duties and least privilege should be addressed. These issues can be seen as “loose ends” and another point of failure for a data breach. Next, a disaster recovery plan should be drafted and put in place in case of a data breach. Having a plan to fall back on could save Botium Toys money and resources if the worse did come to pass.</w:t>
        <w:br w:type="textWrapping"/>
        <w:br w:type="textWrapping"/>
        <w:t xml:space="preserve">Finally, stricter password policies should be put in place for all Botium Toys employees so the likelihood of a brute force attack can be mitigated.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