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849C9" w14:textId="13511CF9" w:rsidR="00CE6675" w:rsidRDefault="0018691B">
      <w:r>
        <w:t>Definições</w:t>
      </w:r>
    </w:p>
    <w:p w14:paraId="4E1175C0" w14:textId="292EDBF9" w:rsidR="00766A36" w:rsidRDefault="00766A36">
      <w:r>
        <w:t>DeepMol</w:t>
      </w:r>
      <w:bookmarkStart w:id="0" w:name="OLE_LINK1"/>
      <w:r>
        <w:t>: O DeepMol é uma ferramenta</w:t>
      </w:r>
      <w:r w:rsidR="006A41E5">
        <w:t>, modular e open source,</w:t>
      </w:r>
      <w:r>
        <w:t xml:space="preserve"> de AutoML desenvolvida especificamente para o domínio da química computacional. </w:t>
      </w:r>
      <w:r w:rsidR="006A41E5">
        <w:t xml:space="preserve"> O seu objetivo é simplificar e otimizar o processo de construção de modelos de ML e DL, com suporte a modelos convencionais como redes neurais convulsionais, recorrentes e de grafos, para prever propriedades e atividades de moléculas. </w:t>
      </w:r>
      <w:r w:rsidR="006A41E5">
        <w:br/>
        <w:t>A ferramenta foi testada em 22 conjuntos de dados de benchmark do Therapeutics Data Commons (TDC) e obteve resultados competitivos, tendo em particular destaque em tarefas de absorção e metabolismo</w:t>
      </w:r>
      <w:r w:rsidR="00797B12">
        <w:t>.</w:t>
      </w:r>
    </w:p>
    <w:bookmarkEnd w:id="0"/>
    <w:p w14:paraId="596AD285" w14:textId="77777777" w:rsidR="0018691B" w:rsidRDefault="0018691B"/>
    <w:p w14:paraId="1DBD8D99" w14:textId="4766A501" w:rsidR="0018691B" w:rsidRPr="004B19FB" w:rsidRDefault="0018691B">
      <w:r w:rsidRPr="004B19FB">
        <w:rPr>
          <w:highlight w:val="yellow"/>
        </w:rPr>
        <w:t>BERT (Bidirectional Encoder Representations from Transformers):</w:t>
      </w:r>
    </w:p>
    <w:p w14:paraId="01B6FAF3" w14:textId="77777777" w:rsidR="0018691B" w:rsidRDefault="0018691B">
      <w:r w:rsidRPr="0018691B">
        <w:t>É um modelo de processa</w:t>
      </w:r>
      <w:r>
        <w:t>mento de linguagem natural (NLP) desenvolvido pela Google.</w:t>
      </w:r>
    </w:p>
    <w:p w14:paraId="7A7C42B9" w14:textId="03B20748" w:rsidR="000F5757" w:rsidRDefault="0018691B">
      <w:r>
        <w:t>-Como é que funciona:</w:t>
      </w:r>
      <w:r w:rsidR="00B13107">
        <w:br/>
      </w:r>
      <w:r w:rsidR="006437EF">
        <w:t>O</w:t>
      </w:r>
      <w:r w:rsidR="000F5757">
        <w:t xml:space="preserve"> BERT é alimentado por uma poderosa arquitetura de rede-neural conhecida como Transformers. Essa </w:t>
      </w:r>
      <w:r w:rsidR="006437EF">
        <w:t>arquitetura</w:t>
      </w:r>
      <w:r w:rsidR="000F5757">
        <w:t xml:space="preserve"> </w:t>
      </w:r>
      <w:r w:rsidR="006437EF">
        <w:t>incorpora um mecanismo chamado “self-attention”, que permite ao BERT medir a importância de cada palavra com base no seu contexto, tanto anterior como posterior, que é a sua principal inovação, o treino bidirecional. Esta noção/consciência de contexto confere a capacidade de gerar embeddings contextualizados de palavras, que são a representação das palavras considerando o seu significado dentro da frase.</w:t>
      </w:r>
    </w:p>
    <w:p w14:paraId="2F6848A0" w14:textId="31A27151" w:rsidR="00650F31" w:rsidRDefault="006437EF">
      <w:r>
        <w:t>-Como é que é treinado:</w:t>
      </w:r>
      <w:r w:rsidR="00650F31">
        <w:br/>
      </w:r>
      <w:r w:rsidR="00A60470">
        <w:t>Treino do BERT:</w:t>
      </w:r>
      <w:r w:rsidR="00650F31">
        <w:t xml:space="preserve"> </w:t>
      </w:r>
      <w:r w:rsidR="00650F31">
        <w:br/>
      </w:r>
      <w:r w:rsidR="00650F31" w:rsidRPr="00650F31">
        <w:t>Masked Language Model (MLM): Durante o treino a</w:t>
      </w:r>
      <w:r w:rsidR="00650F31">
        <w:t>lgumas palavras/caracteres da frase/string são escondidas (substituídas por um token [MASK]) e o modelo aprende a prever essas palavra/caracteres com base no contexto ao redor.</w:t>
      </w:r>
      <w:r w:rsidR="00B13107">
        <w:t xml:space="preserve"> Isto permite ao BERT ser bidirecional.</w:t>
      </w:r>
    </w:p>
    <w:p w14:paraId="313E06E1" w14:textId="06E69CDF" w:rsidR="00B13107" w:rsidRDefault="00F630DD">
      <w:r>
        <w:t>&gt;Frase original: “O cão está a dormir na cama”</w:t>
      </w:r>
      <w:r>
        <w:br/>
        <w:t>&gt;Entrada para o BERT: “O cão está a [MASK] na cama”</w:t>
      </w:r>
      <w:r>
        <w:br/>
        <w:t>&gt;Output esperado: “dormir”</w:t>
      </w:r>
    </w:p>
    <w:p w14:paraId="6FC2A2B1" w14:textId="3A84C6EE" w:rsidR="00650F31" w:rsidRPr="00A60470" w:rsidRDefault="00650F31">
      <w:pPr>
        <w:rPr>
          <w:strike/>
        </w:rPr>
      </w:pPr>
      <w:r w:rsidRPr="00A60470">
        <w:rPr>
          <w:strike/>
        </w:rPr>
        <w:t xml:space="preserve">2. Next Sentence Prediction (NSP): Tem o objetivo de permitir que o BERT aprenda para além das relações entre palavras dentro de uma </w:t>
      </w:r>
      <w:r w:rsidR="00B13107" w:rsidRPr="00A60470">
        <w:rPr>
          <w:strike/>
        </w:rPr>
        <w:t>frase,</w:t>
      </w:r>
      <w:r w:rsidRPr="00A60470">
        <w:rPr>
          <w:strike/>
        </w:rPr>
        <w:t xml:space="preserve"> mas também as relações entre as frases dentro de um texto. </w:t>
      </w:r>
      <w:r w:rsidR="00B13107" w:rsidRPr="00A60470">
        <w:rPr>
          <w:strike/>
        </w:rPr>
        <w:t xml:space="preserve">Durante o treino o BERT recebe duas frases, provenientes de um corpo de texto, que vão ser separadas por um token. </w:t>
      </w:r>
      <w:r w:rsidR="00B13107" w:rsidRPr="00A60470">
        <w:rPr>
          <w:strike/>
        </w:rPr>
        <w:br/>
        <w:t>O BERT aprende a prever se a segunda frase do par segue a logica da primeira ou não.</w:t>
      </w:r>
    </w:p>
    <w:p w14:paraId="638B2F57" w14:textId="3AB462F6" w:rsidR="00F630DD" w:rsidRDefault="00297AB9">
      <w:r>
        <w:lastRenderedPageBreak/>
        <w:t>-BERT Embeddings:</w:t>
      </w:r>
      <w:r>
        <w:br/>
        <w:t xml:space="preserve">O interesse no BERT deve-se à sua capacidade de representar palavras </w:t>
      </w:r>
      <w:r w:rsidR="0084356A">
        <w:t>com alta especificidade e contexto.</w:t>
      </w:r>
    </w:p>
    <w:p w14:paraId="3EA2776D" w14:textId="096643F5" w:rsidR="0084356A" w:rsidRDefault="0084356A">
      <w:r w:rsidRPr="0084356A">
        <w:t xml:space="preserve">&gt;Word Embeddings vs Contextual Word Embeddings: </w:t>
      </w:r>
      <w:r>
        <w:t>O</w:t>
      </w:r>
      <w:r w:rsidRPr="0084356A">
        <w:t xml:space="preserve"> word embeddings é a atribuição de um código que </w:t>
      </w:r>
      <w:r>
        <w:t>vai representar palavras. O BERT conseguiu dar um step up com o word contextual embedding em vez de atribuir um único código fixo para cada palavra vai criar diferentes representações para a mesma pal</w:t>
      </w:r>
      <w:r w:rsidR="00CF25A7">
        <w:t>avra. Isso torna a representação das palavras mais rica e influenciada pelas palavras que a rodeiam.</w:t>
      </w:r>
      <w:r w:rsidR="00CF25A7">
        <w:br/>
      </w:r>
      <w:r w:rsidR="00CF25A7">
        <w:br/>
        <w:t>&gt;WordPiece Tokenization: O vocabulário do BERT funciona como um puzzle composto por subwords. Ele usa a wordpiece tokenization para dividir as palavras em subcomponentes. Isto é especialmente útil para lidar com palavras complexas e com palavras novas.</w:t>
      </w:r>
    </w:p>
    <w:p w14:paraId="1E918552" w14:textId="18EF815B" w:rsidR="00F21DE1" w:rsidRPr="004B19FB" w:rsidRDefault="00F21DE1">
      <w:pPr>
        <w:rPr>
          <w:lang w:val="en-US"/>
        </w:rPr>
      </w:pPr>
      <w:r w:rsidRPr="004B19FB">
        <w:rPr>
          <w:lang w:val="en-US"/>
        </w:rPr>
        <w:t>-Variantes do BERT</w:t>
      </w:r>
    </w:p>
    <w:p w14:paraId="02219C0C" w14:textId="77777777" w:rsidR="00F21DE1" w:rsidRPr="004B19FB" w:rsidRDefault="00F21DE1">
      <w:pPr>
        <w:rPr>
          <w:lang w:val="en-US"/>
        </w:rPr>
      </w:pPr>
    </w:p>
    <w:p w14:paraId="78C8EC2B" w14:textId="51D5A5D0" w:rsidR="00F21DE1" w:rsidRDefault="00F21DE1">
      <w:pPr>
        <w:rPr>
          <w:lang w:val="en-US"/>
        </w:rPr>
      </w:pPr>
      <w:r w:rsidRPr="004B19FB">
        <w:rPr>
          <w:highlight w:val="yellow"/>
          <w:lang w:val="en-US"/>
        </w:rPr>
        <w:t>SMILES (Simplified Molecular Input Line Entry System):</w:t>
      </w:r>
    </w:p>
    <w:p w14:paraId="1C785BC9" w14:textId="7B6E2A9A" w:rsidR="00F21DE1" w:rsidRDefault="00F21DE1">
      <w:r w:rsidRPr="00F21DE1">
        <w:t xml:space="preserve">É uma forma compacta </w:t>
      </w:r>
      <w:r>
        <w:t>de representar estruturas químicas de moléculas através de texto. Permite o fácil armazenamento e manipulação dos compostos por computadores.</w:t>
      </w:r>
    </w:p>
    <w:p w14:paraId="59B022D0" w14:textId="77777777" w:rsidR="000C45F9" w:rsidRDefault="00F21DE1">
      <w:r>
        <w:t>-Como é que funciona:</w:t>
      </w:r>
      <w:r>
        <w:br/>
        <w:t>O SMILES representa átomos, ligações e estruturas químicas usando notação linear.</w:t>
      </w:r>
      <w:r>
        <w:br/>
        <w:t>&gt;Átomos são representados pelos seus símbolos químicos:</w:t>
      </w:r>
      <w:r>
        <w:br/>
        <w:t>-</w:t>
      </w:r>
      <w:r w:rsidR="000C45F9">
        <w:t>Carbono (C), Oxigenio (O), Hidrogénio (H)</w:t>
      </w:r>
    </w:p>
    <w:p w14:paraId="432FC861" w14:textId="77777777" w:rsidR="000C45F9" w:rsidRDefault="000C45F9">
      <w:r>
        <w:t>&gt;Ligações químicas podem ser representadas por diferentes símbolos:</w:t>
      </w:r>
      <w:r>
        <w:br/>
        <w:t>-Simples: -</w:t>
      </w:r>
      <w:r>
        <w:br/>
        <w:t>-Dupla: =</w:t>
      </w:r>
      <w:r>
        <w:br/>
        <w:t>-Tripla: #</w:t>
      </w:r>
    </w:p>
    <w:p w14:paraId="372BFB6E" w14:textId="77777777" w:rsidR="000C45F9" w:rsidRDefault="000C45F9">
      <w:r>
        <w:t>&gt;Ramificações são indicadas por parenteses:</w:t>
      </w:r>
      <w:r>
        <w:br/>
        <w:t>CC(0)C</w:t>
      </w:r>
    </w:p>
    <w:p w14:paraId="5DA78563" w14:textId="170D4417" w:rsidR="000C45F9" w:rsidRDefault="000C45F9">
      <w:r>
        <w:t>&gt;Ciclos são numerados e conectados pelo mesmo número</w:t>
      </w:r>
      <w:r>
        <w:br/>
        <w:t>C1CCCC1</w:t>
      </w:r>
    </w:p>
    <w:p w14:paraId="716896A5" w14:textId="1BE99873" w:rsidR="0069726F" w:rsidRDefault="000C45F9">
      <w:r>
        <w:t>&gt;Estereoisometria pode ser representada com símbolos como / e \ para configurações de dupla ligação ou @ para quiralidade.</w:t>
      </w:r>
    </w:p>
    <w:p w14:paraId="2F83899A" w14:textId="77777777" w:rsidR="00A60470" w:rsidRDefault="00A60470"/>
    <w:p w14:paraId="10612065" w14:textId="1B10DFDB" w:rsidR="0069726F" w:rsidRDefault="0069726F">
      <w:r w:rsidRPr="0069726F">
        <w:rPr>
          <w:highlight w:val="yellow"/>
        </w:rPr>
        <w:lastRenderedPageBreak/>
        <w:t>Global Similarity:</w:t>
      </w:r>
    </w:p>
    <w:p w14:paraId="6A3AD316" w14:textId="7765B451" w:rsidR="00E432DC" w:rsidRDefault="0069726F">
      <w:r>
        <w:t>É a avaliação da similaridade entre dois objetos, conjuntos de dados, imagens ou outras entidades, considerando-as como um todo em vez de especificar características individuais. Esta abordagem procura encontrar a semelhança geral entre os elementos comparados tendo em conta a estrutura, contexto ou distribuição das características.</w:t>
      </w:r>
    </w:p>
    <w:p w14:paraId="04146114" w14:textId="0601DBE3" w:rsidR="000D38B3" w:rsidRDefault="000D38B3">
      <w:r w:rsidRPr="000D38B3">
        <w:rPr>
          <w:highlight w:val="yellow"/>
        </w:rPr>
        <w:t>Local Similarity:</w:t>
      </w:r>
    </w:p>
    <w:p w14:paraId="63359737" w14:textId="1E8F0317" w:rsidR="000D38B3" w:rsidRDefault="000D38B3">
      <w:r>
        <w:t>Comparação ou avaliação da semelhança entre partes especificas de dois objetos, conjuntos de dados, imagens ou outras entidades, em vez de considerar o todo. Esta abordagem é útil quando existem regiões ou características especificas relevantes para a analise</w:t>
      </w:r>
    </w:p>
    <w:p w14:paraId="271F0089" w14:textId="199A4A5C" w:rsidR="000D38B3" w:rsidRDefault="000D38B3">
      <w:r w:rsidRPr="000D38B3">
        <w:rPr>
          <w:highlight w:val="yellow"/>
        </w:rPr>
        <w:t>Global vs local</w:t>
      </w:r>
    </w:p>
    <w:p w14:paraId="641F6F99" w14:textId="19A6F7D3" w:rsidR="000D38B3" w:rsidRDefault="000D38B3">
      <w:r>
        <w:t xml:space="preserve">&gt;Global: Avalia o todo, mostrando a semelhança geral </w:t>
      </w:r>
      <w:r>
        <w:br/>
        <w:t xml:space="preserve">&gt;Local: Foca em zonas especificas, identificando semelhanças pontuais. </w:t>
      </w:r>
    </w:p>
    <w:p w14:paraId="7E91E60A" w14:textId="77777777" w:rsidR="00E432DC" w:rsidRDefault="00E432DC">
      <w:r w:rsidRPr="00E432DC">
        <w:rPr>
          <w:highlight w:val="yellow"/>
        </w:rPr>
        <w:t>Similaridade Biossintetica:</w:t>
      </w:r>
    </w:p>
    <w:p w14:paraId="6E9511E5" w14:textId="49CA6764" w:rsidR="00A60470" w:rsidRPr="00A42522" w:rsidRDefault="00A60470">
      <w:pPr>
        <w:rPr>
          <w:color w:val="FF0000"/>
          <w:u w:val="single"/>
        </w:rPr>
      </w:pPr>
      <w:r>
        <w:t>É uma abordagem que vai além da similaridade estrutural e química, baseando-se na comparaç</w:t>
      </w:r>
      <w:r>
        <w:rPr>
          <w:highlight w:val="yellow"/>
        </w:rPr>
        <w:t>ã</w:t>
      </w:r>
      <w:r>
        <w:t xml:space="preserve">o das moléculas com base em como estas são sintetizadas nos sistemas biológicos. </w:t>
      </w:r>
      <w:r w:rsidR="00B82A46">
        <w:br/>
        <w:t>A similaridade biossintética é calculada tendo em consideração</w:t>
      </w:r>
      <w:r w:rsidR="00A42522">
        <w:t xml:space="preserve"> as vias metabólicas e as enzimas envolvidas na produção de compostos naturais. Esta abordagem permite identificar relações funcionais entre moléculas que podem não ser evidentes apenas com uma análise estrutural. </w:t>
      </w:r>
      <w:r w:rsidR="00A42522" w:rsidRPr="00A42522">
        <w:rPr>
          <w:color w:val="FF0000"/>
          <w:u w:val="single"/>
        </w:rPr>
        <w:t>Falar na molecular fingerprint ?</w:t>
      </w:r>
    </w:p>
    <w:p w14:paraId="63068CB6" w14:textId="4FB2C038" w:rsidR="007A4527" w:rsidRPr="004A1B3D" w:rsidRDefault="007A4527">
      <w:r w:rsidRPr="004A1B3D">
        <w:t>Machine Learning:</w:t>
      </w:r>
      <w:r w:rsidR="004A1B3D" w:rsidRPr="004A1B3D">
        <w:t xml:space="preserve"> É um ramo da </w:t>
      </w:r>
      <w:r w:rsidR="00A42522">
        <w:t>Inteligência</w:t>
      </w:r>
      <w:r w:rsidR="004A1B3D">
        <w:t xml:space="preserve"> artificial</w:t>
      </w:r>
      <w:r w:rsidR="00F511F6">
        <w:t>, com algumas variantes e aplicações,</w:t>
      </w:r>
      <w:r w:rsidR="004A1B3D">
        <w:t xml:space="preserve"> que</w:t>
      </w:r>
      <w:r w:rsidR="00F511F6">
        <w:t xml:space="preserve"> se concentra no desenvolvimento de modelos que</w:t>
      </w:r>
      <w:r w:rsidR="004A1B3D">
        <w:t xml:space="preserve"> permite aos computadores aprenderem com dados e fazerem previsões ou tomarem decisões sem</w:t>
      </w:r>
      <w:r w:rsidR="00F511F6">
        <w:t xml:space="preserve"> serem explicitamente programados para isso. Em vez de seguirem instruções passo a passo os sistemas de machine learning aprendem com dados ao identificar padrões e a generalizar para novos dados.</w:t>
      </w:r>
      <w:r w:rsidR="004A1B3D">
        <w:t xml:space="preserve"> </w:t>
      </w:r>
    </w:p>
    <w:p w14:paraId="447CEE42" w14:textId="77777777" w:rsidR="004D7075" w:rsidRDefault="007A4527">
      <w:r w:rsidRPr="007A4527">
        <w:t xml:space="preserve">Neural Network: </w:t>
      </w:r>
      <w:r w:rsidR="004D7075">
        <w:br/>
        <w:t>É um modelo computacional inspirado no funcionamento do cérebro humano, composto por unidades interconectadas chamadas de neurónios artificiais. Estes neurónios estão organizados em camadas e trabalham em conjunto para aprender padrões em dados. Neural networks são a base do Deep Learning.</w:t>
      </w:r>
    </w:p>
    <w:p w14:paraId="349C7531" w14:textId="77777777" w:rsidR="00F511F6" w:rsidRDefault="00F511F6"/>
    <w:p w14:paraId="0E13C294" w14:textId="77777777" w:rsidR="00F511F6" w:rsidRDefault="00F511F6"/>
    <w:p w14:paraId="124E329F" w14:textId="7148B9FB" w:rsidR="004D7075" w:rsidRDefault="004D7075">
      <w:r>
        <w:lastRenderedPageBreak/>
        <w:t>Estrutura básica de uma NN:</w:t>
      </w:r>
      <w:r>
        <w:br/>
        <w:t>- Input layer:</w:t>
      </w:r>
      <w:r>
        <w:br/>
        <w:t xml:space="preserve">Recebe os dados brutos </w:t>
      </w:r>
      <w:r>
        <w:br/>
        <w:t>Cada neurónio nesta camada representa uma característica dos dados</w:t>
      </w:r>
    </w:p>
    <w:p w14:paraId="296C6292" w14:textId="77777777" w:rsidR="00C07E82" w:rsidRDefault="004D7075">
      <w:r>
        <w:t xml:space="preserve">-Hidden </w:t>
      </w:r>
      <w:r w:rsidR="00C07E82">
        <w:t>layers:</w:t>
      </w:r>
      <w:r w:rsidR="00C07E82">
        <w:br/>
        <w:t>Realizam a maior parte do processamento.</w:t>
      </w:r>
      <w:r w:rsidR="00C07E82">
        <w:br/>
        <w:t>Cada neurónio numa hidden layer recebe o input dos neurónios da camada anterior, aplica uma transformação matemática e passa a informação para a próxima camada.</w:t>
      </w:r>
    </w:p>
    <w:p w14:paraId="0E4AC549" w14:textId="3ECE471B" w:rsidR="00C07E82" w:rsidRDefault="00C07E82">
      <w:r w:rsidRPr="00C07E82">
        <w:t>-Output layer:</w:t>
      </w:r>
      <w:r w:rsidRPr="00C07E82">
        <w:br/>
        <w:t>Produz o resultado do modelo</w:t>
      </w:r>
      <w:r>
        <w:t>.</w:t>
      </w:r>
      <w:r>
        <w:br/>
      </w:r>
    </w:p>
    <w:p w14:paraId="00C964C6" w14:textId="44DD5156" w:rsidR="004D7075" w:rsidRDefault="00C07E82">
      <w:r>
        <w:t>Funcionamento de um neurónio artificial: (Completar)</w:t>
      </w:r>
      <w:r w:rsidRPr="00C07E82">
        <w:br/>
      </w:r>
      <w:r w:rsidR="004D7075" w:rsidRPr="00C07E82">
        <w:br/>
      </w:r>
      <w:r w:rsidR="004D7075">
        <w:t>&gt;Redes Neurais Tradicionais:</w:t>
      </w:r>
      <w:r w:rsidR="004D7075">
        <w:br/>
        <w:t>Podem ter apenas uma ou poucas camadas ocultas.</w:t>
      </w:r>
      <w:r w:rsidR="004D7075">
        <w:br/>
        <w:t>São eficazes para problemas simples.</w:t>
      </w:r>
    </w:p>
    <w:p w14:paraId="0DD65D81" w14:textId="77777777" w:rsidR="00625B43" w:rsidRDefault="004D7075">
      <w:r>
        <w:t>&gt;Redes Neuras Profundas:</w:t>
      </w:r>
      <w:r>
        <w:br/>
        <w:t>Possuem muitas camadas ocultas.</w:t>
      </w:r>
      <w:r>
        <w:br/>
        <w:t>Capaz de aprender representações abstratas de dados</w:t>
      </w:r>
      <w:r>
        <w:br/>
        <w:t>Requer grandes quantidades de dados e poder computacional.</w:t>
      </w:r>
    </w:p>
    <w:p w14:paraId="7B2E8603" w14:textId="638F180C" w:rsidR="007A4527" w:rsidRPr="007A4527" w:rsidRDefault="00625B43">
      <w:r>
        <w:t>Loss Function: É uma métrica usada para quantificar a performance do modelo em relação aos dados reais. Ela mede a diferen</w:t>
      </w:r>
      <w:r w:rsidR="00C51AFF">
        <w:t>ça entre previsões feitas pela rede neural e os valores reais dos dados. O principal objetivo da loss function é guiar o processo de treino da rede neural, fornecendo um sinal que indique o qual errado o modelo esta para poder ser otimizado.</w:t>
      </w:r>
      <w:r w:rsidR="00C51AFF">
        <w:br/>
        <w:t>Existem várias loss functions, como por exemplo:</w:t>
      </w:r>
      <w:r w:rsidR="00C51AFF">
        <w:br/>
        <w:t>&gt;MSE - Mean Squared Error</w:t>
      </w:r>
      <w:r w:rsidR="00C51AFF">
        <w:rPr>
          <w:noProof/>
        </w:rPr>
        <w:lastRenderedPageBreak/>
        <w:drawing>
          <wp:inline distT="0" distB="0" distL="0" distR="0" wp14:anchorId="54133931" wp14:editId="19DF7614">
            <wp:extent cx="5400040" cy="2383155"/>
            <wp:effectExtent l="0" t="0" r="0" b="4445"/>
            <wp:docPr id="77594721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47218" name="Imagem 7759472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AFF">
        <w:br/>
        <w:t>&gt;MAE – Mean Absolut Error</w:t>
      </w:r>
      <w:r w:rsidR="00C51AFF">
        <w:br/>
      </w:r>
      <w:r w:rsidR="007A4527" w:rsidRPr="007A4527">
        <w:br/>
      </w:r>
      <w:r w:rsidR="00C51AFF">
        <w:rPr>
          <w:noProof/>
        </w:rPr>
        <w:drawing>
          <wp:inline distT="0" distB="0" distL="0" distR="0" wp14:anchorId="4F5C35C1" wp14:editId="3BBF3F40">
            <wp:extent cx="5400040" cy="982345"/>
            <wp:effectExtent l="0" t="0" r="0" b="0"/>
            <wp:docPr id="230114020" name="Imagem 3" descr="Uma imagem com texto, Tipo de letra, captura de ecrã,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14020" name="Imagem 3" descr="Uma imagem com texto, Tipo de letra, captura de ecrã, pre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36F4" w14:textId="50361A4F" w:rsidR="00C51AFF" w:rsidRDefault="00C51AFF">
      <w:r>
        <w:t>&gt;Binary Cross-Entropy</w:t>
      </w:r>
      <w:r>
        <w:br/>
      </w:r>
      <w:r>
        <w:rPr>
          <w:noProof/>
        </w:rPr>
        <w:drawing>
          <wp:inline distT="0" distB="0" distL="0" distR="0" wp14:anchorId="469C18DF" wp14:editId="46E580D6">
            <wp:extent cx="5400040" cy="1056640"/>
            <wp:effectExtent l="0" t="0" r="0" b="0"/>
            <wp:docPr id="638997433" name="Imagem 4" descr="Uma imagem com texto, Tipo de letra, captura de ecrã,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97433" name="Imagem 4" descr="Uma imagem com texto, Tipo de letra, captura de ecrã, pre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48DE" w14:textId="69ACDDD8" w:rsidR="00C51AFF" w:rsidRDefault="00C51AFF">
      <w:r>
        <w:t>&gt;Categorical Cross-Entropy:</w:t>
      </w:r>
    </w:p>
    <w:p w14:paraId="31A08159" w14:textId="2E0CAA35" w:rsidR="00C51AFF" w:rsidRDefault="00C51AFF">
      <w:r>
        <w:rPr>
          <w:noProof/>
        </w:rPr>
        <w:drawing>
          <wp:inline distT="0" distB="0" distL="0" distR="0" wp14:anchorId="36EA7771" wp14:editId="36FCAC43">
            <wp:extent cx="5400040" cy="812165"/>
            <wp:effectExtent l="0" t="0" r="0" b="635"/>
            <wp:docPr id="382785180" name="Imagem 5" descr="Uma imagem com texto, Tipo de letra, pre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85180" name="Imagem 5" descr="Uma imagem com texto, Tipo de letra, preto, captura de ecrã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F199" w14:textId="63617533" w:rsidR="00C51AFF" w:rsidRDefault="00C51AFF">
      <w:r>
        <w:t>&gt;Hinge Loss:</w:t>
      </w:r>
    </w:p>
    <w:p w14:paraId="450C2974" w14:textId="4B590046" w:rsidR="00C51AFF" w:rsidRDefault="00C51AFF">
      <w:r>
        <w:rPr>
          <w:noProof/>
        </w:rPr>
        <w:drawing>
          <wp:inline distT="0" distB="0" distL="0" distR="0" wp14:anchorId="306C6847" wp14:editId="23A349CB">
            <wp:extent cx="5400040" cy="527685"/>
            <wp:effectExtent l="0" t="0" r="0" b="5715"/>
            <wp:docPr id="5990757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7574" name="Imagem 599075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7790" w14:textId="1B4A3EE0" w:rsidR="004A1B3D" w:rsidRDefault="004A1B3D">
      <w:r>
        <w:t xml:space="preserve">A escolha da loss function certa depende do tipo de problema e das características dos dados. Uma boa loss function deve ser diferenciável para permitir o uso de algoritmos descendentes, deve refletir adequadamente o desempenho do modelo e deve ser fácil de interpretar. </w:t>
      </w:r>
      <w:r>
        <w:br/>
      </w:r>
    </w:p>
    <w:p w14:paraId="4EE1658F" w14:textId="1B33C63B" w:rsidR="007A4527" w:rsidRDefault="007A4527">
      <w:r w:rsidRPr="00C07E82">
        <w:lastRenderedPageBreak/>
        <w:t>Deep Learning:</w:t>
      </w:r>
      <w:r w:rsidRPr="00C07E82">
        <w:br/>
      </w:r>
      <w:r w:rsidR="00C07E82" w:rsidRPr="00C07E82">
        <w:t>É um subcampo do machine learning que utiliza redes neu</w:t>
      </w:r>
      <w:r w:rsidR="00C07E82">
        <w:t xml:space="preserve">rais profundas, dai o termo deep, para aprender representações complexas e hierárquicas dos dados. </w:t>
      </w:r>
    </w:p>
    <w:p w14:paraId="41E61832" w14:textId="77777777" w:rsidR="00F2227E" w:rsidRDefault="0018691B" w:rsidP="00F2227E">
      <w:pPr>
        <w:ind w:left="720"/>
        <w:rPr>
          <w:lang w:val="en-US"/>
        </w:rPr>
      </w:pPr>
      <w:r w:rsidRPr="00F2227E">
        <w:rPr>
          <w:lang w:val="en-US"/>
        </w:rPr>
        <w:br/>
      </w:r>
      <w:r w:rsidRPr="00F2227E">
        <w:rPr>
          <w:lang w:val="en-US"/>
        </w:rPr>
        <w:br/>
      </w:r>
      <w:r w:rsidR="00141613" w:rsidRPr="00F2227E">
        <w:rPr>
          <w:lang w:val="en-US"/>
        </w:rPr>
        <w:t>Referencias:</w:t>
      </w:r>
    </w:p>
    <w:p w14:paraId="0E495637" w14:textId="77777777" w:rsidR="00E6348E" w:rsidRPr="00E6348E" w:rsidRDefault="00E6348E" w:rsidP="00E6348E">
      <w:pPr>
        <w:pStyle w:val="PargrafodaLista"/>
        <w:numPr>
          <w:ilvl w:val="0"/>
          <w:numId w:val="1"/>
        </w:numPr>
        <w:rPr>
          <w:b/>
          <w:bCs/>
        </w:rPr>
      </w:pPr>
      <w:r w:rsidRPr="00E6348E">
        <w:rPr>
          <w:b/>
          <w:bCs/>
        </w:rPr>
        <w:t xml:space="preserve">Correia, J., Capela, J., &amp; Rocha, M. (2024). </w:t>
      </w:r>
      <w:r w:rsidRPr="00E6348E">
        <w:rPr>
          <w:b/>
          <w:bCs/>
          <w:lang w:val="en-US"/>
        </w:rPr>
        <w:t>Deepmol: an automated machine and deep learning framework for computational chemistry. </w:t>
      </w:r>
      <w:r w:rsidRPr="00E6348E">
        <w:rPr>
          <w:b/>
          <w:bCs/>
          <w:i/>
          <w:iCs/>
        </w:rPr>
        <w:t>Journal of Cheminformatics, 16</w:t>
      </w:r>
      <w:r w:rsidRPr="00E6348E">
        <w:rPr>
          <w:b/>
          <w:bCs/>
        </w:rPr>
        <w:t>(136). </w:t>
      </w:r>
      <w:hyperlink r:id="rId10" w:tgtFrame="_blank" w:history="1">
        <w:r w:rsidRPr="00E6348E">
          <w:rPr>
            <w:rStyle w:val="Hiperligao"/>
            <w:b/>
            <w:bCs/>
          </w:rPr>
          <w:t>https://doi.org/10.1186/s13321-024-00937-7</w:t>
        </w:r>
      </w:hyperlink>
    </w:p>
    <w:p w14:paraId="2E7D281D" w14:textId="77777777" w:rsidR="00E6348E" w:rsidRPr="00E6348E" w:rsidRDefault="00E6348E" w:rsidP="00E6348E">
      <w:pPr>
        <w:pStyle w:val="PargrafodaLista"/>
        <w:numPr>
          <w:ilvl w:val="0"/>
          <w:numId w:val="1"/>
        </w:numPr>
        <w:rPr>
          <w:b/>
          <w:bCs/>
        </w:rPr>
      </w:pPr>
      <w:r w:rsidRPr="00E6348E">
        <w:rPr>
          <w:b/>
          <w:bCs/>
        </w:rPr>
        <w:t>Bolcato, G., Heid, E., &amp; Boström, J. (2022). On the value of using 3D shape and electrostatic similarities in deep generative methods. </w:t>
      </w:r>
      <w:r w:rsidRPr="00E6348E">
        <w:rPr>
          <w:b/>
          <w:bCs/>
          <w:i/>
          <w:iCs/>
        </w:rPr>
        <w:t>Journal of Chemical Information and Modeling, 62</w:t>
      </w:r>
      <w:r w:rsidRPr="00E6348E">
        <w:rPr>
          <w:b/>
          <w:bCs/>
        </w:rPr>
        <w:t>(6), 1388–1398. </w:t>
      </w:r>
      <w:hyperlink r:id="rId11" w:tgtFrame="_blank" w:history="1">
        <w:r w:rsidRPr="00E6348E">
          <w:rPr>
            <w:rStyle w:val="Hiperligao"/>
            <w:b/>
            <w:bCs/>
          </w:rPr>
          <w:t>https://doi.org/10.1021/acs.jcim.1c01535</w:t>
        </w:r>
      </w:hyperlink>
    </w:p>
    <w:p w14:paraId="1278B9DA" w14:textId="77777777" w:rsidR="00E6348E" w:rsidRPr="00E6348E" w:rsidRDefault="00E6348E" w:rsidP="00E6348E">
      <w:pPr>
        <w:pStyle w:val="PargrafodaLista"/>
        <w:numPr>
          <w:ilvl w:val="0"/>
          <w:numId w:val="1"/>
        </w:numPr>
        <w:rPr>
          <w:b/>
          <w:bCs/>
        </w:rPr>
      </w:pPr>
      <w:r w:rsidRPr="00E6348E">
        <w:rPr>
          <w:b/>
          <w:bCs/>
        </w:rPr>
        <w:t>Zheng, X., &amp; Tomiura, Y. (2024). A BERT-based pretraining model for extracting molecular structural information from a SMILES sequence. </w:t>
      </w:r>
      <w:r w:rsidRPr="00E6348E">
        <w:rPr>
          <w:b/>
          <w:bCs/>
          <w:i/>
          <w:iCs/>
        </w:rPr>
        <w:t>Journal of Cheminformatics, 16</w:t>
      </w:r>
      <w:r w:rsidRPr="00E6348E">
        <w:rPr>
          <w:b/>
          <w:bCs/>
        </w:rPr>
        <w:t>(71). </w:t>
      </w:r>
      <w:hyperlink r:id="rId12" w:tgtFrame="_blank" w:history="1">
        <w:r w:rsidRPr="00E6348E">
          <w:rPr>
            <w:rStyle w:val="Hiperligao"/>
            <w:b/>
            <w:bCs/>
          </w:rPr>
          <w:t>https://doi.org/10.1186/s13321-024-00848-7</w:t>
        </w:r>
      </w:hyperlink>
    </w:p>
    <w:p w14:paraId="3C7EA774" w14:textId="77777777" w:rsidR="00E6348E" w:rsidRPr="00E6348E" w:rsidRDefault="00E6348E" w:rsidP="00E6348E">
      <w:pPr>
        <w:pStyle w:val="PargrafodaLista"/>
        <w:numPr>
          <w:ilvl w:val="0"/>
          <w:numId w:val="1"/>
        </w:numPr>
        <w:rPr>
          <w:b/>
          <w:bCs/>
        </w:rPr>
      </w:pPr>
      <w:r w:rsidRPr="00E6348E">
        <w:rPr>
          <w:b/>
          <w:bCs/>
        </w:rPr>
        <w:t>Nollen, L.-M., Meijer, D., Sorokina, M., &amp; van der Hooft, J. J. J. (2024). Biosynfoni: A Biosynthesis-informed and Interpretable Lightweight Molecular Fingerprint. </w:t>
      </w:r>
      <w:r w:rsidRPr="00E6348E">
        <w:rPr>
          <w:b/>
          <w:bCs/>
          <w:i/>
          <w:iCs/>
        </w:rPr>
        <w:t>ChemRxiv</w:t>
      </w:r>
      <w:r w:rsidRPr="00E6348E">
        <w:rPr>
          <w:b/>
          <w:bCs/>
        </w:rPr>
        <w:t>. </w:t>
      </w:r>
      <w:hyperlink r:id="rId13" w:tgtFrame="_blank" w:history="1">
        <w:r w:rsidRPr="00E6348E">
          <w:rPr>
            <w:rStyle w:val="Hiperligao"/>
            <w:b/>
            <w:bCs/>
          </w:rPr>
          <w:t>https://doi.org/10.26434/chemrxiv-2025-cwg74</w:t>
        </w:r>
      </w:hyperlink>
    </w:p>
    <w:p w14:paraId="61EADD03" w14:textId="77777777" w:rsidR="00E6348E" w:rsidRPr="00E6348E" w:rsidRDefault="00E6348E" w:rsidP="00E6348E">
      <w:pPr>
        <w:pStyle w:val="PargrafodaLista"/>
        <w:numPr>
          <w:ilvl w:val="0"/>
          <w:numId w:val="1"/>
        </w:numPr>
        <w:rPr>
          <w:b/>
          <w:bCs/>
        </w:rPr>
      </w:pPr>
      <w:r w:rsidRPr="00E6348E">
        <w:rPr>
          <w:b/>
          <w:bCs/>
        </w:rPr>
        <w:t>Menke, J., Massa, J., &amp; Koch, O. (2021). Natural product scores and fingerprints extracted from artificial neural networks. </w:t>
      </w:r>
      <w:r w:rsidRPr="00E6348E">
        <w:rPr>
          <w:b/>
          <w:bCs/>
          <w:i/>
          <w:iCs/>
        </w:rPr>
        <w:t>Computational and Structural Biotechnology Journal, 19</w:t>
      </w:r>
      <w:r w:rsidRPr="00E6348E">
        <w:rPr>
          <w:b/>
          <w:bCs/>
        </w:rPr>
        <w:t>, 4593–4602. </w:t>
      </w:r>
      <w:hyperlink r:id="rId14" w:tgtFrame="_blank" w:history="1">
        <w:r w:rsidRPr="00E6348E">
          <w:rPr>
            <w:rStyle w:val="Hiperligao"/>
            <w:b/>
            <w:bCs/>
          </w:rPr>
          <w:t>https://doi.org/10.1016/j.csbj.2021.07.032</w:t>
        </w:r>
      </w:hyperlink>
    </w:p>
    <w:p w14:paraId="77B6BB7B" w14:textId="2B341B00" w:rsidR="00F2227E" w:rsidRPr="00F2227E" w:rsidRDefault="00F2227E" w:rsidP="00E6348E">
      <w:pPr>
        <w:pStyle w:val="PargrafodaLista"/>
        <w:ind w:left="502"/>
        <w:rPr>
          <w:lang w:val="en-US"/>
        </w:rPr>
      </w:pPr>
    </w:p>
    <w:sectPr w:rsidR="00F2227E" w:rsidRPr="00F222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F6352"/>
    <w:multiLevelType w:val="multilevel"/>
    <w:tmpl w:val="1A2EC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085C29"/>
    <w:multiLevelType w:val="multilevel"/>
    <w:tmpl w:val="C9BEF09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" w15:restartNumberingAfterBreak="0">
    <w:nsid w:val="7D946C29"/>
    <w:multiLevelType w:val="multilevel"/>
    <w:tmpl w:val="4984A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1031318">
    <w:abstractNumId w:val="1"/>
  </w:num>
  <w:num w:numId="2" w16cid:durableId="1053844915">
    <w:abstractNumId w:val="0"/>
  </w:num>
  <w:num w:numId="3" w16cid:durableId="98067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1B"/>
    <w:rsid w:val="000C45F9"/>
    <w:rsid w:val="000D38B3"/>
    <w:rsid w:val="000F5757"/>
    <w:rsid w:val="00141613"/>
    <w:rsid w:val="0018691B"/>
    <w:rsid w:val="001F372B"/>
    <w:rsid w:val="00273762"/>
    <w:rsid w:val="00297AB9"/>
    <w:rsid w:val="00334177"/>
    <w:rsid w:val="004A1B3D"/>
    <w:rsid w:val="004B19FB"/>
    <w:rsid w:val="004D7075"/>
    <w:rsid w:val="005C6186"/>
    <w:rsid w:val="00625B43"/>
    <w:rsid w:val="006437EF"/>
    <w:rsid w:val="00650F31"/>
    <w:rsid w:val="0069726F"/>
    <w:rsid w:val="006A41E5"/>
    <w:rsid w:val="00766A36"/>
    <w:rsid w:val="00797B12"/>
    <w:rsid w:val="007A4527"/>
    <w:rsid w:val="0084356A"/>
    <w:rsid w:val="00865DDA"/>
    <w:rsid w:val="009333E4"/>
    <w:rsid w:val="00A42522"/>
    <w:rsid w:val="00A60470"/>
    <w:rsid w:val="00A714AD"/>
    <w:rsid w:val="00B13107"/>
    <w:rsid w:val="00B82A46"/>
    <w:rsid w:val="00B91649"/>
    <w:rsid w:val="00C045B2"/>
    <w:rsid w:val="00C07E82"/>
    <w:rsid w:val="00C51AFF"/>
    <w:rsid w:val="00CE6675"/>
    <w:rsid w:val="00CF25A7"/>
    <w:rsid w:val="00DF06B8"/>
    <w:rsid w:val="00E353B8"/>
    <w:rsid w:val="00E432DC"/>
    <w:rsid w:val="00E6348E"/>
    <w:rsid w:val="00F21DE1"/>
    <w:rsid w:val="00F2227E"/>
    <w:rsid w:val="00F511F6"/>
    <w:rsid w:val="00F52DC2"/>
    <w:rsid w:val="00F6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ABB8D"/>
  <w15:chartTrackingRefBased/>
  <w15:docId w15:val="{3C08D0FB-858A-D44A-9C82-2D07C364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86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86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869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86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869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86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86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86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86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869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869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869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869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8691B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869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8691B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869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869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86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86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86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86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86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8691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691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8691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869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8691B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8691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2227E"/>
    <w:rPr>
      <w:rFonts w:ascii="Times New Roman" w:hAnsi="Times New Roman" w:cs="Times New Roman"/>
    </w:rPr>
  </w:style>
  <w:style w:type="character" w:styleId="Hiperligao">
    <w:name w:val="Hyperlink"/>
    <w:basedOn w:val="Tipodeletrapredefinidodopargrafo"/>
    <w:uiPriority w:val="99"/>
    <w:unhideWhenUsed/>
    <w:rsid w:val="00F2227E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222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7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29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94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i.org/10.26434/chemrxiv-2025-cwg7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i.org/10.1186/s13321-024-00848-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i.org/10.1021/acs.jcim.1c01535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doi.org/10.1186/s13321-024-00937-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i.org/10.1016/j.csbj.2021.07.03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6</Pages>
  <Words>1387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da Costa Pereira</dc:creator>
  <cp:keywords/>
  <dc:description/>
  <cp:lastModifiedBy>Pedro Henrique da Costa Pereira</cp:lastModifiedBy>
  <cp:revision>8</cp:revision>
  <dcterms:created xsi:type="dcterms:W3CDTF">2025-02-19T18:57:00Z</dcterms:created>
  <dcterms:modified xsi:type="dcterms:W3CDTF">2025-03-07T17:02:00Z</dcterms:modified>
</cp:coreProperties>
</file>