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55C8" w14:textId="77777777" w:rsidR="00A70D64" w:rsidRDefault="00A70D64" w:rsidP="00A70D64">
      <w:pPr>
        <w:pStyle w:val="NormalWeb"/>
        <w:jc w:val="both"/>
        <w:rPr>
          <w:sz w:val="22"/>
          <w:szCs w:val="22"/>
          <w:lang w:val="en-US"/>
        </w:rPr>
      </w:pPr>
      <w:r w:rsidRPr="00BD07F5">
        <w:rPr>
          <w:sz w:val="22"/>
          <w:szCs w:val="22"/>
          <w:lang w:val="en-US"/>
        </w:rPr>
        <w:t xml:space="preserve">In the </w:t>
      </w:r>
      <w:r>
        <w:rPr>
          <w:sz w:val="22"/>
          <w:szCs w:val="22"/>
          <w:lang w:val="en-US"/>
        </w:rPr>
        <w:t xml:space="preserve">scholarly discussion </w:t>
      </w:r>
      <w:r w:rsidRPr="00BD07F5">
        <w:rPr>
          <w:sz w:val="22"/>
          <w:szCs w:val="22"/>
          <w:lang w:val="en-US"/>
        </w:rPr>
        <w:t xml:space="preserve">of </w:t>
      </w:r>
      <w:r>
        <w:rPr>
          <w:sz w:val="22"/>
          <w:szCs w:val="22"/>
          <w:lang w:val="en-US"/>
        </w:rPr>
        <w:t xml:space="preserve">social </w:t>
      </w:r>
      <w:r w:rsidRPr="00BD07F5">
        <w:rPr>
          <w:sz w:val="22"/>
          <w:szCs w:val="22"/>
          <w:lang w:val="en-US"/>
        </w:rPr>
        <w:t xml:space="preserve">cohesion, </w:t>
      </w:r>
      <w:r>
        <w:rPr>
          <w:sz w:val="22"/>
          <w:szCs w:val="22"/>
          <w:lang w:val="en-US"/>
        </w:rPr>
        <w:t xml:space="preserve">the </w:t>
      </w:r>
      <w:r w:rsidRPr="00BD07F5">
        <w:rPr>
          <w:sz w:val="22"/>
          <w:szCs w:val="22"/>
          <w:lang w:val="en-US"/>
        </w:rPr>
        <w:t xml:space="preserve">attention </w:t>
      </w:r>
      <w:r>
        <w:rPr>
          <w:sz w:val="22"/>
          <w:szCs w:val="22"/>
          <w:lang w:val="en-US"/>
        </w:rPr>
        <w:t>on the factors that affect, either positive or negative, has been mainly on</w:t>
      </w:r>
      <w:r w:rsidRPr="00BD07F5">
        <w:rPr>
          <w:sz w:val="22"/>
          <w:szCs w:val="22"/>
          <w:lang w:val="en-US"/>
        </w:rPr>
        <w:t xml:space="preserve"> the </w:t>
      </w:r>
      <w:r>
        <w:rPr>
          <w:sz w:val="22"/>
          <w:szCs w:val="22"/>
          <w:lang w:val="en-US"/>
        </w:rPr>
        <w:t xml:space="preserve">macro </w:t>
      </w:r>
      <w:r w:rsidRPr="00BD07F5">
        <w:rPr>
          <w:sz w:val="22"/>
          <w:szCs w:val="22"/>
          <w:lang w:val="en-US"/>
        </w:rPr>
        <w:t xml:space="preserve">factors that affect </w:t>
      </w:r>
      <w:r>
        <w:rPr>
          <w:sz w:val="22"/>
          <w:szCs w:val="22"/>
          <w:lang w:val="en-US"/>
        </w:rPr>
        <w:t>the different constituent elements</w:t>
      </w:r>
      <w:r w:rsidRPr="00BD07F5">
        <w:rPr>
          <w:sz w:val="22"/>
          <w:szCs w:val="22"/>
          <w:lang w:val="en-US"/>
        </w:rPr>
        <w:t xml:space="preserve"> of</w:t>
      </w:r>
      <w:r>
        <w:rPr>
          <w:sz w:val="22"/>
          <w:szCs w:val="22"/>
          <w:lang w:val="en-US"/>
        </w:rPr>
        <w:t xml:space="preserve"> the above defined horizontal</w:t>
      </w:r>
      <w:r w:rsidRPr="00BD07F5">
        <w:rPr>
          <w:sz w:val="22"/>
          <w:szCs w:val="22"/>
          <w:lang w:val="en-US"/>
        </w:rPr>
        <w:t xml:space="preserve"> and </w:t>
      </w:r>
      <w:r>
        <w:rPr>
          <w:sz w:val="22"/>
          <w:szCs w:val="22"/>
          <w:lang w:val="en-US"/>
        </w:rPr>
        <w:t>vertical dimensions of social cohesion [</w:t>
      </w:r>
      <w:commentRangeStart w:id="0"/>
      <w:r>
        <w:rPr>
          <w:sz w:val="22"/>
          <w:szCs w:val="22"/>
          <w:lang w:val="en-US"/>
        </w:rPr>
        <w:t>Cites</w:t>
      </w:r>
      <w:commentRangeEnd w:id="0"/>
      <w:r>
        <w:rPr>
          <w:rStyle w:val="CommentReference"/>
          <w:sz w:val="22"/>
          <w:szCs w:val="22"/>
          <w:lang w:val="en-US"/>
        </w:rPr>
        <w:commentReference w:id="0"/>
      </w:r>
      <w:r>
        <w:rPr>
          <w:sz w:val="22"/>
          <w:szCs w:val="22"/>
          <w:lang w:val="en-US"/>
        </w:rPr>
        <w:t xml:space="preserve">]. As mentioned above, these macro factors can be organized in the socioeconomic, sociocultural diversity and socio-political values domains. </w:t>
      </w:r>
    </w:p>
    <w:p w14:paraId="3F34C04F" w14:textId="77777777" w:rsidR="00A70D64" w:rsidRDefault="00A70D64" w:rsidP="00A70D64">
      <w:pPr>
        <w:pStyle w:val="NormalWeb"/>
        <w:jc w:val="both"/>
        <w:rPr>
          <w:b/>
          <w:bCs/>
          <w:sz w:val="22"/>
          <w:szCs w:val="22"/>
          <w:lang w:val="en-US"/>
        </w:rPr>
      </w:pPr>
      <w:r>
        <w:rPr>
          <w:b/>
          <w:bCs/>
          <w:sz w:val="22"/>
          <w:szCs w:val="22"/>
          <w:lang w:val="en-US"/>
        </w:rPr>
        <w:t>Economic Prosperity</w:t>
      </w:r>
    </w:p>
    <w:p w14:paraId="65C26AB1" w14:textId="77777777" w:rsidR="00A70D64" w:rsidRDefault="00A70D64" w:rsidP="00A70D64">
      <w:pPr>
        <w:pStyle w:val="NormalWeb"/>
        <w:jc w:val="both"/>
        <w:rPr>
          <w:sz w:val="22"/>
          <w:szCs w:val="22"/>
          <w:lang w:val="en-US"/>
        </w:rPr>
      </w:pPr>
      <w:r w:rsidRPr="00841442">
        <w:rPr>
          <w:b/>
          <w:bCs/>
          <w:sz w:val="22"/>
          <w:szCs w:val="22"/>
          <w:lang w:val="en-US"/>
        </w:rPr>
        <w:t>Economic inequality</w:t>
      </w:r>
      <w:r w:rsidRPr="00BD07F5">
        <w:rPr>
          <w:sz w:val="22"/>
          <w:szCs w:val="22"/>
          <w:lang w:val="en-US"/>
        </w:rPr>
        <w:t xml:space="preserve"> is identified as antecedent that exerts a</w:t>
      </w:r>
      <w:r>
        <w:rPr>
          <w:sz w:val="22"/>
          <w:szCs w:val="22"/>
          <w:lang w:val="en-US"/>
        </w:rPr>
        <w:t xml:space="preserve"> </w:t>
      </w:r>
      <w:r w:rsidRPr="00BD07F5">
        <w:rPr>
          <w:sz w:val="22"/>
          <w:szCs w:val="22"/>
          <w:lang w:val="en-US"/>
        </w:rPr>
        <w:t xml:space="preserve">corrosive impact on cohesion, primarily by undermining interpersonal trust, and by impeding participation (Schiefer &amp; Noll, 2017; Portes &amp; Vickstrom, 2011). Research suggests that while moderate income inequality may be compatible with cohesion, extreme inequality triggers domain-specific erosion (Delhey et al., 2023). </w:t>
      </w:r>
    </w:p>
    <w:p w14:paraId="6E83F9E4" w14:textId="77777777" w:rsidR="00A70D64" w:rsidRDefault="00A70D64" w:rsidP="00A70D64">
      <w:pPr>
        <w:pStyle w:val="NormalWeb"/>
        <w:jc w:val="both"/>
        <w:rPr>
          <w:sz w:val="22"/>
          <w:szCs w:val="22"/>
          <w:lang w:val="en-US"/>
        </w:rPr>
      </w:pPr>
      <w:r w:rsidRPr="00BD07F5">
        <w:rPr>
          <w:sz w:val="22"/>
          <w:szCs w:val="22"/>
          <w:lang w:val="en-US"/>
        </w:rPr>
        <w:t xml:space="preserve">Furthermore, the effect of </w:t>
      </w:r>
      <w:r w:rsidRPr="00841442">
        <w:rPr>
          <w:b/>
          <w:bCs/>
          <w:sz w:val="22"/>
          <w:szCs w:val="22"/>
          <w:lang w:val="en-US"/>
        </w:rPr>
        <w:t>ethno-racial heterogeneity</w:t>
      </w:r>
      <w:r w:rsidRPr="00BD07F5">
        <w:rPr>
          <w:sz w:val="22"/>
          <w:szCs w:val="22"/>
          <w:lang w:val="en-US"/>
        </w:rPr>
        <w:t xml:space="preserve"> on cohesion is highly </w:t>
      </w:r>
      <w:r>
        <w:rPr>
          <w:sz w:val="22"/>
          <w:szCs w:val="22"/>
          <w:lang w:val="en-US"/>
        </w:rPr>
        <w:t>relevant</w:t>
      </w:r>
      <w:r w:rsidRPr="00BD07F5">
        <w:rPr>
          <w:sz w:val="22"/>
          <w:szCs w:val="22"/>
          <w:lang w:val="en-US"/>
        </w:rPr>
        <w:t xml:space="preserve"> (Delhey et al., 2023; Portes &amp; Vickstrom, 2011). The most significant risk comes from unequal diversity—where heterogeneity is coupled with high segregation and inequality—rather than diversity alone (Portes &amp; Vickstrom, 2011). This evidence underscores the primacy of strong, fair, and inclusive institutions and effective governance, which function as crucial moderators by undergirding the systemic integration and organic solidarity necessary for complex modern societies, thereby neutralizing or reversing negative correlations between diversity and trust (Portes &amp; Vickstrom, 2011; Delhey et al., 2023).</w:t>
      </w:r>
    </w:p>
    <w:p w14:paraId="581687C1" w14:textId="77777777" w:rsidR="00A70D64" w:rsidRDefault="00A70D64" w:rsidP="00A70D64">
      <w:pPr>
        <w:pStyle w:val="NormalWeb"/>
        <w:jc w:val="both"/>
        <w:rPr>
          <w:b/>
          <w:bCs/>
          <w:sz w:val="22"/>
          <w:szCs w:val="22"/>
          <w:lang w:val="en-US"/>
        </w:rPr>
      </w:pPr>
      <w:r>
        <w:rPr>
          <w:b/>
          <w:bCs/>
          <w:sz w:val="22"/>
          <w:szCs w:val="22"/>
          <w:lang w:val="en-US"/>
        </w:rPr>
        <w:t>Political: polarizations</w:t>
      </w:r>
    </w:p>
    <w:p w14:paraId="7362CE8D" w14:textId="77777777" w:rsidR="00A70D64" w:rsidRPr="00A30F18" w:rsidRDefault="00A70D64" w:rsidP="00A70D64">
      <w:pPr>
        <w:pStyle w:val="NormalWeb"/>
        <w:jc w:val="both"/>
        <w:rPr>
          <w:b/>
          <w:bCs/>
          <w:sz w:val="22"/>
          <w:szCs w:val="22"/>
          <w:lang w:val="en-US"/>
        </w:rPr>
      </w:pPr>
      <w:hyperlink r:id="rId8" w:history="1">
        <w:r w:rsidRPr="00105F4A">
          <w:rPr>
            <w:rStyle w:val="Hyperlink"/>
            <w:b/>
            <w:bCs/>
            <w:sz w:val="22"/>
            <w:szCs w:val="22"/>
            <w:lang w:val="en-US"/>
          </w:rPr>
          <w:t>https://www.methaodos.org/revista-methaodos/index.php/methaodos/article/view/889/1375</w:t>
        </w:r>
      </w:hyperlink>
      <w:r>
        <w:rPr>
          <w:b/>
          <w:bCs/>
          <w:sz w:val="22"/>
          <w:szCs w:val="22"/>
          <w:lang w:val="en-US"/>
        </w:rPr>
        <w:t xml:space="preserve"> </w:t>
      </w:r>
    </w:p>
    <w:p w14:paraId="309AF674" w14:textId="77777777" w:rsidR="00A70D64" w:rsidRPr="00A43C74" w:rsidRDefault="00A70D64" w:rsidP="00A70D64">
      <w:pPr>
        <w:pStyle w:val="NormalWeb"/>
        <w:jc w:val="both"/>
        <w:rPr>
          <w:b/>
          <w:bCs/>
          <w:sz w:val="22"/>
          <w:szCs w:val="22"/>
          <w:lang w:val="en-US"/>
        </w:rPr>
      </w:pPr>
      <w:r w:rsidRPr="00A43C74">
        <w:rPr>
          <w:b/>
          <w:bCs/>
          <w:sz w:val="22"/>
          <w:szCs w:val="22"/>
          <w:lang w:val="en-US"/>
        </w:rPr>
        <w:t>Values: consensus</w:t>
      </w:r>
    </w:p>
    <w:p w14:paraId="43ED841A" w14:textId="77777777" w:rsidR="00A70D64" w:rsidRPr="003E0D7D" w:rsidRDefault="00A70D64" w:rsidP="00A70D64">
      <w:pPr>
        <w:rPr>
          <w:sz w:val="22"/>
          <w:szCs w:val="22"/>
          <w:lang w:val="en-US"/>
        </w:rPr>
      </w:pPr>
      <w:r>
        <w:rPr>
          <w:sz w:val="22"/>
          <w:szCs w:val="22"/>
          <w:lang w:val="en-US"/>
        </w:rPr>
        <w:t>Against this background, another part of the scholarly discussion has focused on the micro aspect of social cohesion</w:t>
      </w:r>
    </w:p>
    <w:p w14:paraId="09F1A99F" w14:textId="77777777" w:rsidR="00A70D64" w:rsidRPr="007C3162" w:rsidRDefault="00A70D64" w:rsidP="00A70D64">
      <w:pPr>
        <w:rPr>
          <w:lang w:val="en-US"/>
        </w:rPr>
      </w:pPr>
    </w:p>
    <w:p w14:paraId="1704F9E1" w14:textId="77777777" w:rsidR="00A70D64" w:rsidRDefault="00A70D64" w:rsidP="00A70D64">
      <w:pPr>
        <w:rPr>
          <w:rFonts w:ascii="Times New Roman" w:hAnsi="Times New Roman" w:cs="Times New Roman"/>
        </w:rPr>
      </w:pPr>
      <w:r>
        <w:rPr>
          <w:rFonts w:ascii="Times New Roman" w:hAnsi="Times New Roman" w:cs="Times New Roman"/>
        </w:rPr>
        <w:t xml:space="preserve">Las sociedades pueden entenderse como la estructura de relaciones sociales entre individuos. Estas relaciones sociales son las que pueden cohesionar estructuralmente a las sociedades en términos de sus parámetros nominales y graduales, vinculados a la noción de desigualdad de recursos de estatus y heterogeneidad composicional (Blau). </w:t>
      </w:r>
    </w:p>
    <w:p w14:paraId="34F2DA4C" w14:textId="77777777" w:rsidR="00A70D64" w:rsidRDefault="00A70D64" w:rsidP="00A70D64">
      <w:pPr>
        <w:rPr>
          <w:rFonts w:ascii="Times New Roman" w:hAnsi="Times New Roman" w:cs="Times New Roman"/>
        </w:rPr>
      </w:pPr>
      <w:r w:rsidRPr="00E6664E">
        <w:rPr>
          <w:rFonts w:ascii="Times New Roman" w:hAnsi="Times New Roman" w:cs="Times New Roman"/>
        </w:rPr>
        <w:t xml:space="preserve">Dicha diferenciación </w:t>
      </w:r>
      <w:r>
        <w:rPr>
          <w:rFonts w:ascii="Times New Roman" w:hAnsi="Times New Roman" w:cs="Times New Roman"/>
        </w:rPr>
        <w:t xml:space="preserve">se ve reflejada en </w:t>
      </w:r>
      <w:r w:rsidRPr="00E6664E">
        <w:rPr>
          <w:rFonts w:ascii="Times New Roman" w:hAnsi="Times New Roman" w:cs="Times New Roman"/>
        </w:rPr>
        <w:t>la estructuración de l</w:t>
      </w:r>
      <w:r>
        <w:rPr>
          <w:rFonts w:ascii="Times New Roman" w:hAnsi="Times New Roman" w:cs="Times New Roman"/>
        </w:rPr>
        <w:t xml:space="preserve">os vínculos sociales entre personas de similares características – influenciado por la homofilia (McPherson), como también por las chances de formación de puentes entre miembros de grupos diferentes o la permeabilidad de las relaciones sociales (Wright y Cho). </w:t>
      </w:r>
    </w:p>
    <w:p w14:paraId="63AD59DE" w14:textId="77777777" w:rsidR="00A70D64" w:rsidRDefault="00A70D64" w:rsidP="00A70D64">
      <w:pPr>
        <w:rPr>
          <w:rFonts w:ascii="Times New Roman" w:hAnsi="Times New Roman" w:cs="Times New Roman"/>
        </w:rPr>
      </w:pPr>
      <w:r>
        <w:rPr>
          <w:rFonts w:ascii="Times New Roman" w:hAnsi="Times New Roman" w:cs="Times New Roman"/>
        </w:rPr>
        <w:t xml:space="preserve">A este respecto, la atención de la literatura ha estado tanto en características macrosociales como individuales como fuerzas inhibidoras o promotora de la cohesión social. </w:t>
      </w:r>
    </w:p>
    <w:p w14:paraId="0C5D85B3" w14:textId="77777777" w:rsidR="00A70D64" w:rsidRDefault="00A70D64" w:rsidP="00A70D64">
      <w:pPr>
        <w:rPr>
          <w:rFonts w:ascii="Times New Roman" w:hAnsi="Times New Roman" w:cs="Times New Roman"/>
        </w:rPr>
      </w:pPr>
      <w:r>
        <w:rPr>
          <w:rFonts w:ascii="Times New Roman" w:hAnsi="Times New Roman" w:cs="Times New Roman"/>
        </w:rPr>
        <w:t xml:space="preserve">Las fuerzas </w:t>
      </w:r>
      <w:r w:rsidRPr="0039133B">
        <w:rPr>
          <w:rFonts w:ascii="Times New Roman" w:hAnsi="Times New Roman" w:cs="Times New Roman"/>
          <w:i/>
          <w:iCs/>
        </w:rPr>
        <w:t>inhibidoras</w:t>
      </w:r>
      <w:r>
        <w:rPr>
          <w:rFonts w:ascii="Times New Roman" w:hAnsi="Times New Roman" w:cs="Times New Roman"/>
        </w:rPr>
        <w:t xml:space="preserve"> son aquellas características que merman o debilitan la cohesión social, mientras que las fuerzas </w:t>
      </w:r>
      <w:r w:rsidRPr="009D3F75">
        <w:rPr>
          <w:rFonts w:ascii="Times New Roman" w:hAnsi="Times New Roman" w:cs="Times New Roman"/>
          <w:i/>
          <w:iCs/>
        </w:rPr>
        <w:t>promotoras</w:t>
      </w:r>
      <w:r>
        <w:rPr>
          <w:rFonts w:ascii="Times New Roman" w:hAnsi="Times New Roman" w:cs="Times New Roman"/>
        </w:rPr>
        <w:t xml:space="preserve"> son aquellas características que incrementan o fortalecen la cohesión social. </w:t>
      </w:r>
    </w:p>
    <w:p w14:paraId="7ADED4A7" w14:textId="77777777" w:rsidR="00A70D64" w:rsidRDefault="00A70D64" w:rsidP="00A70D64">
      <w:pPr>
        <w:rPr>
          <w:rFonts w:ascii="Times New Roman" w:hAnsi="Times New Roman" w:cs="Times New Roman"/>
        </w:rPr>
      </w:pPr>
      <w:r>
        <w:rPr>
          <w:rFonts w:ascii="Times New Roman" w:hAnsi="Times New Roman" w:cs="Times New Roman"/>
        </w:rPr>
        <w:lastRenderedPageBreak/>
        <w:t xml:space="preserve">En relación con las características macrosociales, parte importante de la literatura ha estado prestado atención tanto a la </w:t>
      </w:r>
      <w:r w:rsidRPr="008D64CE">
        <w:rPr>
          <w:rFonts w:ascii="Times New Roman" w:hAnsi="Times New Roman" w:cs="Times New Roman"/>
          <w:i/>
          <w:iCs/>
        </w:rPr>
        <w:t>desigualdad</w:t>
      </w:r>
      <w:r>
        <w:rPr>
          <w:rFonts w:ascii="Times New Roman" w:hAnsi="Times New Roman" w:cs="Times New Roman"/>
        </w:rPr>
        <w:t xml:space="preserve"> como a la </w:t>
      </w:r>
      <w:r w:rsidRPr="008D64CE">
        <w:rPr>
          <w:rFonts w:ascii="Times New Roman" w:hAnsi="Times New Roman" w:cs="Times New Roman"/>
          <w:i/>
          <w:iCs/>
        </w:rPr>
        <w:t>heterogeneidad</w:t>
      </w:r>
      <w:r>
        <w:rPr>
          <w:rFonts w:ascii="Times New Roman" w:hAnsi="Times New Roman" w:cs="Times New Roman"/>
        </w:rPr>
        <w:t xml:space="preserve"> como factores clave para la cohesión social. </w:t>
      </w:r>
    </w:p>
    <w:p w14:paraId="51910673" w14:textId="77777777" w:rsidR="00A70D64" w:rsidRDefault="00A70D64" w:rsidP="00A70D64">
      <w:pPr>
        <w:rPr>
          <w:rFonts w:ascii="Times New Roman" w:hAnsi="Times New Roman" w:cs="Times New Roman"/>
        </w:rPr>
      </w:pPr>
      <w:r>
        <w:rPr>
          <w:rFonts w:ascii="Times New Roman" w:hAnsi="Times New Roman" w:cs="Times New Roman"/>
        </w:rPr>
        <w:t xml:space="preserve">Por ejemplo, se ha argumentado que tanto la </w:t>
      </w:r>
      <w:r w:rsidRPr="009D3F75">
        <w:rPr>
          <w:rFonts w:ascii="Times New Roman" w:hAnsi="Times New Roman" w:cs="Times New Roman"/>
          <w:b/>
          <w:bCs/>
        </w:rPr>
        <w:t xml:space="preserve">heterogeneidad étnica </w:t>
      </w:r>
      <w:r>
        <w:rPr>
          <w:rFonts w:ascii="Times New Roman" w:hAnsi="Times New Roman" w:cs="Times New Roman"/>
        </w:rPr>
        <w:t xml:space="preserve">como la </w:t>
      </w:r>
      <w:r w:rsidRPr="009D3F75">
        <w:rPr>
          <w:rFonts w:ascii="Times New Roman" w:hAnsi="Times New Roman" w:cs="Times New Roman"/>
          <w:b/>
          <w:bCs/>
        </w:rPr>
        <w:t>desigualdad económica</w:t>
      </w:r>
      <w:r>
        <w:rPr>
          <w:rFonts w:ascii="Times New Roman" w:hAnsi="Times New Roman" w:cs="Times New Roman"/>
        </w:rPr>
        <w:t xml:space="preserve"> pueden mermar la cohesión social (Lancee). </w:t>
      </w:r>
    </w:p>
    <w:p w14:paraId="43B14650" w14:textId="77777777" w:rsidR="00A70D64" w:rsidRDefault="00A70D64" w:rsidP="00A70D64">
      <w:pPr>
        <w:rPr>
          <w:rFonts w:ascii="Times New Roman" w:hAnsi="Times New Roman" w:cs="Times New Roman"/>
        </w:rPr>
      </w:pPr>
      <w:r>
        <w:rPr>
          <w:rFonts w:ascii="Times New Roman" w:hAnsi="Times New Roman" w:cs="Times New Roman"/>
        </w:rPr>
        <w:t xml:space="preserve">Adicionalmente, en sociedades más prosperas con estados de bienestar más generosos promueven comportamientos orientados al bien común (Lancee, Delhey et al). </w:t>
      </w:r>
    </w:p>
    <w:p w14:paraId="02E3516B" w14:textId="77777777" w:rsidR="00A70D64" w:rsidRDefault="00A70D64" w:rsidP="00A70D64">
      <w:pPr>
        <w:rPr>
          <w:rFonts w:ascii="Times New Roman" w:hAnsi="Times New Roman" w:cs="Times New Roman"/>
        </w:rPr>
      </w:pPr>
      <w:r>
        <w:rPr>
          <w:rFonts w:ascii="Times New Roman" w:hAnsi="Times New Roman" w:cs="Times New Roman"/>
        </w:rPr>
        <w:t xml:space="preserve">También se ha argumentado que los valores en la sociedad conforman una dimensión normativa que puede operar como un promotor de la cohesión social, especialmente cuando estos valores son compartidos por los miembros de la sociedad. </w:t>
      </w:r>
    </w:p>
    <w:p w14:paraId="65B72DFE" w14:textId="77777777" w:rsidR="00A70D64" w:rsidRDefault="00A70D64" w:rsidP="00A70D64">
      <w:pPr>
        <w:rPr>
          <w:rFonts w:ascii="Times New Roman" w:hAnsi="Times New Roman" w:cs="Times New Roman"/>
        </w:rPr>
      </w:pPr>
      <w:r>
        <w:rPr>
          <w:rFonts w:ascii="Times New Roman" w:hAnsi="Times New Roman" w:cs="Times New Roman"/>
        </w:rPr>
        <w:t>Estas diferencias observadas en el vínculo entre condiciones macrosociales y cohesión social poseen un correlato a nivel individual en lo que refiere a las relaciones intergrupales.</w:t>
      </w:r>
    </w:p>
    <w:p w14:paraId="3F6C44FD" w14:textId="77777777" w:rsidR="00A70D64" w:rsidRPr="008D64CE" w:rsidRDefault="00A70D64" w:rsidP="00A70D64">
      <w:pPr>
        <w:rPr>
          <w:rFonts w:ascii="Times New Roman" w:hAnsi="Times New Roman" w:cs="Times New Roman"/>
        </w:rPr>
      </w:pPr>
    </w:p>
    <w:p w14:paraId="379F74FA" w14:textId="77777777" w:rsidR="00A70D64" w:rsidRPr="00D47BEF" w:rsidRDefault="00A70D64" w:rsidP="00A70D64">
      <w:pPr>
        <w:rPr>
          <w:rFonts w:ascii="Times New Roman" w:hAnsi="Times New Roman" w:cs="Times New Roman"/>
          <w:lang w:val="en-US"/>
        </w:rPr>
      </w:pPr>
      <w:r w:rsidRPr="00D47BEF">
        <w:rPr>
          <w:rFonts w:ascii="Times New Roman" w:hAnsi="Times New Roman" w:cs="Times New Roman"/>
          <w:lang w:val="en-US"/>
        </w:rPr>
        <w:t>"How do heterogeneity and inequality affect intergroup and interstratum relations?"</w:t>
      </w:r>
      <w:r>
        <w:rPr>
          <w:rFonts w:ascii="Times New Roman" w:hAnsi="Times New Roman" w:cs="Times New Roman"/>
          <w:lang w:val="en-US"/>
        </w:rPr>
        <w:t xml:space="preserve"> (Blau)</w:t>
      </w:r>
    </w:p>
    <w:p w14:paraId="7B577734" w14:textId="77777777" w:rsidR="00A70D64" w:rsidRPr="00D47BEF" w:rsidRDefault="00A70D64" w:rsidP="00A70D64">
      <w:pPr>
        <w:rPr>
          <w:rFonts w:ascii="Times New Roman" w:hAnsi="Times New Roman" w:cs="Times New Roman"/>
          <w:lang w:val="en-US"/>
        </w:rPr>
      </w:pPr>
      <w:r w:rsidRPr="00D47BEF">
        <w:rPr>
          <w:rFonts w:ascii="Times New Roman" w:hAnsi="Times New Roman" w:cs="Times New Roman"/>
          <w:lang w:val="en-US"/>
        </w:rPr>
        <w:t>[Revisar conceptualizacion de Blau sobre discriminación]</w:t>
      </w:r>
    </w:p>
    <w:p w14:paraId="658504AB" w14:textId="77777777" w:rsidR="00A70D64" w:rsidRDefault="00A70D64" w:rsidP="00A70D64">
      <w:pPr>
        <w:rPr>
          <w:rFonts w:ascii="Times New Roman" w:hAnsi="Times New Roman" w:cs="Times New Roman"/>
          <w:lang w:val="en-US"/>
        </w:rPr>
      </w:pPr>
      <w:r w:rsidRPr="00BD07F5">
        <w:rPr>
          <w:rFonts w:ascii="Times New Roman" w:hAnsi="Times New Roman" w:cs="Times New Roman"/>
          <w:lang w:val="en-US"/>
        </w:rPr>
        <w:t>Across all the conceptualization , trust – particularly in its interpersonal form, is considered one of the, if  not the most important, constituent of social cohesion.</w:t>
      </w:r>
    </w:p>
    <w:p w14:paraId="3B10FAD9" w14:textId="77777777" w:rsidR="00A70D64" w:rsidRDefault="00A70D64" w:rsidP="00A70D64">
      <w:pPr>
        <w:rPr>
          <w:rFonts w:ascii="Times New Roman" w:hAnsi="Times New Roman" w:cs="Times New Roman"/>
          <w:lang w:val="en-US"/>
        </w:rPr>
      </w:pPr>
      <w:r>
        <w:rPr>
          <w:rFonts w:ascii="Times New Roman" w:hAnsi="Times New Roman" w:cs="Times New Roman"/>
          <w:lang w:val="en-US"/>
        </w:rPr>
        <w:t>“</w:t>
      </w:r>
      <w:r w:rsidRPr="003D3AFD">
        <w:rPr>
          <w:rFonts w:ascii="Times New Roman" w:hAnsi="Times New Roman" w:cs="Times New Roman"/>
          <w:lang w:val="en-US"/>
        </w:rPr>
        <w:t>multiplexity of social relations</w:t>
      </w:r>
      <w:r>
        <w:rPr>
          <w:rFonts w:ascii="Times New Roman" w:hAnsi="Times New Roman" w:cs="Times New Roman"/>
          <w:lang w:val="en-US"/>
        </w:rPr>
        <w:t>” (Small, Mario)</w:t>
      </w:r>
    </w:p>
    <w:p w14:paraId="157431CC" w14:textId="77777777" w:rsidR="00A70D64" w:rsidRPr="00BD07F5" w:rsidRDefault="00A70D64" w:rsidP="00A70D64">
      <w:pPr>
        <w:rPr>
          <w:rFonts w:ascii="Times New Roman" w:hAnsi="Times New Roman" w:cs="Times New Roman"/>
          <w:lang w:val="en-US"/>
        </w:rPr>
      </w:pPr>
      <w:r w:rsidRPr="00BD07F5">
        <w:rPr>
          <w:rFonts w:ascii="Times New Roman" w:hAnsi="Times New Roman" w:cs="Times New Roman"/>
          <w:lang w:val="en-US"/>
        </w:rPr>
        <w:t>The study of social cohesion and its constitutive dimensions have suggested different paths through which it can be explained.  I refer to the characteristics linked to associated to the constituent elements of social cohesion at the individual level. When I refer to these, I consider the attitudinal and behavioral expression of interpersonal and intergroup relationships (</w:t>
      </w:r>
      <w:r>
        <w:rPr>
          <w:rFonts w:ascii="Times New Roman" w:hAnsi="Times New Roman" w:cs="Times New Roman"/>
          <w:lang w:val="en-US"/>
        </w:rPr>
        <w:t>horizontal</w:t>
      </w:r>
      <w:r w:rsidRPr="00BD07F5">
        <w:rPr>
          <w:rFonts w:ascii="Times New Roman" w:hAnsi="Times New Roman" w:cs="Times New Roman"/>
          <w:lang w:val="en-US"/>
        </w:rPr>
        <w:t xml:space="preserve"> dimension), as well as their links with political institutions (</w:t>
      </w:r>
      <w:r>
        <w:rPr>
          <w:rFonts w:ascii="Times New Roman" w:hAnsi="Times New Roman" w:cs="Times New Roman"/>
          <w:lang w:val="en-US"/>
        </w:rPr>
        <w:t xml:space="preserve">vertical </w:t>
      </w:r>
      <w:r w:rsidRPr="00BD07F5">
        <w:rPr>
          <w:rFonts w:ascii="Times New Roman" w:hAnsi="Times New Roman" w:cs="Times New Roman"/>
          <w:lang w:val="en-US"/>
        </w:rPr>
        <w:t xml:space="preserve">dimension). This study will be focused on the horizontal dimension. When it comes to this dimension I can trace three groups of factors. </w:t>
      </w:r>
    </w:p>
    <w:p w14:paraId="25A72638" w14:textId="77777777" w:rsidR="00A70D64" w:rsidRPr="00BD07F5" w:rsidRDefault="00A70D64" w:rsidP="00A70D64">
      <w:pPr>
        <w:pStyle w:val="NormalWeb"/>
        <w:rPr>
          <w:highlight w:val="yellow"/>
          <w:lang w:val="en-US"/>
        </w:rPr>
      </w:pPr>
      <w:r w:rsidRPr="00BD07F5">
        <w:rPr>
          <w:rStyle w:val="highlight"/>
          <w:rFonts w:eastAsiaTheme="majorEastAsia"/>
          <w:highlight w:val="yellow"/>
          <w:lang w:val="en-US"/>
        </w:rPr>
        <w:t>“Apart from considering only societal-level approaches I apply Moody and White’s (2003) useful distinction between the ideational and relational dimension of social cohesion to broadly frame these approaches. The ideational dimension refers to shared norms, values and identities as the affective side of social cohesion. The relational dimension refers to the observed relationships between members within a collectivity.”</w:t>
      </w:r>
      <w:r w:rsidRPr="00BD07F5">
        <w:rPr>
          <w:highlight w:val="yellow"/>
          <w:lang w:val="en-US"/>
        </w:rPr>
        <w:t xml:space="preserve"> </w:t>
      </w:r>
      <w:r w:rsidRPr="00BD07F5">
        <w:rPr>
          <w:rStyle w:val="citation"/>
          <w:rFonts w:eastAsiaTheme="majorEastAsia"/>
          <w:highlight w:val="yellow"/>
          <w:lang w:val="en-US"/>
        </w:rPr>
        <w:t>(</w:t>
      </w:r>
      <w:r w:rsidRPr="00BD07F5">
        <w:rPr>
          <w:rStyle w:val="citation-item"/>
          <w:rFonts w:eastAsiaTheme="majorEastAsia"/>
          <w:highlight w:val="yellow"/>
          <w:lang w:val="en-US"/>
        </w:rPr>
        <w:t>Janmaat, 2011, p. 63</w:t>
      </w:r>
      <w:r w:rsidRPr="00BD07F5">
        <w:rPr>
          <w:rStyle w:val="citation"/>
          <w:rFonts w:eastAsiaTheme="majorEastAsia"/>
          <w:highlight w:val="yellow"/>
          <w:lang w:val="en-US"/>
        </w:rPr>
        <w:t>)</w:t>
      </w:r>
    </w:p>
    <w:p w14:paraId="1871F449" w14:textId="77777777" w:rsidR="00A70D64" w:rsidRPr="00BD07F5" w:rsidRDefault="00A70D64" w:rsidP="00A70D64">
      <w:pPr>
        <w:pStyle w:val="NormalWeb"/>
        <w:rPr>
          <w:lang w:val="en-US"/>
        </w:rPr>
      </w:pPr>
      <w:r w:rsidRPr="00BD07F5">
        <w:rPr>
          <w:rStyle w:val="highlight"/>
          <w:rFonts w:eastAsiaTheme="majorEastAsia"/>
          <w:highlight w:val="yellow"/>
          <w:lang w:val="en-US"/>
        </w:rPr>
        <w:t>“out-group trust to build social relations across different groups, such as social classes, religions, ethnicities, or nationalities, makes it a powerful phenomenon both in civil society and in the political sphere (OECD, 2017; Putnam, 1993; Yamagishi and Yamagishi, 1994).”</w:t>
      </w:r>
      <w:r w:rsidRPr="00BD07F5">
        <w:rPr>
          <w:highlight w:val="yellow"/>
          <w:lang w:val="en-US"/>
        </w:rPr>
        <w:t xml:space="preserve"> </w:t>
      </w:r>
      <w:r w:rsidRPr="00BD07F5">
        <w:rPr>
          <w:rStyle w:val="citation"/>
          <w:rFonts w:eastAsiaTheme="majorEastAsia"/>
          <w:highlight w:val="yellow"/>
          <w:lang w:val="en-US"/>
        </w:rPr>
        <w:t>(</w:t>
      </w:r>
      <w:r w:rsidRPr="00BD07F5">
        <w:rPr>
          <w:rStyle w:val="citation-item"/>
          <w:rFonts w:eastAsiaTheme="majorEastAsia"/>
          <w:highlight w:val="yellow"/>
          <w:lang w:val="en-US"/>
        </w:rPr>
        <w:t>Uttenthal, 2024, p. 402</w:t>
      </w:r>
      <w:r w:rsidRPr="00BD07F5">
        <w:rPr>
          <w:rStyle w:val="citation"/>
          <w:rFonts w:eastAsiaTheme="majorEastAsia"/>
          <w:highlight w:val="yellow"/>
          <w:lang w:val="en-US"/>
        </w:rPr>
        <w:t>)</w:t>
      </w:r>
    </w:p>
    <w:p w14:paraId="66B54200" w14:textId="77777777" w:rsidR="00A70D64" w:rsidRPr="00BD07F5" w:rsidRDefault="00A70D64" w:rsidP="00A70D64">
      <w:pPr>
        <w:rPr>
          <w:rFonts w:ascii="Times New Roman" w:hAnsi="Times New Roman" w:cs="Times New Roman"/>
          <w:lang w:val="en-US"/>
        </w:rPr>
      </w:pPr>
      <w:r w:rsidRPr="00BD07F5">
        <w:rPr>
          <w:rFonts w:ascii="Times New Roman" w:hAnsi="Times New Roman" w:cs="Times New Roman"/>
          <w:lang w:val="en-US"/>
        </w:rPr>
        <w:t xml:space="preserve">A common constituent element of social cohesion across literature is </w:t>
      </w:r>
      <w:r w:rsidRPr="00216C69">
        <w:rPr>
          <w:rFonts w:ascii="Times New Roman" w:hAnsi="Times New Roman" w:cs="Times New Roman"/>
          <w:highlight w:val="yellow"/>
          <w:lang w:val="en-US"/>
        </w:rPr>
        <w:t>interpersonal trust</w:t>
      </w:r>
      <w:r w:rsidRPr="00BD07F5">
        <w:rPr>
          <w:rFonts w:ascii="Times New Roman" w:hAnsi="Times New Roman" w:cs="Times New Roman"/>
          <w:lang w:val="en-US"/>
        </w:rPr>
        <w:t>.</w:t>
      </w:r>
    </w:p>
    <w:p w14:paraId="52B1DDA7" w14:textId="77777777" w:rsidR="00A70D64" w:rsidRPr="00765478" w:rsidRDefault="00A70D64" w:rsidP="00A70D64">
      <w:pPr>
        <w:pStyle w:val="NormalWeb"/>
        <w:rPr>
          <w:lang w:val="en-US"/>
        </w:rPr>
      </w:pPr>
      <w:r w:rsidRPr="00765478">
        <w:rPr>
          <w:rStyle w:val="highlight"/>
          <w:rFonts w:eastAsiaTheme="majorEastAsia"/>
          <w:highlight w:val="yellow"/>
          <w:lang w:val="en-US"/>
        </w:rPr>
        <w:lastRenderedPageBreak/>
        <w:t>“the degree to which parameters intersect, or alternatively consolidate differences in social positions through their strong correlations, reflects the most important structural conditions in a society, which have crucial consequences for conflict (Coleman 1957) and for social integration.”</w:t>
      </w:r>
      <w:r w:rsidRPr="00765478">
        <w:rPr>
          <w:highlight w:val="yellow"/>
          <w:lang w:val="en-US"/>
        </w:rPr>
        <w:t xml:space="preserve"> </w:t>
      </w:r>
      <w:r w:rsidRPr="00765478">
        <w:rPr>
          <w:rStyle w:val="citation"/>
          <w:rFonts w:eastAsiaTheme="majorEastAsia"/>
          <w:highlight w:val="yellow"/>
          <w:lang w:val="en-US"/>
        </w:rPr>
        <w:t>(</w:t>
      </w:r>
      <w:r w:rsidRPr="00765478">
        <w:rPr>
          <w:rStyle w:val="citation-item"/>
          <w:rFonts w:eastAsiaTheme="majorEastAsia"/>
          <w:highlight w:val="yellow"/>
          <w:lang w:val="en-US"/>
        </w:rPr>
        <w:t>Blau, 1977, p. 32</w:t>
      </w:r>
      <w:r w:rsidRPr="00765478">
        <w:rPr>
          <w:rStyle w:val="citation"/>
          <w:rFonts w:eastAsiaTheme="majorEastAsia"/>
          <w:highlight w:val="yellow"/>
          <w:lang w:val="en-US"/>
        </w:rPr>
        <w:t>)</w:t>
      </w:r>
      <w:r w:rsidRPr="00765478">
        <w:rPr>
          <w:highlight w:val="yellow"/>
          <w:lang w:val="en-US"/>
        </w:rPr>
        <w:t xml:space="preserve"> incluir esto 'acording to Blau...'</w:t>
      </w:r>
    </w:p>
    <w:p w14:paraId="0C913FD7" w14:textId="77777777" w:rsidR="00A70D64" w:rsidRDefault="00A70D64" w:rsidP="00A70D64">
      <w:pPr>
        <w:pStyle w:val="NormalWeb"/>
        <w:rPr>
          <w:rStyle w:val="citation"/>
          <w:rFonts w:eastAsiaTheme="majorEastAsia"/>
          <w:lang w:val="en-US"/>
        </w:rPr>
      </w:pPr>
      <w:r w:rsidRPr="00765478">
        <w:rPr>
          <w:rStyle w:val="highlight"/>
          <w:rFonts w:eastAsiaTheme="majorEastAsia"/>
          <w:highlight w:val="yellow"/>
          <w:lang w:val="en-US"/>
        </w:rPr>
        <w:t>“Both inequality and heterogeneity, the two forms of differentiation, are barriers to social intercourse, on the assumption that proximate status and common group membership promote social associations”</w:t>
      </w:r>
      <w:r w:rsidRPr="00765478">
        <w:rPr>
          <w:highlight w:val="yellow"/>
          <w:lang w:val="en-US"/>
        </w:rPr>
        <w:t xml:space="preserve"> </w:t>
      </w:r>
      <w:r w:rsidRPr="00765478">
        <w:rPr>
          <w:rStyle w:val="citation"/>
          <w:rFonts w:eastAsiaTheme="majorEastAsia"/>
          <w:highlight w:val="yellow"/>
          <w:lang w:val="en-US"/>
        </w:rPr>
        <w:t>(</w:t>
      </w:r>
      <w:r w:rsidRPr="00765478">
        <w:rPr>
          <w:rStyle w:val="citation-item"/>
          <w:rFonts w:eastAsiaTheme="majorEastAsia"/>
          <w:highlight w:val="yellow"/>
          <w:lang w:val="en-US"/>
        </w:rPr>
        <w:t>Blau, 1977, p. 32</w:t>
      </w:r>
      <w:r w:rsidRPr="00765478">
        <w:rPr>
          <w:rStyle w:val="citation"/>
          <w:rFonts w:eastAsiaTheme="majorEastAsia"/>
          <w:highlight w:val="yellow"/>
          <w:lang w:val="en-US"/>
        </w:rPr>
        <w:t>)</w:t>
      </w:r>
    </w:p>
    <w:p w14:paraId="3B4ACB5C" w14:textId="77777777" w:rsidR="00A70D64" w:rsidRDefault="00A70D64" w:rsidP="00A70D64">
      <w:pPr>
        <w:pStyle w:val="NormalWeb"/>
        <w:rPr>
          <w:rStyle w:val="citation"/>
          <w:rFonts w:eastAsiaTheme="majorEastAsia"/>
          <w:lang w:val="en-US"/>
        </w:rPr>
      </w:pPr>
    </w:p>
    <w:tbl>
      <w:tblPr>
        <w:tblStyle w:val="TableGrid"/>
        <w:tblW w:w="0" w:type="auto"/>
        <w:tblLook w:val="04A0" w:firstRow="1" w:lastRow="0" w:firstColumn="1" w:lastColumn="0" w:noHBand="0" w:noVBand="1"/>
      </w:tblPr>
      <w:tblGrid>
        <w:gridCol w:w="2942"/>
        <w:gridCol w:w="2943"/>
        <w:gridCol w:w="2943"/>
      </w:tblGrid>
      <w:tr w:rsidR="00A70D64" w14:paraId="19A0BC7A" w14:textId="77777777" w:rsidTr="00BF0BEC">
        <w:tc>
          <w:tcPr>
            <w:tcW w:w="2942" w:type="dxa"/>
          </w:tcPr>
          <w:p w14:paraId="3F68615D" w14:textId="77777777" w:rsidR="00A70D64" w:rsidRDefault="00A70D64" w:rsidP="00BF0BEC">
            <w:pPr>
              <w:pStyle w:val="NormalWeb"/>
              <w:rPr>
                <w:rStyle w:val="citation"/>
                <w:rFonts w:eastAsiaTheme="majorEastAsia"/>
                <w:lang w:val="en-US"/>
              </w:rPr>
            </w:pPr>
          </w:p>
        </w:tc>
        <w:tc>
          <w:tcPr>
            <w:tcW w:w="2943" w:type="dxa"/>
          </w:tcPr>
          <w:p w14:paraId="226BF791" w14:textId="77777777" w:rsidR="00A70D64" w:rsidRDefault="00A70D64" w:rsidP="00BF0BEC">
            <w:pPr>
              <w:pStyle w:val="NormalWeb"/>
              <w:rPr>
                <w:rStyle w:val="citation"/>
                <w:rFonts w:eastAsiaTheme="majorEastAsia"/>
                <w:lang w:val="en-US"/>
              </w:rPr>
            </w:pPr>
            <w:r>
              <w:rPr>
                <w:rStyle w:val="citation"/>
                <w:rFonts w:eastAsiaTheme="majorEastAsia"/>
                <w:lang w:val="en-US"/>
              </w:rPr>
              <w:t>N</w:t>
            </w:r>
            <w:r>
              <w:rPr>
                <w:rStyle w:val="citation"/>
                <w:rFonts w:eastAsiaTheme="majorEastAsia"/>
              </w:rPr>
              <w:t>ominal</w:t>
            </w:r>
          </w:p>
        </w:tc>
        <w:tc>
          <w:tcPr>
            <w:tcW w:w="2943" w:type="dxa"/>
          </w:tcPr>
          <w:p w14:paraId="230533CB" w14:textId="77777777" w:rsidR="00A70D64" w:rsidRDefault="00A70D64" w:rsidP="00BF0BEC">
            <w:pPr>
              <w:pStyle w:val="NormalWeb"/>
              <w:rPr>
                <w:rStyle w:val="citation"/>
                <w:rFonts w:eastAsiaTheme="majorEastAsia"/>
                <w:lang w:val="en-US"/>
              </w:rPr>
            </w:pPr>
            <w:r>
              <w:rPr>
                <w:rStyle w:val="citation"/>
                <w:rFonts w:eastAsiaTheme="majorEastAsia"/>
                <w:lang w:val="en-US"/>
              </w:rPr>
              <w:t>Graduated</w:t>
            </w:r>
          </w:p>
        </w:tc>
      </w:tr>
      <w:tr w:rsidR="00A70D64" w14:paraId="1B96CED4" w14:textId="77777777" w:rsidTr="00BF0BEC">
        <w:tc>
          <w:tcPr>
            <w:tcW w:w="2942" w:type="dxa"/>
          </w:tcPr>
          <w:p w14:paraId="466B63F8" w14:textId="77777777" w:rsidR="00A70D64" w:rsidRDefault="00A70D64" w:rsidP="00BF0BEC">
            <w:pPr>
              <w:pStyle w:val="NormalWeb"/>
              <w:rPr>
                <w:rStyle w:val="citation"/>
                <w:rFonts w:eastAsiaTheme="majorEastAsia"/>
                <w:lang w:val="en-US"/>
              </w:rPr>
            </w:pPr>
            <w:r>
              <w:rPr>
                <w:rStyle w:val="citation"/>
                <w:rFonts w:eastAsiaTheme="majorEastAsia"/>
                <w:lang w:val="en-US"/>
              </w:rPr>
              <w:t>person-to-person</w:t>
            </w:r>
          </w:p>
        </w:tc>
        <w:tc>
          <w:tcPr>
            <w:tcW w:w="2943" w:type="dxa"/>
          </w:tcPr>
          <w:p w14:paraId="20E6FE28" w14:textId="77777777" w:rsidR="00A70D64" w:rsidRDefault="00A70D64" w:rsidP="00BF0BEC">
            <w:pPr>
              <w:pStyle w:val="NormalWeb"/>
              <w:rPr>
                <w:rStyle w:val="citation"/>
                <w:rFonts w:eastAsiaTheme="majorEastAsia"/>
                <w:lang w:val="en-US"/>
              </w:rPr>
            </w:pPr>
            <w:r>
              <w:rPr>
                <w:rStyle w:val="citation"/>
                <w:rFonts w:eastAsiaTheme="majorEastAsia"/>
                <w:lang w:val="en-US"/>
              </w:rPr>
              <w:t>group-based (</w:t>
            </w:r>
            <w:r w:rsidRPr="00B91148">
              <w:rPr>
                <w:rStyle w:val="citation"/>
                <w:rFonts w:eastAsiaTheme="majorEastAsia"/>
                <w:i/>
                <w:iCs/>
                <w:lang w:val="en-US"/>
              </w:rPr>
              <w:t>commonality</w:t>
            </w:r>
            <w:r>
              <w:rPr>
                <w:rStyle w:val="citation"/>
                <w:rFonts w:eastAsiaTheme="majorEastAsia"/>
                <w:lang w:val="en-US"/>
              </w:rPr>
              <w:t>)</w:t>
            </w:r>
          </w:p>
        </w:tc>
        <w:tc>
          <w:tcPr>
            <w:tcW w:w="2943" w:type="dxa"/>
          </w:tcPr>
          <w:p w14:paraId="58B10EEF" w14:textId="77777777" w:rsidR="00A70D64" w:rsidRDefault="00A70D64" w:rsidP="00BF0BEC">
            <w:pPr>
              <w:pStyle w:val="NormalWeb"/>
              <w:rPr>
                <w:rStyle w:val="citation"/>
                <w:rFonts w:eastAsiaTheme="majorEastAsia"/>
                <w:lang w:val="en-US"/>
              </w:rPr>
            </w:pPr>
            <w:r>
              <w:rPr>
                <w:rStyle w:val="citation"/>
                <w:rFonts w:eastAsiaTheme="majorEastAsia"/>
                <w:lang w:val="en-US"/>
              </w:rPr>
              <w:t>status-based (</w:t>
            </w:r>
            <w:r w:rsidRPr="00B91148">
              <w:rPr>
                <w:rStyle w:val="citation"/>
                <w:rFonts w:eastAsiaTheme="majorEastAsia"/>
                <w:i/>
                <w:iCs/>
                <w:lang w:val="en-US"/>
              </w:rPr>
              <w:t>proximity</w:t>
            </w:r>
            <w:r>
              <w:rPr>
                <w:rStyle w:val="citation"/>
                <w:rFonts w:eastAsiaTheme="majorEastAsia"/>
                <w:lang w:val="en-US"/>
              </w:rPr>
              <w:t>)</w:t>
            </w:r>
          </w:p>
        </w:tc>
      </w:tr>
      <w:tr w:rsidR="00A70D64" w14:paraId="0CEB003B" w14:textId="77777777" w:rsidTr="00BF0BEC">
        <w:tc>
          <w:tcPr>
            <w:tcW w:w="2942" w:type="dxa"/>
          </w:tcPr>
          <w:p w14:paraId="038952FE" w14:textId="77777777" w:rsidR="00A70D64" w:rsidRDefault="00A70D64" w:rsidP="00BF0BEC">
            <w:pPr>
              <w:pStyle w:val="NormalWeb"/>
              <w:rPr>
                <w:rStyle w:val="citation"/>
                <w:rFonts w:eastAsiaTheme="majorEastAsia"/>
                <w:lang w:val="en-US"/>
              </w:rPr>
            </w:pPr>
            <w:r>
              <w:rPr>
                <w:rStyle w:val="citation"/>
                <w:rFonts w:eastAsiaTheme="majorEastAsia"/>
                <w:lang w:val="en-US"/>
              </w:rPr>
              <w:t>person-to-institutions</w:t>
            </w:r>
          </w:p>
        </w:tc>
        <w:tc>
          <w:tcPr>
            <w:tcW w:w="2943" w:type="dxa"/>
          </w:tcPr>
          <w:p w14:paraId="464181B0" w14:textId="77777777" w:rsidR="00A70D64" w:rsidRDefault="00A70D64" w:rsidP="00BF0BEC">
            <w:pPr>
              <w:pStyle w:val="NormalWeb"/>
              <w:rPr>
                <w:rStyle w:val="citation"/>
                <w:rFonts w:eastAsiaTheme="majorEastAsia"/>
                <w:lang w:val="en-US"/>
              </w:rPr>
            </w:pPr>
          </w:p>
        </w:tc>
        <w:tc>
          <w:tcPr>
            <w:tcW w:w="2943" w:type="dxa"/>
          </w:tcPr>
          <w:p w14:paraId="5A19053E" w14:textId="77777777" w:rsidR="00A70D64" w:rsidRDefault="00A70D64" w:rsidP="00BF0BEC">
            <w:pPr>
              <w:pStyle w:val="NormalWeb"/>
              <w:rPr>
                <w:rStyle w:val="citation"/>
                <w:rFonts w:eastAsiaTheme="majorEastAsia"/>
                <w:lang w:val="en-US"/>
              </w:rPr>
            </w:pPr>
          </w:p>
        </w:tc>
      </w:tr>
    </w:tbl>
    <w:p w14:paraId="2E748FB5" w14:textId="77777777" w:rsidR="00A70D64" w:rsidRPr="00F94065" w:rsidRDefault="00A70D64" w:rsidP="00A70D64">
      <w:pPr>
        <w:pStyle w:val="NormalWeb"/>
        <w:rPr>
          <w:lang w:val="en-US"/>
        </w:rPr>
      </w:pPr>
      <w:r>
        <w:rPr>
          <w:rStyle w:val="highlight"/>
          <w:rFonts w:eastAsiaTheme="majorEastAsia"/>
          <w:lang w:val="en-US"/>
        </w:rPr>
        <w:t xml:space="preserve">Integration is </w:t>
      </w:r>
      <w:r w:rsidRPr="00F94065">
        <w:rPr>
          <w:rStyle w:val="highlight"/>
          <w:rFonts w:eastAsiaTheme="majorEastAsia"/>
          <w:lang w:val="en-US"/>
        </w:rPr>
        <w:t xml:space="preserve">“resting on the actual social associations between persons in different segments, not on functional interdependence or common values, though these may contribute to integration by promoting social interaction between persons in different groups and </w:t>
      </w:r>
      <w:r>
        <w:rPr>
          <w:rStyle w:val="highlight"/>
          <w:rFonts w:eastAsiaTheme="majorEastAsia"/>
          <w:lang w:val="en-US"/>
        </w:rPr>
        <w:t>strata</w:t>
      </w:r>
      <w:r w:rsidRPr="00F94065">
        <w:rPr>
          <w:rStyle w:val="highlight"/>
          <w:rFonts w:eastAsiaTheme="majorEastAsia"/>
          <w:lang w:val="en-US"/>
        </w:rPr>
        <w:t>”</w:t>
      </w:r>
      <w:r w:rsidRPr="00F94065">
        <w:rPr>
          <w:lang w:val="en-US"/>
        </w:rPr>
        <w:t xml:space="preserve"> </w:t>
      </w:r>
      <w:r w:rsidRPr="00F94065">
        <w:rPr>
          <w:rStyle w:val="citation"/>
          <w:rFonts w:eastAsiaTheme="majorEastAsia"/>
          <w:lang w:val="en-US"/>
        </w:rPr>
        <w:t>(</w:t>
      </w:r>
      <w:r w:rsidRPr="00F94065">
        <w:rPr>
          <w:rStyle w:val="citation-item"/>
          <w:rFonts w:eastAsiaTheme="majorEastAsia"/>
          <w:lang w:val="en-US"/>
        </w:rPr>
        <w:t>Blau, 1977, p. 33</w:t>
      </w:r>
      <w:r w:rsidRPr="00F94065">
        <w:rPr>
          <w:rStyle w:val="citation"/>
          <w:rFonts w:eastAsiaTheme="majorEastAsia"/>
          <w:lang w:val="en-US"/>
        </w:rPr>
        <w:t>)</w:t>
      </w:r>
      <w:r>
        <w:rPr>
          <w:rStyle w:val="citation"/>
          <w:rFonts w:eastAsiaTheme="majorEastAsia"/>
          <w:lang w:val="en-US"/>
        </w:rPr>
        <w:t xml:space="preserve"> </w:t>
      </w:r>
      <w:r w:rsidRPr="00654E60">
        <w:rPr>
          <w:rStyle w:val="highlight"/>
          <w:rFonts w:eastAsiaTheme="majorEastAsia"/>
          <w:lang w:val="en-US"/>
        </w:rPr>
        <w:t>“assumption is that social associations are less extensive between persons in different social positions than among those in the same ones, high rates of associations among different groups and hierarchical strata are the criterion of macrosocial integratio”</w:t>
      </w:r>
      <w:r w:rsidRPr="00654E60">
        <w:rPr>
          <w:lang w:val="en-US"/>
        </w:rPr>
        <w:t xml:space="preserve"> </w:t>
      </w:r>
      <w:r w:rsidRPr="00654E60">
        <w:rPr>
          <w:rStyle w:val="citation"/>
          <w:rFonts w:eastAsiaTheme="majorEastAsia"/>
          <w:lang w:val="en-US"/>
        </w:rPr>
        <w:t>(</w:t>
      </w:r>
      <w:r w:rsidRPr="00654E60">
        <w:rPr>
          <w:rStyle w:val="citation-item"/>
          <w:rFonts w:eastAsiaTheme="majorEastAsia"/>
          <w:lang w:val="en-US"/>
        </w:rPr>
        <w:t>Blau, 1977, p. 33</w:t>
      </w:r>
      <w:r w:rsidRPr="00654E60">
        <w:rPr>
          <w:rStyle w:val="citation"/>
          <w:rFonts w:eastAsiaTheme="majorEastAsia"/>
          <w:lang w:val="en-US"/>
        </w:rPr>
        <w:t>)</w:t>
      </w:r>
      <w:r w:rsidRPr="00654E60">
        <w:rPr>
          <w:lang w:val="en-US"/>
        </w:rPr>
        <w:t xml:space="preserve"> macrosocial integration como la cantidad de lazos entre personas de distintos grupos sociales</w:t>
      </w:r>
    </w:p>
    <w:p w14:paraId="48B9D60A" w14:textId="77777777" w:rsidR="00A70D64" w:rsidRPr="000C2BCB" w:rsidRDefault="00A70D64" w:rsidP="00A70D64">
      <w:pPr>
        <w:pStyle w:val="NormalWeb"/>
        <w:rPr>
          <w:lang w:val="en-US"/>
        </w:rPr>
      </w:pPr>
      <w:r w:rsidRPr="00F01CA0">
        <w:rPr>
          <w:rStyle w:val="highlight"/>
          <w:rFonts w:eastAsiaTheme="majorEastAsia"/>
          <w:lang w:val="en-US"/>
        </w:rPr>
        <w:t xml:space="preserve">“Dense networks of ingroup relations integrate individuals in their groups, </w:t>
      </w:r>
      <w:r w:rsidRPr="00654E60">
        <w:rPr>
          <w:rStyle w:val="highlight"/>
          <w:rFonts w:eastAsiaTheme="majorEastAsia"/>
          <w:highlight w:val="yellow"/>
          <w:lang w:val="en-US"/>
        </w:rPr>
        <w:t>but they threaten to fragment society</w:t>
      </w:r>
      <w:r w:rsidRPr="00F01CA0">
        <w:rPr>
          <w:rStyle w:val="highlight"/>
          <w:rFonts w:eastAsiaTheme="majorEastAsia"/>
          <w:lang w:val="en-US"/>
        </w:rPr>
        <w:t>, the integration of which depends on extensive intergroup relations.”</w:t>
      </w:r>
      <w:r w:rsidRPr="00F01CA0">
        <w:rPr>
          <w:lang w:val="en-US"/>
        </w:rPr>
        <w:t xml:space="preserve"> </w:t>
      </w:r>
      <w:r w:rsidRPr="000C2BCB">
        <w:rPr>
          <w:rStyle w:val="citation"/>
          <w:rFonts w:eastAsiaTheme="majorEastAsia"/>
          <w:lang w:val="en-US"/>
        </w:rPr>
        <w:t>(</w:t>
      </w:r>
      <w:r w:rsidRPr="000C2BCB">
        <w:rPr>
          <w:rStyle w:val="citation-item"/>
          <w:rFonts w:eastAsiaTheme="majorEastAsia"/>
          <w:lang w:val="en-US"/>
        </w:rPr>
        <w:t>Blau, 1977, p. 33</w:t>
      </w:r>
      <w:r w:rsidRPr="000C2BCB">
        <w:rPr>
          <w:rStyle w:val="citation"/>
          <w:rFonts w:eastAsiaTheme="majorEastAsia"/>
          <w:lang w:val="en-US"/>
        </w:rPr>
        <w:t>)</w:t>
      </w:r>
    </w:p>
    <w:p w14:paraId="1C551BD2" w14:textId="77777777" w:rsidR="00A70D64" w:rsidRPr="000C2BCB" w:rsidRDefault="00A70D64" w:rsidP="00A70D64">
      <w:pPr>
        <w:pStyle w:val="NormalWeb"/>
        <w:rPr>
          <w:lang w:val="en-US"/>
        </w:rPr>
      </w:pPr>
      <w:r w:rsidRPr="000C2BCB">
        <w:rPr>
          <w:rStyle w:val="highlight"/>
          <w:rFonts w:eastAsiaTheme="majorEastAsia"/>
          <w:lang w:val="en-US"/>
        </w:rPr>
        <w:t>“The social experience of associating with persons with different backgrounds undoubtedly affects attitudes and conduc”</w:t>
      </w:r>
      <w:r w:rsidRPr="000C2BCB">
        <w:rPr>
          <w:lang w:val="en-US"/>
        </w:rPr>
        <w:t xml:space="preserve"> </w:t>
      </w:r>
      <w:r w:rsidRPr="000C2BCB">
        <w:rPr>
          <w:rStyle w:val="citation"/>
          <w:rFonts w:eastAsiaTheme="majorEastAsia"/>
          <w:lang w:val="en-US"/>
        </w:rPr>
        <w:t>(</w:t>
      </w:r>
      <w:r w:rsidRPr="000C2BCB">
        <w:rPr>
          <w:rStyle w:val="citation-item"/>
          <w:rFonts w:eastAsiaTheme="majorEastAsia"/>
          <w:lang w:val="en-US"/>
        </w:rPr>
        <w:t>Blau, 1977, p. 36</w:t>
      </w:r>
      <w:r>
        <w:rPr>
          <w:rStyle w:val="citation"/>
          <w:rFonts w:eastAsiaTheme="majorEastAsia"/>
          <w:lang w:val="en-US"/>
        </w:rPr>
        <w:t xml:space="preserve">) </w:t>
      </w:r>
      <w:r w:rsidRPr="000C2BCB">
        <w:rPr>
          <w:rStyle w:val="highlight"/>
          <w:rFonts w:eastAsiaTheme="majorEastAsia"/>
          <w:lang w:val="en-US"/>
        </w:rPr>
        <w:t xml:space="preserve">It may well broaden people's horizons, promote tolerance, and stimulate intellectual endeavors (Simmel 1908, pp. 685-87; Laumann 1973, pp. 98-105, 126-28). </w:t>
      </w:r>
      <w:r w:rsidRPr="006C50FB">
        <w:rPr>
          <w:rStyle w:val="highlight"/>
          <w:rFonts w:eastAsiaTheme="majorEastAsia"/>
          <w:lang w:val="en-US"/>
        </w:rPr>
        <w:t>T”</w:t>
      </w:r>
      <w:r w:rsidRPr="006C50FB">
        <w:rPr>
          <w:lang w:val="en-US"/>
        </w:rPr>
        <w:t xml:space="preserve"> </w:t>
      </w:r>
      <w:r w:rsidRPr="006C50FB">
        <w:rPr>
          <w:rStyle w:val="citation"/>
          <w:rFonts w:eastAsiaTheme="majorEastAsia"/>
          <w:lang w:val="en-US"/>
        </w:rPr>
        <w:t>(</w:t>
      </w:r>
      <w:r w:rsidRPr="006C50FB">
        <w:rPr>
          <w:rStyle w:val="citation-item"/>
          <w:rFonts w:eastAsiaTheme="majorEastAsia"/>
          <w:lang w:val="en-US"/>
        </w:rPr>
        <w:t>Blau, 1977, p. 36</w:t>
      </w:r>
      <w:r w:rsidRPr="006C50FB">
        <w:rPr>
          <w:rStyle w:val="citation"/>
          <w:rFonts w:eastAsiaTheme="majorEastAsia"/>
          <w:lang w:val="en-US"/>
        </w:rPr>
        <w:t>)</w:t>
      </w:r>
    </w:p>
    <w:p w14:paraId="641031C7" w14:textId="77777777" w:rsidR="00ED72C7" w:rsidRPr="00ED72C7" w:rsidRDefault="00ED72C7" w:rsidP="00ED72C7">
      <w:pPr>
        <w:pStyle w:val="NormalWeb"/>
        <w:rPr>
          <w:lang w:val="en-US"/>
        </w:rPr>
      </w:pPr>
      <w:r w:rsidRPr="00ED72C7">
        <w:rPr>
          <w:rStyle w:val="highlight"/>
          <w:rFonts w:eastAsiaTheme="majorEastAsia"/>
          <w:lang w:val="en-US"/>
        </w:rPr>
        <w:t>“Ingredient 2: social integration as mutual trust.”</w:t>
      </w:r>
      <w:r w:rsidRPr="00ED72C7">
        <w:rPr>
          <w:lang w:val="en-US"/>
        </w:rPr>
        <w:t xml:space="preserve"> </w:t>
      </w:r>
      <w:r w:rsidRPr="00ED72C7">
        <w:rPr>
          <w:rStyle w:val="citation"/>
          <w:rFonts w:eastAsiaTheme="majorEastAsia"/>
          <w:lang w:val="en-US"/>
        </w:rPr>
        <w:t>(</w:t>
      </w:r>
      <w:r w:rsidRPr="00ED72C7">
        <w:rPr>
          <w:rStyle w:val="citation-item"/>
          <w:rFonts w:eastAsiaTheme="majorEastAsia"/>
          <w:lang w:val="en-US"/>
        </w:rPr>
        <w:t>Grunow et al., 2023, p. 15</w:t>
      </w:r>
      <w:r w:rsidRPr="00ED72C7">
        <w:rPr>
          <w:rStyle w:val="citation"/>
          <w:rFonts w:eastAsiaTheme="majorEastAsia"/>
          <w:lang w:val="en-US"/>
        </w:rPr>
        <w:t>)</w:t>
      </w:r>
    </w:p>
    <w:p w14:paraId="5C527D67" w14:textId="77777777" w:rsidR="00ED72C7" w:rsidRDefault="00ED72C7" w:rsidP="00ED72C7">
      <w:pPr>
        <w:pStyle w:val="NormalWeb"/>
      </w:pPr>
      <w:r w:rsidRPr="00ED72C7">
        <w:rPr>
          <w:rStyle w:val="highlight"/>
          <w:rFonts w:eastAsiaTheme="majorEastAsia"/>
          <w:lang w:val="en-US"/>
        </w:rPr>
        <w:t>“Mutual trust is a basic mode of orientation towards other social actors—persons, groups, organisations. Until the opposite is proven, trust supposes that others obey rules, keep promises and agreements, and, even if they act self-interested, have no “unfriendly” intentions against oneself or act in “unruly” ways, for instance, do not steal but buy.”</w:t>
      </w:r>
      <w:r w:rsidRPr="00ED72C7">
        <w:rPr>
          <w:lang w:val="en-US"/>
        </w:rPr>
        <w:t xml:space="preserve"> </w:t>
      </w:r>
      <w:r>
        <w:rPr>
          <w:rStyle w:val="citation"/>
          <w:rFonts w:eastAsiaTheme="majorEastAsia"/>
        </w:rPr>
        <w:t>(</w:t>
      </w:r>
      <w:r>
        <w:rPr>
          <w:rStyle w:val="citation-item"/>
          <w:rFonts w:eastAsiaTheme="majorEastAsia"/>
        </w:rPr>
        <w:t>Grunow et al., 2023, p. 15</w:t>
      </w:r>
      <w:r>
        <w:rPr>
          <w:rStyle w:val="citation"/>
          <w:rFonts w:eastAsiaTheme="majorEastAsia"/>
        </w:rPr>
        <w:t>)</w:t>
      </w:r>
    </w:p>
    <w:p w14:paraId="63A1B7A6" w14:textId="77777777" w:rsidR="00ED72C7" w:rsidRPr="00ED72C7" w:rsidRDefault="00ED72C7" w:rsidP="00ED72C7">
      <w:pPr>
        <w:pStyle w:val="NormalWeb"/>
        <w:rPr>
          <w:lang w:val="en-US"/>
        </w:rPr>
      </w:pPr>
      <w:r w:rsidRPr="00ED72C7">
        <w:rPr>
          <w:rStyle w:val="highlight"/>
          <w:rFonts w:eastAsiaTheme="majorEastAsia"/>
          <w:lang w:val="en-US"/>
        </w:rPr>
        <w:t>“assessed by the number of members of society who are trustful and the degree to which they are trustful.”</w:t>
      </w:r>
      <w:r w:rsidRPr="00ED72C7">
        <w:rPr>
          <w:lang w:val="en-US"/>
        </w:rPr>
        <w:t xml:space="preserve"> </w:t>
      </w:r>
      <w:r w:rsidRPr="00ED72C7">
        <w:rPr>
          <w:rStyle w:val="citation"/>
          <w:rFonts w:eastAsiaTheme="majorEastAsia"/>
          <w:lang w:val="en-US"/>
        </w:rPr>
        <w:t>(</w:t>
      </w:r>
      <w:r w:rsidRPr="00ED72C7">
        <w:rPr>
          <w:rStyle w:val="citation-item"/>
          <w:rFonts w:eastAsiaTheme="majorEastAsia"/>
          <w:lang w:val="en-US"/>
        </w:rPr>
        <w:t>Grunow et al., 2023, p. 15</w:t>
      </w:r>
      <w:r w:rsidRPr="00ED72C7">
        <w:rPr>
          <w:rStyle w:val="citation"/>
          <w:rFonts w:eastAsiaTheme="majorEastAsia"/>
          <w:lang w:val="en-US"/>
        </w:rPr>
        <w:t>)</w:t>
      </w:r>
    </w:p>
    <w:p w14:paraId="4E0F5656" w14:textId="77777777" w:rsidR="00ED72C7" w:rsidRDefault="00ED72C7" w:rsidP="00ED72C7">
      <w:pPr>
        <w:pStyle w:val="NormalWeb"/>
      </w:pPr>
      <w:r w:rsidRPr="00ED72C7">
        <w:rPr>
          <w:rStyle w:val="underline"/>
          <w:rFonts w:eastAsiaTheme="majorEastAsia"/>
          <w:lang w:val="en-US"/>
        </w:rPr>
        <w:t>“social trust—which amounts to a blind reliance on others’ good behaviour and good intentions that can be easily exploited by those who do not share this orientation—is as problematic as too much distrust.”</w:t>
      </w:r>
      <w:r w:rsidRPr="00ED72C7">
        <w:rPr>
          <w:lang w:val="en-US"/>
        </w:rPr>
        <w:t xml:space="preserve"> </w:t>
      </w:r>
      <w:r>
        <w:rPr>
          <w:rStyle w:val="citation"/>
          <w:rFonts w:eastAsiaTheme="majorEastAsia"/>
        </w:rPr>
        <w:t>(</w:t>
      </w:r>
      <w:r>
        <w:rPr>
          <w:rStyle w:val="citation-item"/>
          <w:rFonts w:eastAsiaTheme="majorEastAsia"/>
        </w:rPr>
        <w:t>Grunow et al., 2023, p. 15</w:t>
      </w:r>
      <w:r>
        <w:rPr>
          <w:rStyle w:val="citation"/>
          <w:rFonts w:eastAsiaTheme="majorEastAsia"/>
        </w:rPr>
        <w:t>)</w:t>
      </w:r>
    </w:p>
    <w:p w14:paraId="574A3395" w14:textId="77777777" w:rsidR="001F4360" w:rsidRDefault="001F4360"/>
    <w:sectPr w:rsidR="001F436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o César Iturra Sanhueza" w:date="2026-02-06T18:37:00Z" w:initials="JI">
    <w:p w14:paraId="08190722" w14:textId="77777777" w:rsidR="00A70D64" w:rsidRDefault="00A70D64" w:rsidP="00ED5B45">
      <w:pPr>
        <w:pStyle w:val="CommentText"/>
      </w:pPr>
      <w:r>
        <w:rPr>
          <w:rStyle w:val="CommentReference"/>
        </w:rPr>
        <w:annotationRef/>
      </w:r>
      <w:r>
        <w:t>Here cite the papers that have addressed this in comparative perspective, mainly literature reviews.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90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B6018" w16cex:dateUtc="2026-02-06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90722" w16cid:durableId="099B60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1A"/>
    <w:rsid w:val="00044CA4"/>
    <w:rsid w:val="000811FA"/>
    <w:rsid w:val="000F06DB"/>
    <w:rsid w:val="001D05C4"/>
    <w:rsid w:val="001F4360"/>
    <w:rsid w:val="003F6115"/>
    <w:rsid w:val="0051059B"/>
    <w:rsid w:val="006D6D0F"/>
    <w:rsid w:val="007420D2"/>
    <w:rsid w:val="009D6084"/>
    <w:rsid w:val="00A70D64"/>
    <w:rsid w:val="00A90F1A"/>
    <w:rsid w:val="00E24A9F"/>
    <w:rsid w:val="00EA1DBF"/>
    <w:rsid w:val="00ED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A610"/>
  <w15:chartTrackingRefBased/>
  <w15:docId w15:val="{F5107976-AF36-4E7C-BAFA-430C7C5A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D64"/>
    <w:rPr>
      <w:lang w:val="es-CL"/>
    </w:rPr>
  </w:style>
  <w:style w:type="paragraph" w:styleId="Heading1">
    <w:name w:val="heading 1"/>
    <w:basedOn w:val="Normal"/>
    <w:next w:val="Normal"/>
    <w:link w:val="Heading1Char"/>
    <w:uiPriority w:val="9"/>
    <w:qFormat/>
    <w:rsid w:val="00A90F1A"/>
    <w:pPr>
      <w:keepNext/>
      <w:keepLines/>
      <w:spacing w:before="360" w:after="80"/>
      <w:outlineLvl w:val="0"/>
    </w:pPr>
    <w:rPr>
      <w:rFonts w:asciiTheme="majorHAnsi" w:eastAsiaTheme="majorEastAsia" w:hAnsiTheme="majorHAnsi" w:cstheme="majorBidi"/>
      <w:color w:val="2E74B5" w:themeColor="accent1" w:themeShade="BF"/>
      <w:sz w:val="40"/>
      <w:szCs w:val="40"/>
      <w:lang w:val="en-US"/>
    </w:rPr>
  </w:style>
  <w:style w:type="paragraph" w:styleId="Heading2">
    <w:name w:val="heading 2"/>
    <w:basedOn w:val="Normal"/>
    <w:next w:val="Normal"/>
    <w:link w:val="Heading2Char"/>
    <w:uiPriority w:val="9"/>
    <w:semiHidden/>
    <w:unhideWhenUsed/>
    <w:qFormat/>
    <w:rsid w:val="00A90F1A"/>
    <w:pPr>
      <w:keepNext/>
      <w:keepLines/>
      <w:spacing w:before="160" w:after="80"/>
      <w:outlineLvl w:val="1"/>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A90F1A"/>
    <w:pPr>
      <w:keepNext/>
      <w:keepLines/>
      <w:spacing w:before="160" w:after="80"/>
      <w:outlineLvl w:val="2"/>
    </w:pPr>
    <w:rPr>
      <w:rFonts w:eastAsiaTheme="majorEastAsia" w:cstheme="majorBidi"/>
      <w:color w:val="2E74B5" w:themeColor="accent1" w:themeShade="BF"/>
      <w:sz w:val="28"/>
      <w:szCs w:val="28"/>
      <w:lang w:val="en-US"/>
    </w:rPr>
  </w:style>
  <w:style w:type="paragraph" w:styleId="Heading4">
    <w:name w:val="heading 4"/>
    <w:basedOn w:val="Normal"/>
    <w:next w:val="Normal"/>
    <w:link w:val="Heading4Char"/>
    <w:uiPriority w:val="9"/>
    <w:semiHidden/>
    <w:unhideWhenUsed/>
    <w:qFormat/>
    <w:rsid w:val="00A90F1A"/>
    <w:pPr>
      <w:keepNext/>
      <w:keepLines/>
      <w:spacing w:before="80" w:after="40"/>
      <w:outlineLvl w:val="3"/>
    </w:pPr>
    <w:rPr>
      <w:rFonts w:eastAsiaTheme="majorEastAsia" w:cstheme="majorBidi"/>
      <w:i/>
      <w:iCs/>
      <w:color w:val="2E74B5" w:themeColor="accent1" w:themeShade="BF"/>
      <w:lang w:val="en-US"/>
    </w:rPr>
  </w:style>
  <w:style w:type="paragraph" w:styleId="Heading5">
    <w:name w:val="heading 5"/>
    <w:basedOn w:val="Normal"/>
    <w:next w:val="Normal"/>
    <w:link w:val="Heading5Char"/>
    <w:uiPriority w:val="9"/>
    <w:semiHidden/>
    <w:unhideWhenUsed/>
    <w:qFormat/>
    <w:rsid w:val="00A90F1A"/>
    <w:pPr>
      <w:keepNext/>
      <w:keepLines/>
      <w:spacing w:before="80" w:after="40"/>
      <w:outlineLvl w:val="4"/>
    </w:pPr>
    <w:rPr>
      <w:rFonts w:eastAsiaTheme="majorEastAsia" w:cstheme="majorBidi"/>
      <w:color w:val="2E74B5" w:themeColor="accent1" w:themeShade="BF"/>
      <w:lang w:val="en-US"/>
    </w:rPr>
  </w:style>
  <w:style w:type="paragraph" w:styleId="Heading6">
    <w:name w:val="heading 6"/>
    <w:basedOn w:val="Normal"/>
    <w:next w:val="Normal"/>
    <w:link w:val="Heading6Char"/>
    <w:uiPriority w:val="9"/>
    <w:semiHidden/>
    <w:unhideWhenUsed/>
    <w:qFormat/>
    <w:rsid w:val="00A90F1A"/>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A90F1A"/>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A90F1A"/>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A90F1A"/>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0F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0F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0F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0F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1A"/>
    <w:rPr>
      <w:rFonts w:eastAsiaTheme="majorEastAsia" w:cstheme="majorBidi"/>
      <w:color w:val="272727" w:themeColor="text1" w:themeTint="D8"/>
    </w:rPr>
  </w:style>
  <w:style w:type="paragraph" w:styleId="Title">
    <w:name w:val="Title"/>
    <w:basedOn w:val="Normal"/>
    <w:next w:val="Normal"/>
    <w:link w:val="TitleChar"/>
    <w:uiPriority w:val="10"/>
    <w:qFormat/>
    <w:rsid w:val="00A90F1A"/>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A90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1A"/>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A90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1A"/>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A90F1A"/>
    <w:rPr>
      <w:i/>
      <w:iCs/>
      <w:color w:val="404040" w:themeColor="text1" w:themeTint="BF"/>
    </w:rPr>
  </w:style>
  <w:style w:type="paragraph" w:styleId="ListParagraph">
    <w:name w:val="List Paragraph"/>
    <w:basedOn w:val="Normal"/>
    <w:uiPriority w:val="34"/>
    <w:qFormat/>
    <w:rsid w:val="00A90F1A"/>
    <w:pPr>
      <w:ind w:left="720"/>
      <w:contextualSpacing/>
    </w:pPr>
    <w:rPr>
      <w:lang w:val="en-US"/>
    </w:rPr>
  </w:style>
  <w:style w:type="character" w:styleId="IntenseEmphasis">
    <w:name w:val="Intense Emphasis"/>
    <w:basedOn w:val="DefaultParagraphFont"/>
    <w:uiPriority w:val="21"/>
    <w:qFormat/>
    <w:rsid w:val="00A90F1A"/>
    <w:rPr>
      <w:i/>
      <w:iCs/>
      <w:color w:val="2E74B5" w:themeColor="accent1" w:themeShade="BF"/>
    </w:rPr>
  </w:style>
  <w:style w:type="paragraph" w:styleId="IntenseQuote">
    <w:name w:val="Intense Quote"/>
    <w:basedOn w:val="Normal"/>
    <w:next w:val="Normal"/>
    <w:link w:val="IntenseQuoteChar"/>
    <w:uiPriority w:val="30"/>
    <w:qFormat/>
    <w:rsid w:val="00A90F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en-US"/>
    </w:rPr>
  </w:style>
  <w:style w:type="character" w:customStyle="1" w:styleId="IntenseQuoteChar">
    <w:name w:val="Intense Quote Char"/>
    <w:basedOn w:val="DefaultParagraphFont"/>
    <w:link w:val="IntenseQuote"/>
    <w:uiPriority w:val="30"/>
    <w:rsid w:val="00A90F1A"/>
    <w:rPr>
      <w:i/>
      <w:iCs/>
      <w:color w:val="2E74B5" w:themeColor="accent1" w:themeShade="BF"/>
    </w:rPr>
  </w:style>
  <w:style w:type="character" w:styleId="IntenseReference">
    <w:name w:val="Intense Reference"/>
    <w:basedOn w:val="DefaultParagraphFont"/>
    <w:uiPriority w:val="32"/>
    <w:qFormat/>
    <w:rsid w:val="00A90F1A"/>
    <w:rPr>
      <w:b/>
      <w:bCs/>
      <w:smallCaps/>
      <w:color w:val="2E74B5" w:themeColor="accent1" w:themeShade="BF"/>
      <w:spacing w:val="5"/>
    </w:rPr>
  </w:style>
  <w:style w:type="paragraph" w:styleId="NormalWeb">
    <w:name w:val="Normal (Web)"/>
    <w:basedOn w:val="Normal"/>
    <w:uiPriority w:val="99"/>
    <w:semiHidden/>
    <w:unhideWhenUsed/>
    <w:rsid w:val="00A70D64"/>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highlight">
    <w:name w:val="highlight"/>
    <w:basedOn w:val="DefaultParagraphFont"/>
    <w:rsid w:val="00A70D64"/>
  </w:style>
  <w:style w:type="character" w:customStyle="1" w:styleId="citation">
    <w:name w:val="citation"/>
    <w:basedOn w:val="DefaultParagraphFont"/>
    <w:rsid w:val="00A70D64"/>
  </w:style>
  <w:style w:type="character" w:customStyle="1" w:styleId="citation-item">
    <w:name w:val="citation-item"/>
    <w:basedOn w:val="DefaultParagraphFont"/>
    <w:rsid w:val="00A70D64"/>
  </w:style>
  <w:style w:type="character" w:styleId="Hyperlink">
    <w:name w:val="Hyperlink"/>
    <w:basedOn w:val="DefaultParagraphFont"/>
    <w:uiPriority w:val="99"/>
    <w:unhideWhenUsed/>
    <w:rsid w:val="00A70D64"/>
    <w:rPr>
      <w:color w:val="0563C1" w:themeColor="hyperlink"/>
      <w:u w:val="single"/>
    </w:rPr>
  </w:style>
  <w:style w:type="character" w:styleId="CommentReference">
    <w:name w:val="annotation reference"/>
    <w:basedOn w:val="DefaultParagraphFont"/>
    <w:uiPriority w:val="99"/>
    <w:semiHidden/>
    <w:unhideWhenUsed/>
    <w:rsid w:val="00A70D64"/>
    <w:rPr>
      <w:sz w:val="16"/>
      <w:szCs w:val="16"/>
    </w:rPr>
  </w:style>
  <w:style w:type="paragraph" w:styleId="CommentText">
    <w:name w:val="annotation text"/>
    <w:basedOn w:val="Normal"/>
    <w:link w:val="CommentTextChar"/>
    <w:uiPriority w:val="99"/>
    <w:unhideWhenUsed/>
    <w:rsid w:val="00A70D64"/>
    <w:pPr>
      <w:spacing w:line="240" w:lineRule="auto"/>
    </w:pPr>
    <w:rPr>
      <w:sz w:val="20"/>
      <w:szCs w:val="20"/>
    </w:rPr>
  </w:style>
  <w:style w:type="character" w:customStyle="1" w:styleId="CommentTextChar">
    <w:name w:val="Comment Text Char"/>
    <w:basedOn w:val="DefaultParagraphFont"/>
    <w:link w:val="CommentText"/>
    <w:uiPriority w:val="99"/>
    <w:rsid w:val="00A70D64"/>
    <w:rPr>
      <w:sz w:val="20"/>
      <w:szCs w:val="20"/>
      <w:lang w:val="es-CL"/>
    </w:rPr>
  </w:style>
  <w:style w:type="table" w:styleId="TableGrid">
    <w:name w:val="Table Grid"/>
    <w:basedOn w:val="TableNormal"/>
    <w:uiPriority w:val="39"/>
    <w:rsid w:val="00A70D64"/>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rsid w:val="00ED7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haodos.org/revista-methaodos/index.php/methaodos/article/view/889/1375"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1247</Words>
  <Characters>7109</Characters>
  <Application>Microsoft Office Word</Application>
  <DocSecurity>0</DocSecurity>
  <Lines>59</Lines>
  <Paragraphs>16</Paragraphs>
  <ScaleCrop>false</ScaleCrop>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3</cp:revision>
  <dcterms:created xsi:type="dcterms:W3CDTF">2026-03-18T15:48:00Z</dcterms:created>
  <dcterms:modified xsi:type="dcterms:W3CDTF">2026-03-19T13:37:00Z</dcterms:modified>
</cp:coreProperties>
</file>