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DFE8" w14:textId="77777777" w:rsidR="008D4D8D" w:rsidRPr="00F1349D" w:rsidRDefault="008D4D8D" w:rsidP="008D4D8D">
      <w:pPr>
        <w:pStyle w:val="Heading2"/>
        <w:jc w:val="left"/>
        <w:rPr>
          <w:lang w:val="en-US"/>
        </w:rPr>
      </w:pPr>
      <w:bookmarkStart w:id="0" w:name="_Toc229993706"/>
      <w:r>
        <w:rPr>
          <w:lang w:val="en-US"/>
        </w:rPr>
        <w:t>Contextual promoters and inhibitors of cohesion?</w:t>
      </w:r>
      <w:bookmarkEnd w:id="0"/>
    </w:p>
    <w:p w14:paraId="5D1A8459" w14:textId="77777777" w:rsidR="008D4D8D" w:rsidRDefault="008D4D8D" w:rsidP="008D4D8D">
      <w:pPr>
        <w:rPr>
          <w:rFonts w:cs="Times New Roman"/>
          <w:lang w:val="en-US"/>
        </w:rPr>
      </w:pPr>
      <w:r>
        <w:rPr>
          <w:rFonts w:cs="Times New Roman"/>
          <w:lang w:val="en-US"/>
        </w:rPr>
        <w:t xml:space="preserve">In this section, we aim to briefly summarize the societal characteristics expected to affect horizontal social cohesion and to focus more on the subjective component, considering related behavioral expressions.  Therefore, we do not review relevant literature on vertical social cohesion focused on public views on public institutions and political authorities, nor the behavioral expressions within the political system. </w:t>
      </w:r>
    </w:p>
    <w:p w14:paraId="5D542598" w14:textId="77777777" w:rsidR="008D4D8D" w:rsidRDefault="008D4D8D" w:rsidP="008D4D8D">
      <w:pPr>
        <w:rPr>
          <w:rFonts w:cs="Times New Roman"/>
          <w:lang w:val="en-US"/>
        </w:rPr>
      </w:pPr>
      <w:r>
        <w:rPr>
          <w:rFonts w:cs="Times New Roman"/>
          <w:lang w:val="en-US"/>
        </w:rPr>
        <w:t xml:space="preserve">The scholarly discussion on social cohesion has clearly distinguished constituent elements from their causes.  </w:t>
      </w:r>
      <w:r w:rsidRPr="00F1349D">
        <w:rPr>
          <w:rFonts w:cs="Times New Roman"/>
          <w:lang w:val="en-US"/>
        </w:rPr>
        <w:t>Among the factors that affect social cohesion—</w:t>
      </w:r>
      <w:r>
        <w:rPr>
          <w:rFonts w:cs="Times New Roman"/>
          <w:lang w:val="en-US"/>
        </w:rPr>
        <w:t>whether as promoters or inhibitors—scholarly attention has primarily focused on unit-level conditions that shape its constituent elements</w:t>
      </w:r>
      <w:r w:rsidRPr="00125D49">
        <w:rPr>
          <w:rFonts w:cs="Times New Roman"/>
          <w:lang w:val="en-US"/>
        </w:rPr>
        <w:t>.</w:t>
      </w:r>
      <w:r>
        <w:rPr>
          <w:rFonts w:cs="Times New Roman"/>
          <w:lang w:val="en-US"/>
        </w:rPr>
        <w:t xml:space="preserve"> Delhey et al. (2023) suggest four domains directly associated with social cohesion, including affluence, inequality, value climate, and ethnic heterogeneity (p. </w:t>
      </w:r>
      <w:r w:rsidRPr="005E66C1">
        <w:rPr>
          <w:rFonts w:cs="Times New Roman"/>
          <w:highlight w:val="yellow"/>
          <w:lang w:val="en-US"/>
        </w:rPr>
        <w:t>12).</w:t>
      </w:r>
      <w:r>
        <w:rPr>
          <w:rFonts w:cs="Times New Roman"/>
          <w:lang w:val="en-US"/>
        </w:rPr>
        <w:t xml:space="preserve"> Building on their findings, we organize the factors into three domains related to societal characteristics in socio-economic, sociocultural, and values. We also recognize that, while there is no overarching theory of social cohesion that brings all domains together, the theoretical mechanisms underlying domain-specific effects primarily focus on constituent elements rather than cohesiveness itself.</w:t>
      </w:r>
    </w:p>
    <w:p w14:paraId="00331B34" w14:textId="77777777" w:rsidR="008D4D8D" w:rsidRPr="00C2782C" w:rsidRDefault="008D4D8D" w:rsidP="008D4D8D">
      <w:pPr>
        <w:rPr>
          <w:rFonts w:cs="Times New Roman"/>
          <w:i/>
          <w:iCs/>
          <w:lang w:val="en-US"/>
        </w:rPr>
      </w:pPr>
      <w:r w:rsidRPr="00C2782C">
        <w:rPr>
          <w:rFonts w:cs="Times New Roman"/>
          <w:i/>
          <w:iCs/>
          <w:lang w:val="en-US"/>
        </w:rPr>
        <w:t>Socioeconomic domain</w:t>
      </w:r>
    </w:p>
    <w:p w14:paraId="43A74B58" w14:textId="77777777" w:rsidR="008D4D8D" w:rsidRPr="0099654D" w:rsidRDefault="008D4D8D" w:rsidP="008D4D8D">
      <w:pPr>
        <w:rPr>
          <w:rFonts w:cs="Times New Roman"/>
          <w:lang w:val="en-US"/>
        </w:rPr>
      </w:pPr>
      <w:r>
        <w:rPr>
          <w:rFonts w:cs="Times New Roman"/>
          <w:lang w:val="en-US"/>
        </w:rPr>
        <w:t xml:space="preserve">Scholarly research on the relationship between socioeconomic conditions and social cohesion has focused on two characteristics. </w:t>
      </w:r>
      <w:r>
        <w:rPr>
          <w:lang w:val="en-US"/>
        </w:rPr>
        <w:t xml:space="preserve">Economic </w:t>
      </w:r>
      <w:r w:rsidRPr="007477C2">
        <w:rPr>
          <w:i/>
          <w:iCs/>
          <w:lang w:val="en-US"/>
        </w:rPr>
        <w:t>affluence</w:t>
      </w:r>
      <w:r>
        <w:rPr>
          <w:lang w:val="en-US"/>
        </w:rPr>
        <w:t xml:space="preserve"> of society is the overall pool of resources available within it.  The main argument is that greater economic affluence within society promotes social cohesion. Delhey et al. (2023) suggest that “stronger, not weaker, bonds of cohesion” are more likely to be present in prosperous societies. Building on modernization theory, Delhey et al. (2023) suggest that the link between societal prosperity and cohesiveness can be explained by the salience of post-materialist values, which foster positive expectations among society's members. Other explanations argue that greater economic prosperity in a country is associated with social cohesion, as it provides a context of greater resource availability that enhances the likelihood of participation across status groups and increases overall societal welfare </w:t>
      </w:r>
      <w:r w:rsidRPr="00125445">
        <w:rPr>
          <w:lang w:val="en-US"/>
        </w:rPr>
        <w:t>(Lancee and Van de Werfhorst, 2012)</w:t>
      </w:r>
      <w:r>
        <w:rPr>
          <w:lang w:val="en-US"/>
        </w:rPr>
        <w:t>.</w:t>
      </w:r>
    </w:p>
    <w:p w14:paraId="04024451" w14:textId="77777777" w:rsidR="008D4D8D" w:rsidRDefault="008D4D8D" w:rsidP="008D4D8D">
      <w:pPr>
        <w:pStyle w:val="NormalWeb"/>
        <w:rPr>
          <w:lang w:val="en-US"/>
        </w:rPr>
      </w:pPr>
      <w:r>
        <w:rPr>
          <w:lang w:val="en-US"/>
        </w:rPr>
        <w:t xml:space="preserve">Other perspectives have stressed the role of economic </w:t>
      </w:r>
      <w:r>
        <w:rPr>
          <w:i/>
          <w:iCs/>
          <w:lang w:val="en-US"/>
        </w:rPr>
        <w:t>inequality</w:t>
      </w:r>
      <w:r>
        <w:rPr>
          <w:lang w:val="en-US"/>
        </w:rPr>
        <w:t xml:space="preserve"> in determining how economic resources are distributed among the members of society. The main argument is that wider economic gaps between the bottom and upper socioeconomic positions dampen social cohesion. Greater economic inequality creates more difficult conditions, leading people to withdraw from social life and inhibit cohesive social interactions. Scholars have derived different explanations for the weaker social cohesion in unequal societies. It is argued that economic inequality generates segregated social relations across socioeconomic lines (Blau, 1979). This lack of social integration also has moral implications arising from segregated contexts, as individuals at different ends of the income distribution</w:t>
      </w:r>
      <w:r w:rsidRPr="00F1349D">
        <w:rPr>
          <w:lang w:val="en-US"/>
        </w:rPr>
        <w:t xml:space="preserve"> do not perceive themselves as sharing a common fate</w:t>
      </w:r>
      <w:r>
        <w:rPr>
          <w:lang w:val="en-US"/>
        </w:rPr>
        <w:t xml:space="preserve"> </w:t>
      </w:r>
      <w:r w:rsidRPr="00F1349D">
        <w:rPr>
          <w:lang w:val="en-US"/>
        </w:rPr>
        <w:t>(Uslaner &amp; Brown, 2005).</w:t>
      </w:r>
      <w:r>
        <w:rPr>
          <w:lang w:val="en-US"/>
        </w:rPr>
        <w:t xml:space="preserve"> Another argument suggests that there is a greater perceived risk of establishing interpersonal relationships. This is expected to occur for individuals at both ends of the income distribution. However, for individuals with relatively lower resources who have more to lose, it is harder for them to hold positive expectations about other members of society (Salgado et al., 2017). Also, as material resources and time become scarce, participation in social activities to get to know different others is reduced. Contexts of high inequality raise barriers to social participation at the societal level and strengthen the role of socioeconomic position in shaping the variety and intensity of social participation (Pichler and Wallace, 2009). Thus, </w:t>
      </w:r>
      <w:r w:rsidRPr="001454F3">
        <w:rPr>
          <w:i/>
          <w:iCs/>
          <w:lang w:val="en-US"/>
        </w:rPr>
        <w:t>horizontal</w:t>
      </w:r>
      <w:r>
        <w:rPr>
          <w:lang w:val="en-US"/>
        </w:rPr>
        <w:t xml:space="preserve"> social cohesion, in the form of trust </w:t>
      </w:r>
      <w:r>
        <w:rPr>
          <w:lang w:val="en-US"/>
        </w:rPr>
        <w:lastRenderedPageBreak/>
        <w:t>towards other members of society and the likelihood of participating in social activities, is likely to be weaker in contexts of high inequality.</w:t>
      </w:r>
    </w:p>
    <w:p w14:paraId="66039504" w14:textId="77777777" w:rsidR="008D4D8D" w:rsidRPr="00015231" w:rsidRDefault="008D4D8D" w:rsidP="008D4D8D">
      <w:pPr>
        <w:pStyle w:val="NormalWeb"/>
        <w:rPr>
          <w:i/>
          <w:iCs/>
          <w:lang w:val="en-US"/>
        </w:rPr>
      </w:pPr>
      <w:r w:rsidRPr="00015231">
        <w:rPr>
          <w:i/>
          <w:iCs/>
          <w:lang w:val="en-US"/>
        </w:rPr>
        <w:t>Sociocultural domain</w:t>
      </w:r>
    </w:p>
    <w:p w14:paraId="3278A022" w14:textId="77777777" w:rsidR="008D4D8D" w:rsidRDefault="008D4D8D" w:rsidP="008D4D8D">
      <w:pPr>
        <w:pStyle w:val="NormalWeb"/>
        <w:rPr>
          <w:lang w:val="en-US"/>
        </w:rPr>
      </w:pPr>
      <w:r w:rsidRPr="00015231">
        <w:rPr>
          <w:lang w:val="en-US"/>
        </w:rPr>
        <w:t xml:space="preserve">The sociocultural dimension of social cohesion has long examined whether ethnic and religious diversity </w:t>
      </w:r>
      <w:r>
        <w:rPr>
          <w:lang w:val="en-US"/>
        </w:rPr>
        <w:t>undermines it</w:t>
      </w:r>
      <w:r w:rsidRPr="00015231">
        <w:rPr>
          <w:lang w:val="en-US"/>
        </w:rPr>
        <w:t xml:space="preserve">. A </w:t>
      </w:r>
      <w:r>
        <w:rPr>
          <w:lang w:val="en-US"/>
        </w:rPr>
        <w:t xml:space="preserve">recurrent reference to this claim is </w:t>
      </w:r>
      <w:r w:rsidRPr="00015231">
        <w:rPr>
          <w:lang w:val="en-US"/>
        </w:rPr>
        <w:t xml:space="preserve">Putnam (2007), who argued that rising diversity, driven in part by migration, may generate short- to medium-term declines in trust and social connectedness, even if it may also produce longer-term benefits such as innovation and adaptability. Subsequent research, however, has nuanced this claim. In this sense, it has been shown that the negative association between diversity and cohesion is modest, strongest in local settings such as neighborhoods, and far from universal (Dinesen et al., 2020; van der Meer &amp; Tolsma, 2014). This has shifted the debate away from the idea that diversity automatically erodes cohesion and toward a more conditional account. </w:t>
      </w:r>
    </w:p>
    <w:p w14:paraId="58A3FE7C" w14:textId="77777777" w:rsidR="008D4D8D" w:rsidRDefault="008D4D8D" w:rsidP="008D4D8D">
      <w:pPr>
        <w:pStyle w:val="NormalWeb"/>
        <w:rPr>
          <w:lang w:val="en-US"/>
        </w:rPr>
      </w:pPr>
      <w:r>
        <w:rPr>
          <w:lang w:val="en-US"/>
        </w:rPr>
        <w:t xml:space="preserve">Among the explanations, there are two that can be summarized. </w:t>
      </w:r>
      <w:r w:rsidRPr="00015231">
        <w:rPr>
          <w:lang w:val="en-US"/>
        </w:rPr>
        <w:t xml:space="preserve">Contact-based explanations suggest that diversity can increase intergroup exposure and, under favorable conditions, foster familiarity and trust, although these effects depend on context and are not automatic (Dinesen et al., 2020; van der Meer &amp; Tolsma, 2014). Conflict-based explanations, in contrast, emphasize perceived threat as a key mechanism linking diversity to weaker cooperation. On the one hand, realistic threats refer to perceived competition over jobs, wages, welfare benefits, and other scarce resources. On the other hand, symbolic threats refer to perceived challenges to the values, identity, and status of the in-group (Hainmueller &amp; Hopkins, 2015). Nevertheless, a central lesson of literature is that diversity rarely matters in and of itself. Portes and Vickstrom (2011) suggest that diversity is most consequential for cohesion when diversity overlaps with inequality and segregation. This argument is reinforced by studies showing that segregation and community disadvantage often matter more than diversity itself, since trust penalties are strongest where diversity is combined with spatial </w:t>
      </w:r>
      <w:r>
        <w:rPr>
          <w:lang w:val="en-US"/>
        </w:rPr>
        <w:t xml:space="preserve">segregation </w:t>
      </w:r>
      <w:r w:rsidRPr="00015231">
        <w:rPr>
          <w:lang w:val="en-US"/>
        </w:rPr>
        <w:t xml:space="preserve">and weak integration (Laurence, 2016; Uslaner, 2011). </w:t>
      </w:r>
    </w:p>
    <w:p w14:paraId="2666B57D" w14:textId="77777777" w:rsidR="008D4D8D" w:rsidRDefault="008D4D8D" w:rsidP="008D4D8D">
      <w:pPr>
        <w:pStyle w:val="NormalWeb"/>
        <w:rPr>
          <w:lang w:val="en-US"/>
        </w:rPr>
      </w:pPr>
      <w:r w:rsidRPr="00015231">
        <w:rPr>
          <w:lang w:val="en-US"/>
        </w:rPr>
        <w:t xml:space="preserve">Other work </w:t>
      </w:r>
      <w:r>
        <w:rPr>
          <w:lang w:val="en-US"/>
        </w:rPr>
        <w:t xml:space="preserve">has underscored that conclusions about the role of diversity are sensitive to empirical strategies, given that some indicators capture the size of minority populations rather than heterogeneity itself, thereby conflating the independent role of diversity with group size </w:t>
      </w:r>
      <w:r w:rsidRPr="00015231">
        <w:rPr>
          <w:lang w:val="en-US"/>
        </w:rPr>
        <w:t xml:space="preserve">(Abascal &amp; Baldassarri, 2015). Likewise, </w:t>
      </w:r>
      <w:r>
        <w:rPr>
          <w:lang w:val="en-US"/>
        </w:rPr>
        <w:t xml:space="preserve">it has been pointed out that how diversity is perceived, linked to problems of coordination and perceived normative distance, can </w:t>
      </w:r>
      <w:r w:rsidRPr="00015231">
        <w:rPr>
          <w:lang w:val="en-US"/>
        </w:rPr>
        <w:t>help explain why similar levels of objective diversity</w:t>
      </w:r>
      <w:r>
        <w:rPr>
          <w:lang w:val="en-US"/>
        </w:rPr>
        <w:t xml:space="preserve"> might</w:t>
      </w:r>
      <w:r w:rsidRPr="00015231">
        <w:rPr>
          <w:lang w:val="en-US"/>
        </w:rPr>
        <w:t xml:space="preserve"> produce different outcomes across contexts (Koopmans &amp; Schaeffer, 2016). </w:t>
      </w:r>
      <w:r>
        <w:rPr>
          <w:lang w:val="en-US"/>
        </w:rPr>
        <w:t>Additionally, l</w:t>
      </w:r>
      <w:r w:rsidRPr="00015231">
        <w:rPr>
          <w:lang w:val="en-US"/>
        </w:rPr>
        <w:t xml:space="preserve">ongitudinal evidence </w:t>
      </w:r>
      <w:r>
        <w:rPr>
          <w:lang w:val="en-US"/>
        </w:rPr>
        <w:t>suggests that diversity effects are not fixed over time, as rising diversity may initially weaken trust but then strengthen</w:t>
      </w:r>
      <w:r w:rsidRPr="00015231">
        <w:rPr>
          <w:lang w:val="en-US"/>
        </w:rPr>
        <w:t xml:space="preserve"> as populations adapt (Dinesen &amp; Sønderskov, 2012).</w:t>
      </w:r>
      <w:r>
        <w:rPr>
          <w:lang w:val="en-US"/>
        </w:rPr>
        <w:t xml:space="preserve"> Another part of the scholarly research on diversity has focused on religion, which adds another layer of complexity, as religious heterogeneity may serve as a contextual moderator, crosscutting other sociocultural characteristics. In this sense, it is argued that religious diversity may not be directly related to dampening social cohesion; it can diminish the cohesive impact of individual religious participation and religiosity, strengthening the negative association of ethnic fractionalization and societal religiosity with social trust </w:t>
      </w:r>
      <w:r w:rsidRPr="00015231">
        <w:rPr>
          <w:lang w:val="en-US"/>
        </w:rPr>
        <w:t>(Cáceres Draper, 2026; Finseraas &amp; Jakobsson, 2012; Olson &amp; Li, 2015).</w:t>
      </w:r>
      <w:r>
        <w:rPr>
          <w:lang w:val="en-US"/>
        </w:rPr>
        <w:t xml:space="preserve"> Taken together,</w:t>
      </w:r>
      <w:r w:rsidRPr="00015231">
        <w:rPr>
          <w:lang w:val="en-US"/>
        </w:rPr>
        <w:t xml:space="preserve"> </w:t>
      </w:r>
      <w:r>
        <w:rPr>
          <w:lang w:val="en-US"/>
        </w:rPr>
        <w:t xml:space="preserve">this literature suggests that ethnic and religious characteristics should be treated as distinct and contingent societal factors when studying social cohesion. Additionally, </w:t>
      </w:r>
      <w:r w:rsidRPr="00015231">
        <w:rPr>
          <w:lang w:val="en-US"/>
        </w:rPr>
        <w:t xml:space="preserve">the macro-level relationship between diversity and horizontal social </w:t>
      </w:r>
      <w:r w:rsidRPr="00015231">
        <w:rPr>
          <w:lang w:val="en-US"/>
        </w:rPr>
        <w:lastRenderedPageBreak/>
        <w:t xml:space="preserve">cohesion is </w:t>
      </w:r>
      <w:r>
        <w:rPr>
          <w:lang w:val="en-US"/>
        </w:rPr>
        <w:t>more nuanced than originally expected in early works, and this relationship may cross-cut other dimensions, such as inequality and segregation.</w:t>
      </w:r>
    </w:p>
    <w:p w14:paraId="4D4D391A" w14:textId="77777777" w:rsidR="008D4D8D" w:rsidRPr="003B6BD1" w:rsidRDefault="008D4D8D" w:rsidP="008D4D8D">
      <w:pPr>
        <w:rPr>
          <w:rFonts w:cs="Times New Roman"/>
          <w:i/>
          <w:iCs/>
          <w:lang w:val="en-US"/>
        </w:rPr>
      </w:pPr>
      <w:r w:rsidRPr="003B6BD1">
        <w:rPr>
          <w:rFonts w:cs="Times New Roman"/>
          <w:i/>
          <w:iCs/>
          <w:lang w:val="en-US"/>
        </w:rPr>
        <w:t>Value domain</w:t>
      </w:r>
    </w:p>
    <w:p w14:paraId="2694793B" w14:textId="77777777" w:rsidR="008D4D8D" w:rsidRDefault="008D4D8D" w:rsidP="008D4D8D">
      <w:pPr>
        <w:pStyle w:val="NormalWeb"/>
        <w:rPr>
          <w:lang w:val="en-US"/>
        </w:rPr>
      </w:pPr>
      <w:r>
        <w:rPr>
          <w:lang w:val="en-US"/>
        </w:rPr>
        <w:t xml:space="preserve">In the scholarly literature on social cohesion, it has been argued that both the content and distribution of societal values shape social associations. </w:t>
      </w:r>
      <w:r w:rsidRPr="005F71E5">
        <w:rPr>
          <w:lang w:val="en-US"/>
        </w:rPr>
        <w:t>Values can be understood as normative beliefs that transcend specific actions and situations, distinguishing them from norms and attitudes, which typically refer to objects or contexts (Schwartz, 1992). As such, values function as evaluative criteria that orient individual action and, by extension, shape social relations.</w:t>
      </w:r>
      <w:r>
        <w:rPr>
          <w:lang w:val="en-US"/>
        </w:rPr>
        <w:t xml:space="preserve"> </w:t>
      </w:r>
    </w:p>
    <w:p w14:paraId="28FB9DA8" w14:textId="77777777" w:rsidR="008D4D8D" w:rsidRPr="00012179" w:rsidRDefault="008D4D8D" w:rsidP="008D4D8D">
      <w:pPr>
        <w:pStyle w:val="NormalWeb"/>
        <w:rPr>
          <w:lang w:val="en-US"/>
        </w:rPr>
      </w:pPr>
      <w:r>
        <w:rPr>
          <w:lang w:val="en-US"/>
        </w:rPr>
        <w:t>V</w:t>
      </w:r>
      <w:r w:rsidRPr="00012179">
        <w:rPr>
          <w:lang w:val="en-US"/>
        </w:rPr>
        <w:t xml:space="preserve">alue </w:t>
      </w:r>
      <w:r w:rsidRPr="00012179">
        <w:rPr>
          <w:i/>
          <w:iCs/>
          <w:lang w:val="en-US"/>
        </w:rPr>
        <w:t>climate</w:t>
      </w:r>
      <w:r w:rsidRPr="00012179">
        <w:rPr>
          <w:lang w:val="en-US"/>
        </w:rPr>
        <w:t xml:space="preserve"> refers to the predominant value orientation in a society, that is, the substantive content of the values that are most visible and widely endorsed at the aggregate level. This matters because not all value climates are equally conducive to horizontal social cohesion</w:t>
      </w:r>
      <w:r>
        <w:rPr>
          <w:lang w:val="en-US"/>
        </w:rPr>
        <w:t xml:space="preserve"> </w:t>
      </w:r>
      <w:r w:rsidRPr="005F71E5">
        <w:rPr>
          <w:lang w:val="en-US"/>
        </w:rPr>
        <w:t>(Groh-Samberg et al., 2023).</w:t>
      </w:r>
      <w:r w:rsidRPr="00012179">
        <w:rPr>
          <w:lang w:val="en-US"/>
        </w:rPr>
        <w:t xml:space="preserve"> Societies in which the dominant value orientation emphasizes universalism, egalitarianism, self-transcendence, or openness are more likely to foster expectations of fairness, mutual regard, and willingness to cooperate with strangers than societies in which the dominant orientation is centered on hierarchy, competition, blame, or self-interest (Boehnke &amp; Boehnke, 2016; Boehnke et al., 2019; Nowack &amp; Schoderer, 2020; Steckermeier &amp; Delhey, 2018). In this sense, value climate matters because it shapes the moral tone of social interaction. When the prevailing values define others as worthy of equal concern and inclusion, individuals are more likely to view unknown others as trustworthy</w:t>
      </w:r>
      <w:r>
        <w:rPr>
          <w:lang w:val="en-US"/>
        </w:rPr>
        <w:t xml:space="preserve"> or</w:t>
      </w:r>
      <w:r w:rsidRPr="00012179">
        <w:rPr>
          <w:lang w:val="en-US"/>
        </w:rPr>
        <w:t xml:space="preserve"> and inclined toward the common good (Nowack &amp; Schoderer, 2020; Reeskens, 2010).</w:t>
      </w:r>
    </w:p>
    <w:p w14:paraId="57DC0BF9" w14:textId="77777777" w:rsidR="008D4D8D" w:rsidRPr="00012179" w:rsidRDefault="008D4D8D" w:rsidP="008D4D8D">
      <w:pPr>
        <w:rPr>
          <w:rFonts w:cs="Times New Roman"/>
          <w:lang w:val="en-US"/>
        </w:rPr>
      </w:pPr>
      <w:r w:rsidRPr="00012179">
        <w:rPr>
          <w:rFonts w:cs="Times New Roman"/>
          <w:lang w:val="en-US"/>
        </w:rPr>
        <w:t xml:space="preserve">Value </w:t>
      </w:r>
      <w:r w:rsidRPr="00FB5A7F">
        <w:rPr>
          <w:rFonts w:cs="Times New Roman"/>
          <w:i/>
          <w:iCs/>
          <w:lang w:val="en-US"/>
        </w:rPr>
        <w:t>consensus</w:t>
      </w:r>
      <w:r w:rsidRPr="00012179">
        <w:rPr>
          <w:rFonts w:cs="Times New Roman"/>
          <w:lang w:val="en-US"/>
        </w:rPr>
        <w:t xml:space="preserve">, by contrast, refers to the extent to which individuals in a society cluster around similar value orientations. It captures the degree of alignment around a common center rather than the substantive content of that center. For this reason, value consensus should not be assumed to </w:t>
      </w:r>
      <w:r>
        <w:rPr>
          <w:rFonts w:cs="Times New Roman"/>
          <w:lang w:val="en-US"/>
        </w:rPr>
        <w:t>automatically strengthen horizontal social cohesion</w:t>
      </w:r>
      <w:r w:rsidRPr="00012179">
        <w:rPr>
          <w:rFonts w:cs="Times New Roman"/>
          <w:lang w:val="en-US"/>
        </w:rPr>
        <w:t xml:space="preserve">. The available evidence suggests that consensus matters as one component of a broader solidarity pattern that also includes trust, equality, and social order, but that its effects depend on the </w:t>
      </w:r>
      <w:r>
        <w:rPr>
          <w:rFonts w:cs="Times New Roman"/>
          <w:lang w:val="en-US"/>
        </w:rPr>
        <w:t>values around which consensus forms</w:t>
      </w:r>
      <w:r w:rsidRPr="00012179">
        <w:rPr>
          <w:rFonts w:cs="Times New Roman"/>
          <w:lang w:val="en-US"/>
        </w:rPr>
        <w:t xml:space="preserve"> (Janmaat, 2011). A society may therefore display a clear value climate without complete uniformity, so long as a predominant orientation is recognizable at the aggregate level (Nowack &amp; Schoderer, 2020). What matters for cohesion is not simply that values are shared, but whether the shared values support inclusive and other-regarding expectations. This is consistent with evidence showing that person-country value congruence is positively associated with social trust mainly in already high-trust societies, whereas in low-trust contexts it may have no effect or even a negative one (Beilmann &amp; Lilleoja, 2015).</w:t>
      </w:r>
    </w:p>
    <w:p w14:paraId="2FC43669" w14:textId="77777777" w:rsidR="008D4D8D" w:rsidRDefault="008D4D8D" w:rsidP="008D4D8D">
      <w:pPr>
        <w:rPr>
          <w:rFonts w:cs="Times New Roman"/>
          <w:lang w:val="en-US"/>
        </w:rPr>
      </w:pPr>
      <w:r w:rsidRPr="00012179">
        <w:rPr>
          <w:rFonts w:cs="Times New Roman"/>
          <w:lang w:val="en-US"/>
        </w:rPr>
        <w:t xml:space="preserve">Value </w:t>
      </w:r>
      <w:r w:rsidRPr="00FB5A7F">
        <w:rPr>
          <w:rFonts w:cs="Times New Roman"/>
          <w:i/>
          <w:iCs/>
          <w:lang w:val="en-US"/>
        </w:rPr>
        <w:t>polarization</w:t>
      </w:r>
      <w:r w:rsidRPr="00012179">
        <w:rPr>
          <w:rFonts w:cs="Times New Roman"/>
          <w:lang w:val="en-US"/>
        </w:rPr>
        <w:t xml:space="preserve"> refers to the extent to which a society is divided into opposing value camps rather than clustered around a common center. Whereas low consensus may simply indicate heterogeneity, polarization implies sharper moral fault lines and greater distance between groups. This distinction is important because polarization can undermine horizontal social cohesion even when a society still displays a visible aggregate value profile. Evidence from cross-national research shows that stronger value polarization, especially over political-economic questions such as redistribution and the role of the state, is associated with lower generalized trust (Beugelsdijk &amp; Klasing, 2016). From this perspective, polarization weakens cohesion </w:t>
      </w:r>
      <w:r>
        <w:rPr>
          <w:rFonts w:cs="Times New Roman"/>
          <w:lang w:val="en-US"/>
        </w:rPr>
        <w:t>by reducing</w:t>
      </w:r>
      <w:r w:rsidRPr="00012179">
        <w:rPr>
          <w:rFonts w:cs="Times New Roman"/>
          <w:lang w:val="en-US"/>
        </w:rPr>
        <w:t xml:space="preserve"> the sense that others share basic assumptions about fairness, obligation, and social contract. The broader implication is that horizontal social cohesion depends not only on whether values are widely shared </w:t>
      </w:r>
      <w:r w:rsidRPr="00012179">
        <w:rPr>
          <w:rFonts w:cs="Times New Roman"/>
          <w:lang w:val="en-US"/>
        </w:rPr>
        <w:lastRenderedPageBreak/>
        <w:t>but also on whether the dominant value climate is inclusive and whether value differences remain within a range that does not fracture society into opposing normative camps (Beugelsdijk &amp; Klasing, 2016; Janmaat, 2011; Nowack &amp; Schoderer, 2020).</w:t>
      </w:r>
    </w:p>
    <w:p w14:paraId="156823A7" w14:textId="77777777" w:rsidR="008D4D8D" w:rsidRDefault="008D4D8D" w:rsidP="008D4D8D">
      <w:pPr>
        <w:rPr>
          <w:rFonts w:cs="Times New Roman"/>
          <w:lang w:val="en-US"/>
        </w:rPr>
      </w:pPr>
      <w:r>
        <w:rPr>
          <w:rFonts w:cs="Times New Roman"/>
          <w:lang w:val="en-US"/>
        </w:rPr>
        <w:t xml:space="preserve">Against this background, the present study focuses on the </w:t>
      </w:r>
      <w:r w:rsidRPr="00B32151">
        <w:rPr>
          <w:rFonts w:cs="Times New Roman"/>
          <w:highlight w:val="yellow"/>
          <w:lang w:val="en-US"/>
        </w:rPr>
        <w:t>subjective and horizontal</w:t>
      </w:r>
      <w:r>
        <w:rPr>
          <w:rFonts w:cs="Times New Roman"/>
          <w:lang w:val="en-US"/>
        </w:rPr>
        <w:t xml:space="preserve"> dimension of social cohesion, conceptualized as the positive </w:t>
      </w:r>
      <w:r w:rsidRPr="006E5F83">
        <w:rPr>
          <w:rFonts w:cs="Times New Roman"/>
          <w:i/>
          <w:iCs/>
          <w:lang w:val="en-US"/>
        </w:rPr>
        <w:t>expectations</w:t>
      </w:r>
      <w:r>
        <w:rPr>
          <w:rFonts w:cs="Times New Roman"/>
          <w:lang w:val="en-US"/>
        </w:rPr>
        <w:t xml:space="preserve"> about the attitudes or behaviors of </w:t>
      </w:r>
      <w:r w:rsidRPr="005F71E5">
        <w:rPr>
          <w:rFonts w:cs="Times New Roman"/>
          <w:lang w:val="en-US"/>
        </w:rPr>
        <w:t>individuals from different social positions</w:t>
      </w:r>
      <w:r>
        <w:rPr>
          <w:rFonts w:cs="Times New Roman"/>
          <w:lang w:val="en-US"/>
        </w:rPr>
        <w:t xml:space="preserve"> or, simply, </w:t>
      </w:r>
      <w:r w:rsidRPr="00896C83">
        <w:rPr>
          <w:rFonts w:cs="Times New Roman"/>
          <w:lang w:val="en-US"/>
        </w:rPr>
        <w:t>positive expectations of interaction</w:t>
      </w:r>
      <w:r>
        <w:rPr>
          <w:rFonts w:cs="Times New Roman"/>
          <w:lang w:val="en-US"/>
        </w:rPr>
        <w:t>. In contrast to the literature on the characteristics of social context and social cohesion, I scale this perspective down and focus on micro-level social interactions between individuals, contingent on their characteristics, across socioeconomic, sociocultural, value, and ideological positions.</w:t>
      </w:r>
    </w:p>
    <w:p w14:paraId="2629FDDA" w14:textId="77777777" w:rsidR="001F4360" w:rsidRDefault="001F4360"/>
    <w:sectPr w:rsidR="001F4360">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F6"/>
    <w:rsid w:val="00044CA4"/>
    <w:rsid w:val="000811FA"/>
    <w:rsid w:val="000E72A0"/>
    <w:rsid w:val="000F06DB"/>
    <w:rsid w:val="001D05C4"/>
    <w:rsid w:val="001F4360"/>
    <w:rsid w:val="0051059B"/>
    <w:rsid w:val="006D6D0F"/>
    <w:rsid w:val="007420D2"/>
    <w:rsid w:val="008D4D8D"/>
    <w:rsid w:val="009D6084"/>
    <w:rsid w:val="00EA1DBF"/>
    <w:rsid w:val="00FB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02A7"/>
  <w15:chartTrackingRefBased/>
  <w15:docId w15:val="{097A962F-A203-40C4-82DB-A4B97C49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D8D"/>
    <w:pPr>
      <w:spacing w:line="240" w:lineRule="auto"/>
      <w:jc w:val="both"/>
    </w:pPr>
    <w:rPr>
      <w:rFonts w:ascii="Times New Roman" w:hAnsi="Times New Roman"/>
      <w:lang w:val="es-CL"/>
    </w:rPr>
  </w:style>
  <w:style w:type="paragraph" w:styleId="Heading1">
    <w:name w:val="heading 1"/>
    <w:basedOn w:val="Normal"/>
    <w:next w:val="Normal"/>
    <w:link w:val="Heading1Char"/>
    <w:uiPriority w:val="9"/>
    <w:qFormat/>
    <w:rsid w:val="00FB70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B70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B70F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B70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B70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7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F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B70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B70F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B70F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B70F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7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0F6"/>
    <w:rPr>
      <w:rFonts w:eastAsiaTheme="majorEastAsia" w:cstheme="majorBidi"/>
      <w:color w:val="272727" w:themeColor="text1" w:themeTint="D8"/>
    </w:rPr>
  </w:style>
  <w:style w:type="paragraph" w:styleId="Title">
    <w:name w:val="Title"/>
    <w:basedOn w:val="Normal"/>
    <w:next w:val="Normal"/>
    <w:link w:val="TitleChar"/>
    <w:uiPriority w:val="10"/>
    <w:qFormat/>
    <w:rsid w:val="00FB70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0F6"/>
    <w:pPr>
      <w:spacing w:before="160"/>
      <w:jc w:val="center"/>
    </w:pPr>
    <w:rPr>
      <w:i/>
      <w:iCs/>
      <w:color w:val="404040" w:themeColor="text1" w:themeTint="BF"/>
    </w:rPr>
  </w:style>
  <w:style w:type="character" w:customStyle="1" w:styleId="QuoteChar">
    <w:name w:val="Quote Char"/>
    <w:basedOn w:val="DefaultParagraphFont"/>
    <w:link w:val="Quote"/>
    <w:uiPriority w:val="29"/>
    <w:rsid w:val="00FB70F6"/>
    <w:rPr>
      <w:i/>
      <w:iCs/>
      <w:color w:val="404040" w:themeColor="text1" w:themeTint="BF"/>
    </w:rPr>
  </w:style>
  <w:style w:type="paragraph" w:styleId="ListParagraph">
    <w:name w:val="List Paragraph"/>
    <w:basedOn w:val="Normal"/>
    <w:uiPriority w:val="34"/>
    <w:qFormat/>
    <w:rsid w:val="00FB70F6"/>
    <w:pPr>
      <w:ind w:left="720"/>
      <w:contextualSpacing/>
    </w:pPr>
  </w:style>
  <w:style w:type="character" w:styleId="IntenseEmphasis">
    <w:name w:val="Intense Emphasis"/>
    <w:basedOn w:val="DefaultParagraphFont"/>
    <w:uiPriority w:val="21"/>
    <w:qFormat/>
    <w:rsid w:val="00FB70F6"/>
    <w:rPr>
      <w:i/>
      <w:iCs/>
      <w:color w:val="2E74B5" w:themeColor="accent1" w:themeShade="BF"/>
    </w:rPr>
  </w:style>
  <w:style w:type="paragraph" w:styleId="IntenseQuote">
    <w:name w:val="Intense Quote"/>
    <w:basedOn w:val="Normal"/>
    <w:next w:val="Normal"/>
    <w:link w:val="IntenseQuoteChar"/>
    <w:uiPriority w:val="30"/>
    <w:qFormat/>
    <w:rsid w:val="00FB70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70F6"/>
    <w:rPr>
      <w:i/>
      <w:iCs/>
      <w:color w:val="2E74B5" w:themeColor="accent1" w:themeShade="BF"/>
    </w:rPr>
  </w:style>
  <w:style w:type="character" w:styleId="IntenseReference">
    <w:name w:val="Intense Reference"/>
    <w:basedOn w:val="DefaultParagraphFont"/>
    <w:uiPriority w:val="32"/>
    <w:qFormat/>
    <w:rsid w:val="00FB70F6"/>
    <w:rPr>
      <w:b/>
      <w:bCs/>
      <w:smallCaps/>
      <w:color w:val="2E74B5" w:themeColor="accent1" w:themeShade="BF"/>
      <w:spacing w:val="5"/>
    </w:rPr>
  </w:style>
  <w:style w:type="paragraph" w:styleId="NormalWeb">
    <w:name w:val="Normal (Web)"/>
    <w:basedOn w:val="Normal"/>
    <w:uiPriority w:val="99"/>
    <w:unhideWhenUsed/>
    <w:rsid w:val="008D4D8D"/>
    <w:pPr>
      <w:spacing w:before="100" w:beforeAutospacing="1" w:after="100" w:afterAutospacing="1"/>
    </w:pPr>
    <w:rPr>
      <w:rFonts w:eastAsia="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1786</Words>
  <Characters>10845</Characters>
  <Application>Microsoft Office Word</Application>
  <DocSecurity>0</DocSecurity>
  <Lines>152</Lines>
  <Paragraphs>23</Paragraphs>
  <ScaleCrop>false</ScaleCrop>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2</cp:revision>
  <dcterms:created xsi:type="dcterms:W3CDTF">2026-05-18T12:14:00Z</dcterms:created>
  <dcterms:modified xsi:type="dcterms:W3CDTF">2026-05-18T12:14:00Z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f7cfc47d-a93e-4d86-8f27-38d8b64d1235</vt:lpwstr>
  </property>
</Properties>
</file>