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9AD7" w14:textId="77777777" w:rsidR="00551781" w:rsidRDefault="00551781" w:rsidP="00551781">
      <w:pPr>
        <w:rPr>
          <w:rFonts w:cs="Times New Roman"/>
          <w:i/>
          <w:iCs/>
          <w:lang w:val="en-US"/>
        </w:rPr>
      </w:pPr>
      <w:r w:rsidRPr="00A40D1B">
        <w:rPr>
          <w:rFonts w:cs="Times New Roman"/>
          <w:i/>
          <w:iCs/>
          <w:highlight w:val="yellow"/>
          <w:lang w:val="en-US"/>
        </w:rPr>
        <w:t>Values</w:t>
      </w:r>
    </w:p>
    <w:p w14:paraId="702E0BA9" w14:textId="77777777" w:rsidR="00551781" w:rsidRPr="00863706" w:rsidRDefault="00551781" w:rsidP="00551781">
      <w:pPr>
        <w:rPr>
          <w:rFonts w:cs="Times New Roman"/>
          <w:lang w:val="en-US"/>
        </w:rPr>
      </w:pPr>
      <w:r w:rsidRPr="00863706">
        <w:rPr>
          <w:rFonts w:cs="Times New Roman"/>
          <w:lang w:val="en-US"/>
        </w:rPr>
        <w:t xml:space="preserve">Values are relevant for social cohesion because they help shape how people judge what others owe one another, which forms of conduct deserve approval, and whether unknown others are likely to act fairly, helpfully, and with restraint (Nowack and Schoderer 2020). In that sense, values matter not only as private preferences but </w:t>
      </w:r>
      <w:r>
        <w:rPr>
          <w:rFonts w:cs="Times New Roman"/>
          <w:lang w:val="en-US"/>
        </w:rPr>
        <w:t>also as moral orientations that shape trust, cooperation, and a</w:t>
      </w:r>
      <w:r w:rsidRPr="00863706">
        <w:rPr>
          <w:rFonts w:cs="Times New Roman"/>
          <w:lang w:val="en-US"/>
        </w:rPr>
        <w:t xml:space="preserve"> sense of belonging to a common social world. Among the main approaches to the study of values, one of the most widespread is Schwartz’s theory of basic human values (Schwartz 1994, 2007). This approach defines values as </w:t>
      </w:r>
      <w:r>
        <w:rPr>
          <w:rFonts w:cs="Times New Roman"/>
          <w:lang w:val="en-US"/>
        </w:rPr>
        <w:t xml:space="preserve">trans-situational goals that express what people see as desirable and </w:t>
      </w:r>
      <w:r w:rsidRPr="00863706">
        <w:rPr>
          <w:rFonts w:cs="Times New Roman"/>
          <w:lang w:val="en-US"/>
        </w:rPr>
        <w:t xml:space="preserve">identifies ten basic values that can be grouped into broader motivational families (Schwartz 2007). Its distinctive claim is that values form a circumplex rather than a simple list: </w:t>
      </w:r>
      <w:r>
        <w:rPr>
          <w:rFonts w:cs="Times New Roman"/>
          <w:lang w:val="en-US"/>
        </w:rPr>
        <w:t>values that are close to one another are motivationally compatible, whereas those that are far apart</w:t>
      </w:r>
      <w:r w:rsidRPr="00863706">
        <w:rPr>
          <w:rFonts w:cs="Times New Roman"/>
          <w:lang w:val="en-US"/>
        </w:rPr>
        <w:t xml:space="preserve"> are in tension (Schwartz 1994). Thus, </w:t>
      </w:r>
      <w:r>
        <w:rPr>
          <w:rFonts w:cs="Times New Roman"/>
          <w:lang w:val="en-US"/>
        </w:rPr>
        <w:t>self-transcendence, centered on universalism and benevolence, stands opposite self-enhancement</w:t>
      </w:r>
      <w:r w:rsidRPr="00863706">
        <w:rPr>
          <w:rFonts w:cs="Times New Roman"/>
          <w:lang w:val="en-US"/>
        </w:rPr>
        <w:t xml:space="preserve">, centered on power and achievement. Openness to change, centered on </w:t>
      </w:r>
      <w:r>
        <w:rPr>
          <w:rFonts w:cs="Times New Roman"/>
          <w:lang w:val="en-US"/>
        </w:rPr>
        <w:t>self-direction</w:t>
      </w:r>
      <w:r w:rsidRPr="00863706">
        <w:rPr>
          <w:rFonts w:cs="Times New Roman"/>
          <w:lang w:val="en-US"/>
        </w:rPr>
        <w:t xml:space="preserve"> and stimulation, stands </w:t>
      </w:r>
      <w:r>
        <w:rPr>
          <w:rFonts w:cs="Times New Roman"/>
          <w:lang w:val="en-US"/>
        </w:rPr>
        <w:t>in opposition to</w:t>
      </w:r>
      <w:r w:rsidRPr="00863706">
        <w:rPr>
          <w:rFonts w:cs="Times New Roman"/>
          <w:lang w:val="en-US"/>
        </w:rPr>
        <w:t xml:space="preserve"> conservation, centered on security, conformity, and tradition (Schwartz 2007). The value of this framework for cohesion research </w:t>
      </w:r>
      <w:r>
        <w:rPr>
          <w:rFonts w:cs="Times New Roman"/>
          <w:lang w:val="en-US"/>
        </w:rPr>
        <w:t>lies precisely in its link between</w:t>
      </w:r>
      <w:r w:rsidRPr="00863706">
        <w:rPr>
          <w:rFonts w:cs="Times New Roman"/>
          <w:lang w:val="en-US"/>
        </w:rPr>
        <w:t xml:space="preserve"> content and conflict. It shows not only what people care about, but also which priorities are likely to widen concern for others, reduce defensiveness toward difference, or instead heighten hierarchy, closure, and competition. This relational structure makes the Schwartz model especially useful for explaining why some value profiles are more supportive of trust and solidarity than others (Nowack and Schoderer 2020).</w:t>
      </w:r>
    </w:p>
    <w:p w14:paraId="31823F44" w14:textId="77777777" w:rsidR="00551781" w:rsidRDefault="00551781" w:rsidP="00551781">
      <w:pPr>
        <w:rPr>
          <w:rFonts w:cs="Times New Roman"/>
          <w:lang w:val="en-US"/>
        </w:rPr>
      </w:pPr>
      <w:r w:rsidRPr="00863706">
        <w:rPr>
          <w:rFonts w:cs="Times New Roman"/>
          <w:lang w:val="en-US"/>
        </w:rPr>
        <w:t xml:space="preserve">Empirical research connects values to social cohesion in two main ways. The first focuses on respondents’ own value priorities. Across European data, stronger self-transcendence and openness to change are generally associated with higher social cohesion, whereas </w:t>
      </w:r>
      <w:r>
        <w:rPr>
          <w:rFonts w:cs="Times New Roman"/>
          <w:lang w:val="en-US"/>
        </w:rPr>
        <w:t>self-enhancement and conservation tend to be associated with lower cohesion, with especially positive roles for benevolence and self-direction</w:t>
      </w:r>
      <w:r w:rsidRPr="00863706">
        <w:rPr>
          <w:rFonts w:cs="Times New Roman"/>
          <w:lang w:val="en-US"/>
        </w:rPr>
        <w:t xml:space="preserve"> and a particularly negative role for security in the European pattern (M. Boehnke and Boehnke 2016). Evidence from Mexico broadly supports the same logic</w:t>
      </w:r>
      <w:r>
        <w:rPr>
          <w:rFonts w:cs="Times New Roman"/>
          <w:lang w:val="en-US"/>
        </w:rPr>
        <w:t xml:space="preserve">: universalism and self-direction are linked to higher cohesion, and power is </w:t>
      </w:r>
      <w:r w:rsidRPr="00863706">
        <w:rPr>
          <w:rFonts w:cs="Times New Roman"/>
          <w:lang w:val="en-US"/>
        </w:rPr>
        <w:t xml:space="preserve">linked to lower cohesion, although security behaves differently there and is positively related to cohesion, suggesting that the social meaning of a value can vary by context (K. Boehnke et al. 2019). Work on value congruence sharpens this point: matching the prevailing country value profile tends to raise trust mainly in already </w:t>
      </w:r>
      <w:r>
        <w:rPr>
          <w:rFonts w:cs="Times New Roman"/>
          <w:lang w:val="en-US"/>
        </w:rPr>
        <w:t xml:space="preserve">high-trust settings, while in low-trust settings the same fit can have little effect or even be negative </w:t>
      </w:r>
      <w:r w:rsidRPr="00863706">
        <w:rPr>
          <w:rFonts w:cs="Times New Roman"/>
          <w:lang w:val="en-US"/>
        </w:rPr>
        <w:t xml:space="preserve">(Beilmann and Lilleoja 2015). </w:t>
      </w:r>
    </w:p>
    <w:p w14:paraId="6CC1EAB1" w14:textId="77777777" w:rsidR="00551781" w:rsidRDefault="00551781" w:rsidP="00551781">
      <w:pPr>
        <w:rPr>
          <w:rFonts w:cs="Times New Roman"/>
          <w:lang w:val="en-US"/>
        </w:rPr>
      </w:pPr>
      <w:r w:rsidRPr="00863706">
        <w:rPr>
          <w:rFonts w:cs="Times New Roman"/>
          <w:lang w:val="en-US"/>
        </w:rPr>
        <w:t xml:space="preserve">The second line of evidence focuses on </w:t>
      </w:r>
      <w:r>
        <w:rPr>
          <w:rFonts w:cs="Times New Roman"/>
          <w:lang w:val="en-US"/>
        </w:rPr>
        <w:t>target-based</w:t>
      </w:r>
      <w:r w:rsidRPr="00863706">
        <w:rPr>
          <w:rFonts w:cs="Times New Roman"/>
          <w:lang w:val="en-US"/>
        </w:rPr>
        <w:t xml:space="preserve"> judgments. Here</w:t>
      </w:r>
      <w:r>
        <w:rPr>
          <w:rFonts w:cs="Times New Roman"/>
          <w:lang w:val="en-US"/>
        </w:rPr>
        <w:t>,</w:t>
      </w:r>
      <w:r w:rsidRPr="00863706">
        <w:rPr>
          <w:rFonts w:cs="Times New Roman"/>
          <w:lang w:val="en-US"/>
        </w:rPr>
        <w:t xml:space="preserve"> the key finding is that perceived target values </w:t>
      </w:r>
      <w:r>
        <w:rPr>
          <w:rFonts w:cs="Times New Roman"/>
          <w:lang w:val="en-US"/>
        </w:rPr>
        <w:t xml:space="preserve">serve as cues that observers use to </w:t>
      </w:r>
      <w:r w:rsidRPr="00863706">
        <w:rPr>
          <w:rFonts w:cs="Times New Roman"/>
          <w:lang w:val="en-US"/>
        </w:rPr>
        <w:t xml:space="preserve">infer likely conduct. In experimental social dilemmas, partners described as prioritizing </w:t>
      </w:r>
      <w:r>
        <w:rPr>
          <w:rFonts w:cs="Times New Roman"/>
          <w:lang w:val="en-US"/>
        </w:rPr>
        <w:t>self-transcendence elicit more cooperation than partners described as prioritizing self-enhancement</w:t>
      </w:r>
      <w:r w:rsidRPr="00863706">
        <w:rPr>
          <w:rFonts w:cs="Times New Roman"/>
          <w:lang w:val="en-US"/>
        </w:rPr>
        <w:t xml:space="preserve">, and this effect is mediated by expectations about the partner’s choice (Mentser and Amit 2024). The same study shows that conservation and openness cues alter strategic expectations in </w:t>
      </w:r>
      <w:r>
        <w:rPr>
          <w:rFonts w:cs="Times New Roman"/>
          <w:lang w:val="en-US"/>
        </w:rPr>
        <w:t>risk-based</w:t>
      </w:r>
      <w:r w:rsidRPr="00863706">
        <w:rPr>
          <w:rFonts w:cs="Times New Roman"/>
          <w:lang w:val="en-US"/>
        </w:rPr>
        <w:t xml:space="preserve"> interaction, again through anticipated behavior. Adjacent experiments point in the same direction: targets perceived as self-transcendent are judged as warmer and more relationship worthy beyond respondents’ own values or value similarity (Amit et al. 2025), and self-transcendent or value similar targets tend to be seen as closer, more likable, and more friendship worthy than self-enhancing or incongruent targets (Gu and Tse 2018; Vione 2016; Karl et al. 2026). </w:t>
      </w:r>
    </w:p>
    <w:p w14:paraId="66558415" w14:textId="77777777" w:rsidR="00551781" w:rsidRPr="00863706" w:rsidRDefault="00551781" w:rsidP="00551781">
      <w:pPr>
        <w:rPr>
          <w:rFonts w:cs="Times New Roman"/>
          <w:lang w:val="en-US"/>
        </w:rPr>
      </w:pPr>
      <w:r w:rsidRPr="00863706">
        <w:rPr>
          <w:rFonts w:cs="Times New Roman"/>
          <w:lang w:val="en-US"/>
        </w:rPr>
        <w:t xml:space="preserve">This literature is especially relevant for a design that randomizes </w:t>
      </w:r>
      <w:r>
        <w:rPr>
          <w:rFonts w:cs="Times New Roman"/>
          <w:lang w:val="en-US"/>
        </w:rPr>
        <w:t>self-enhancement, conservation, openness, and self-transcendence</w:t>
      </w:r>
      <w:r w:rsidRPr="00863706">
        <w:rPr>
          <w:rFonts w:cs="Times New Roman"/>
          <w:lang w:val="en-US"/>
        </w:rPr>
        <w:t xml:space="preserve"> as target profiles, because these four conditions map directly onto </w:t>
      </w:r>
      <w:r w:rsidRPr="00863706">
        <w:rPr>
          <w:rFonts w:cs="Times New Roman"/>
          <w:lang w:val="en-US"/>
        </w:rPr>
        <w:lastRenderedPageBreak/>
        <w:t xml:space="preserve">the two main motivational oppositions in the Schwartz circumplex (Schwartz 1994, 2007). Such a design </w:t>
      </w:r>
      <w:r>
        <w:rPr>
          <w:rFonts w:cs="Times New Roman"/>
          <w:lang w:val="en-US"/>
        </w:rPr>
        <w:t>allows testing whether observers respond mainly to prosociality versus competitiveness, to openness versus closure, or to the predictability and social meaning associated with</w:t>
      </w:r>
      <w:r w:rsidRPr="00863706">
        <w:rPr>
          <w:rFonts w:cs="Times New Roman"/>
          <w:lang w:val="en-US"/>
        </w:rPr>
        <w:t xml:space="preserve"> each profile. Existing evidence suggests that </w:t>
      </w:r>
      <w:r>
        <w:rPr>
          <w:rFonts w:cs="Times New Roman"/>
          <w:lang w:val="en-US"/>
        </w:rPr>
        <w:t>self-transcendence should invite the most positive cohesion judgments because it signals concern for others, while self-enhancement should elicit less trust because it signals dominance and self-interest</w:t>
      </w:r>
      <w:r w:rsidRPr="00863706">
        <w:rPr>
          <w:rFonts w:cs="Times New Roman"/>
          <w:lang w:val="en-US"/>
        </w:rPr>
        <w:t xml:space="preserve"> (M. Boehnke and Boehnke 2016; Mentser and Amit 2024). Openness is also likely to look relatively </w:t>
      </w:r>
      <w:r>
        <w:rPr>
          <w:rFonts w:cs="Times New Roman"/>
          <w:lang w:val="en-US"/>
        </w:rPr>
        <w:t>cohesion-friendly</w:t>
      </w:r>
      <w:r w:rsidRPr="00863706">
        <w:rPr>
          <w:rFonts w:cs="Times New Roman"/>
          <w:lang w:val="en-US"/>
        </w:rPr>
        <w:t xml:space="preserve">, since it can reduce </w:t>
      </w:r>
      <w:r>
        <w:rPr>
          <w:rFonts w:cs="Times New Roman"/>
          <w:lang w:val="en-US"/>
        </w:rPr>
        <w:t>the threat posed by</w:t>
      </w:r>
      <w:r w:rsidRPr="00863706">
        <w:rPr>
          <w:rFonts w:cs="Times New Roman"/>
          <w:lang w:val="en-US"/>
        </w:rPr>
        <w:t xml:space="preserve"> novelty and difference (M. Boehnke and Boehnke 2016; Ziller et al. 2019). Conservation is the most </w:t>
      </w:r>
      <w:r>
        <w:rPr>
          <w:rFonts w:cs="Times New Roman"/>
          <w:lang w:val="en-US"/>
        </w:rPr>
        <w:t>context-dependent</w:t>
      </w:r>
      <w:r w:rsidRPr="00863706">
        <w:rPr>
          <w:rFonts w:cs="Times New Roman"/>
          <w:lang w:val="en-US"/>
        </w:rPr>
        <w:t xml:space="preserve"> profile: it may lower trust when it signals closure and threat sensitivity, but it may also raise expectations of stability, rule following, and safety in some contexts (K. Boehnke et al. 2019; Mentser and Amit 2024). Taken together, the evidence suggests that values support cohesion both as orientations carried by respondents and as signals read off from targets in social judgment.</w:t>
      </w:r>
    </w:p>
    <w:p w14:paraId="79B8F62A" w14:textId="77777777" w:rsidR="00551781" w:rsidRDefault="00551781" w:rsidP="00551781">
      <w:pPr>
        <w:rPr>
          <w:i/>
          <w:iCs/>
          <w:lang w:val="en-US"/>
        </w:rPr>
      </w:pPr>
      <w:commentRangeStart w:id="0"/>
      <w:r w:rsidRPr="006167D6">
        <w:rPr>
          <w:i/>
          <w:iCs/>
          <w:highlight w:val="yellow"/>
          <w:lang w:val="en-US"/>
        </w:rPr>
        <w:t>Political ideology</w:t>
      </w:r>
      <w:commentRangeEnd w:id="0"/>
      <w:r>
        <w:rPr>
          <w:rStyle w:val="CommentReference"/>
          <w:i/>
          <w:iCs/>
          <w:sz w:val="24"/>
          <w:szCs w:val="24"/>
          <w:lang w:val="en-US"/>
        </w:rPr>
        <w:commentReference w:id="0"/>
      </w:r>
    </w:p>
    <w:p w14:paraId="47C88F9C" w14:textId="77777777" w:rsidR="00551781" w:rsidRDefault="00551781" w:rsidP="00551781">
      <w:pPr>
        <w:rPr>
          <w:lang w:val="en-US"/>
        </w:rPr>
      </w:pPr>
      <w:r>
        <w:rPr>
          <w:lang w:val="en-US"/>
        </w:rPr>
        <w:t xml:space="preserve">The social cohesion literature has been examined in two ways: how individuals relate to democratic institutions, and how individuals and groups in society relate to each other in the political domain (Grunow et al., 2023). The latter aspect addresses how different political or ideological positions relate to one another. </w:t>
      </w:r>
    </w:p>
    <w:p w14:paraId="743A324E" w14:textId="77777777" w:rsidR="00551781" w:rsidRPr="00B749C9" w:rsidRDefault="00551781" w:rsidP="00551781">
      <w:pPr>
        <w:rPr>
          <w:lang w:val="en-US"/>
        </w:rPr>
      </w:pPr>
      <w:r>
        <w:rPr>
          <w:lang w:val="en-US"/>
        </w:rPr>
        <w:t>In this regard, Sartori (1969) suggests that p</w:t>
      </w:r>
      <w:r w:rsidRPr="00AE006B">
        <w:rPr>
          <w:lang w:val="en-US"/>
        </w:rPr>
        <w:t>olitical ideology is not simply a set of isolated opinions but a particular kind of political belief system, distinguished by fixed elements, strong affect, and a closed cognitive structure</w:t>
      </w:r>
      <w:r>
        <w:rPr>
          <w:lang w:val="en-US"/>
        </w:rPr>
        <w:t xml:space="preserve">. </w:t>
      </w:r>
      <w:r w:rsidRPr="00AE006B">
        <w:rPr>
          <w:lang w:val="en-US"/>
        </w:rPr>
        <w:t xml:space="preserve">Fixed elements refer to relatively durable commitments and </w:t>
      </w:r>
      <w:r>
        <w:rPr>
          <w:lang w:val="en-US"/>
        </w:rPr>
        <w:t>taken-for-granted</w:t>
      </w:r>
      <w:r w:rsidRPr="00AE006B">
        <w:rPr>
          <w:lang w:val="en-US"/>
        </w:rPr>
        <w:t xml:space="preserve"> assumptions about political order. Strong affect points to the emotional force and moral investment attached to those commitments. Closed cognitive structure refers to a tendency to interpret new information </w:t>
      </w:r>
      <w:r>
        <w:rPr>
          <w:lang w:val="en-US"/>
        </w:rPr>
        <w:t>in terms of</w:t>
      </w:r>
      <w:r w:rsidRPr="00AE006B">
        <w:rPr>
          <w:lang w:val="en-US"/>
        </w:rPr>
        <w:t xml:space="preserve"> prior commitments rather than through open revision</w:t>
      </w:r>
      <w:r>
        <w:rPr>
          <w:lang w:val="en-US"/>
        </w:rPr>
        <w:t xml:space="preserve">. Compared to </w:t>
      </w:r>
      <w:r w:rsidRPr="00AE006B">
        <w:rPr>
          <w:lang w:val="en-US"/>
        </w:rPr>
        <w:t>values</w:t>
      </w:r>
      <w:r>
        <w:rPr>
          <w:lang w:val="en-US"/>
        </w:rPr>
        <w:t xml:space="preserve">, which </w:t>
      </w:r>
      <w:r w:rsidRPr="00AE006B">
        <w:rPr>
          <w:lang w:val="en-US"/>
        </w:rPr>
        <w:t xml:space="preserve">are more abstract and oriented toward general principles of desirable conduct, </w:t>
      </w:r>
      <w:r>
        <w:rPr>
          <w:lang w:val="en-US"/>
        </w:rPr>
        <w:t>ideological positions</w:t>
      </w:r>
      <w:r w:rsidRPr="00AE006B">
        <w:rPr>
          <w:lang w:val="en-US"/>
        </w:rPr>
        <w:t xml:space="preserve"> </w:t>
      </w:r>
      <w:r>
        <w:rPr>
          <w:lang w:val="en-US"/>
        </w:rPr>
        <w:t xml:space="preserve">are </w:t>
      </w:r>
      <w:r w:rsidRPr="00AE006B">
        <w:rPr>
          <w:lang w:val="en-US"/>
        </w:rPr>
        <w:t xml:space="preserve">more concrete, publicly </w:t>
      </w:r>
      <w:r>
        <w:rPr>
          <w:lang w:val="en-US"/>
        </w:rPr>
        <w:t>identifiable</w:t>
      </w:r>
      <w:r w:rsidRPr="00AE006B">
        <w:rPr>
          <w:lang w:val="en-US"/>
        </w:rPr>
        <w:t xml:space="preserve">, and tied to collective life (Hjermitslev &amp; Wagner, 2026; Sartori, 1969). </w:t>
      </w:r>
      <w:r>
        <w:rPr>
          <w:lang w:val="en-US"/>
        </w:rPr>
        <w:t>In social sciences, t</w:t>
      </w:r>
      <w:r w:rsidRPr="00AE006B">
        <w:rPr>
          <w:lang w:val="en-US"/>
        </w:rPr>
        <w:t xml:space="preserve">he left-right distinction is especially </w:t>
      </w:r>
      <w:r>
        <w:rPr>
          <w:lang w:val="en-US"/>
        </w:rPr>
        <w:t>relevant</w:t>
      </w:r>
      <w:r w:rsidRPr="00AE006B">
        <w:rPr>
          <w:lang w:val="en-US"/>
        </w:rPr>
        <w:t xml:space="preserve"> because it provides citizens with a shared map of </w:t>
      </w:r>
      <w:r>
        <w:rPr>
          <w:lang w:val="en-US"/>
        </w:rPr>
        <w:t xml:space="preserve">collective interests and </w:t>
      </w:r>
      <w:r w:rsidRPr="00AE006B">
        <w:rPr>
          <w:lang w:val="en-US"/>
        </w:rPr>
        <w:t xml:space="preserve">political conflict </w:t>
      </w:r>
      <w:r>
        <w:rPr>
          <w:lang w:val="en-US"/>
        </w:rPr>
        <w:t xml:space="preserve">within the political system </w:t>
      </w:r>
      <w:r w:rsidRPr="00AE006B">
        <w:rPr>
          <w:lang w:val="en-US"/>
        </w:rPr>
        <w:t xml:space="preserve">(Sartori, 1969). First, it works as a cognitive shortcut </w:t>
      </w:r>
      <w:r>
        <w:rPr>
          <w:lang w:val="en-US"/>
        </w:rPr>
        <w:t xml:space="preserve">that condenses broad disputes over equality, authority, rights, redistribution, and social order </w:t>
      </w:r>
      <w:r w:rsidRPr="00AE006B">
        <w:rPr>
          <w:lang w:val="en-US"/>
        </w:rPr>
        <w:t xml:space="preserve">into recognizable positions (Sartori, 1969; Vegetti &amp; Širinić, 2019). Second, it </w:t>
      </w:r>
      <w:r>
        <w:rPr>
          <w:lang w:val="en-US"/>
        </w:rPr>
        <w:t xml:space="preserve">signals </w:t>
      </w:r>
      <w:r w:rsidRPr="00AE006B">
        <w:rPr>
          <w:lang w:val="en-US"/>
        </w:rPr>
        <w:t xml:space="preserve">political belonging, locating citizens </w:t>
      </w:r>
      <w:r>
        <w:rPr>
          <w:lang w:val="en-US"/>
        </w:rPr>
        <w:t xml:space="preserve">and actors </w:t>
      </w:r>
      <w:r w:rsidRPr="00AE006B">
        <w:rPr>
          <w:lang w:val="en-US"/>
        </w:rPr>
        <w:t xml:space="preserve">within the political community rather than merely expressing </w:t>
      </w:r>
      <w:r>
        <w:rPr>
          <w:lang w:val="en-US"/>
        </w:rPr>
        <w:t xml:space="preserve">individual </w:t>
      </w:r>
      <w:r w:rsidRPr="00AE006B">
        <w:rPr>
          <w:lang w:val="en-US"/>
        </w:rPr>
        <w:t>attitudes</w:t>
      </w:r>
      <w:r>
        <w:rPr>
          <w:lang w:val="en-US"/>
        </w:rPr>
        <w:t xml:space="preserve"> in specific domains</w:t>
      </w:r>
      <w:r w:rsidRPr="00AE006B">
        <w:rPr>
          <w:lang w:val="en-US"/>
        </w:rPr>
        <w:t xml:space="preserve"> (Hjermitslev &amp; Wagner, 2026). Third, it gives democratic deliberation a common framework through which disagreement becomes</w:t>
      </w:r>
      <w:r>
        <w:rPr>
          <w:lang w:val="en-US"/>
        </w:rPr>
        <w:t xml:space="preserve"> </w:t>
      </w:r>
      <w:r w:rsidRPr="00AE006B">
        <w:rPr>
          <w:lang w:val="en-US"/>
        </w:rPr>
        <w:t>publicly organized</w:t>
      </w:r>
      <w:r>
        <w:rPr>
          <w:lang w:val="en-US"/>
        </w:rPr>
        <w:t xml:space="preserve">, </w:t>
      </w:r>
      <w:r w:rsidRPr="00AE006B">
        <w:rPr>
          <w:lang w:val="en-US"/>
        </w:rPr>
        <w:t>intelligible</w:t>
      </w:r>
      <w:r>
        <w:rPr>
          <w:lang w:val="en-US"/>
        </w:rPr>
        <w:t xml:space="preserve">, and </w:t>
      </w:r>
      <w:r w:rsidRPr="00AE006B">
        <w:rPr>
          <w:lang w:val="en-US"/>
        </w:rPr>
        <w:t>contestable</w:t>
      </w:r>
      <w:r>
        <w:rPr>
          <w:lang w:val="en-US"/>
        </w:rPr>
        <w:t xml:space="preserve"> </w:t>
      </w:r>
      <w:r w:rsidRPr="00AE006B">
        <w:rPr>
          <w:lang w:val="en-US"/>
        </w:rPr>
        <w:t xml:space="preserve">(Sartori, 1969). </w:t>
      </w:r>
      <w:r>
        <w:rPr>
          <w:lang w:val="en-US"/>
        </w:rPr>
        <w:t>Similarly, Argote and Visconti (2025) argue that political ideology not only organizes issue preferences but also contributes to identity formation through an affective component that traces symbolic distinctions between groups.</w:t>
      </w:r>
      <w:r w:rsidRPr="00B749C9">
        <w:rPr>
          <w:lang w:val="en-US"/>
        </w:rPr>
        <w:t xml:space="preserve"> </w:t>
      </w:r>
      <w:r>
        <w:rPr>
          <w:lang w:val="en-US"/>
        </w:rPr>
        <w:t xml:space="preserve">In this sense, as social relations are constituents of social cohesion, considering ideological positions, for example, along the </w:t>
      </w:r>
      <w:r w:rsidRPr="00B749C9">
        <w:rPr>
          <w:lang w:val="en-US"/>
        </w:rPr>
        <w:t xml:space="preserve">left-right </w:t>
      </w:r>
      <w:r>
        <w:rPr>
          <w:lang w:val="en-US"/>
        </w:rPr>
        <w:t>ideological spectrum, shapes social associations among citizens, not just positions in</w:t>
      </w:r>
      <w:r w:rsidRPr="00B749C9">
        <w:rPr>
          <w:lang w:val="en-US"/>
        </w:rPr>
        <w:t xml:space="preserve"> electoral competition</w:t>
      </w:r>
      <w:r>
        <w:rPr>
          <w:lang w:val="en-US"/>
        </w:rPr>
        <w:t xml:space="preserve"> (</w:t>
      </w:r>
      <w:r w:rsidRPr="00B749C9">
        <w:rPr>
          <w:lang w:val="en-US"/>
        </w:rPr>
        <w:t>Argote</w:t>
      </w:r>
      <w:r>
        <w:rPr>
          <w:lang w:val="en-US"/>
        </w:rPr>
        <w:t xml:space="preserve"> </w:t>
      </w:r>
      <w:r w:rsidRPr="00B749C9">
        <w:rPr>
          <w:lang w:val="en-US"/>
        </w:rPr>
        <w:t>and Visconti</w:t>
      </w:r>
      <w:r>
        <w:rPr>
          <w:lang w:val="en-US"/>
        </w:rPr>
        <w:t>, 2025).</w:t>
      </w:r>
    </w:p>
    <w:p w14:paraId="77A8C3FB" w14:textId="77777777" w:rsidR="00551781" w:rsidRPr="00AE006B" w:rsidRDefault="00551781" w:rsidP="00551781">
      <w:pPr>
        <w:rPr>
          <w:lang w:val="en-US"/>
        </w:rPr>
      </w:pPr>
      <w:r w:rsidRPr="00AE006B">
        <w:rPr>
          <w:lang w:val="en-US"/>
        </w:rPr>
        <w:t>Left-right ideological positions can therefore be understood not only as positions on public issues but also as organized frameworks through which citizens interpret the political world and classify others within it (Hjermitslev &amp; Wagner, 2026; Sartori, 1969). Political preferences</w:t>
      </w:r>
      <w:r>
        <w:rPr>
          <w:lang w:val="en-US"/>
        </w:rPr>
        <w:t xml:space="preserve"> </w:t>
      </w:r>
      <w:r w:rsidRPr="00AE006B">
        <w:rPr>
          <w:lang w:val="en-US"/>
        </w:rPr>
        <w:t xml:space="preserve">provide cues through which citizens </w:t>
      </w:r>
      <w:r>
        <w:rPr>
          <w:lang w:val="en-US"/>
        </w:rPr>
        <w:t>understand</w:t>
      </w:r>
      <w:r w:rsidRPr="00AE006B">
        <w:rPr>
          <w:lang w:val="en-US"/>
        </w:rPr>
        <w:t xml:space="preserve"> others and form expectations about their </w:t>
      </w:r>
      <w:r>
        <w:rPr>
          <w:lang w:val="en-US"/>
        </w:rPr>
        <w:t xml:space="preserve">attitudes and behaviors </w:t>
      </w:r>
      <w:r w:rsidRPr="00AE006B">
        <w:rPr>
          <w:lang w:val="en-US"/>
        </w:rPr>
        <w:t>(Hernández &amp; Minor, 2015; Hjermitslev &amp; Wagner, 2026).</w:t>
      </w:r>
      <w:r>
        <w:rPr>
          <w:lang w:val="en-US"/>
        </w:rPr>
        <w:t xml:space="preserve"> In this regard, the literature on how </w:t>
      </w:r>
      <w:r>
        <w:rPr>
          <w:lang w:val="en-US"/>
        </w:rPr>
        <w:lastRenderedPageBreak/>
        <w:t>different ideological positions are perceived suggests that expectations</w:t>
      </w:r>
      <w:r w:rsidRPr="00AE006B">
        <w:rPr>
          <w:lang w:val="en-US"/>
        </w:rPr>
        <w:t xml:space="preserve"> </w:t>
      </w:r>
      <w:r>
        <w:rPr>
          <w:lang w:val="en-US"/>
        </w:rPr>
        <w:t xml:space="preserve">about others are conceptualized through </w:t>
      </w:r>
      <w:r w:rsidRPr="00AE006B">
        <w:rPr>
          <w:lang w:val="en-US"/>
        </w:rPr>
        <w:t xml:space="preserve">social identity and </w:t>
      </w:r>
      <w:r>
        <w:rPr>
          <w:lang w:val="en-US"/>
        </w:rPr>
        <w:t xml:space="preserve">perceived </w:t>
      </w:r>
      <w:r w:rsidRPr="00AE006B">
        <w:rPr>
          <w:lang w:val="en-US"/>
        </w:rPr>
        <w:t>political distance (Greene, 1999; Hernández &amp; Minor, 2015; Hjermitslev &amp; Wagner, 2026).</w:t>
      </w:r>
    </w:p>
    <w:p w14:paraId="207378E2" w14:textId="77777777" w:rsidR="00551781" w:rsidRPr="00AE006B" w:rsidRDefault="00551781" w:rsidP="00551781">
      <w:pPr>
        <w:rPr>
          <w:lang w:val="en-US"/>
        </w:rPr>
      </w:pPr>
      <w:r>
        <w:rPr>
          <w:lang w:val="en-US"/>
        </w:rPr>
        <w:t>According to social identity theory, individuals</w:t>
      </w:r>
      <w:r w:rsidRPr="00AE006B">
        <w:rPr>
          <w:lang w:val="en-US"/>
        </w:rPr>
        <w:t xml:space="preserve"> derive part of their self-understanding from group memberships and tend to evaluate </w:t>
      </w:r>
      <w:r>
        <w:rPr>
          <w:lang w:val="en-US"/>
        </w:rPr>
        <w:t>similar others</w:t>
      </w:r>
      <w:r w:rsidRPr="00AE006B">
        <w:rPr>
          <w:lang w:val="en-US"/>
        </w:rPr>
        <w:t xml:space="preserve"> more positively than </w:t>
      </w:r>
      <w:r>
        <w:rPr>
          <w:lang w:val="en-US"/>
        </w:rPr>
        <w:t xml:space="preserve">those perceived as different </w:t>
      </w:r>
      <w:r w:rsidRPr="00AE006B">
        <w:rPr>
          <w:lang w:val="en-US"/>
        </w:rPr>
        <w:t xml:space="preserve">(Greene, 1999). Applied to politics, this means that ideological </w:t>
      </w:r>
      <w:r>
        <w:rPr>
          <w:lang w:val="en-US"/>
        </w:rPr>
        <w:t>positions, such as left and right, can serve as</w:t>
      </w:r>
      <w:r w:rsidRPr="00AE006B">
        <w:rPr>
          <w:lang w:val="en-US"/>
        </w:rPr>
        <w:t xml:space="preserve"> markers that organize perceptions of </w:t>
      </w:r>
      <w:r>
        <w:rPr>
          <w:lang w:val="en-US"/>
        </w:rPr>
        <w:t xml:space="preserve">similarity and distance </w:t>
      </w:r>
      <w:r w:rsidRPr="00AE006B">
        <w:rPr>
          <w:lang w:val="en-US"/>
        </w:rPr>
        <w:t xml:space="preserve">(Hjermitslev &amp; Wagner, 2026). Early work in this area was often developed through party-based research, especially in the United States, where partisan cues were shown to affect interpersonal judgment well beyond electoral choice (Iyengar &amp; Westwood, 2015). This literature demonstrated that political categories could structure trust, social distance, and behavioral expectations in ways similar to other salient group boundaries (Hernández &amp; Minor, 2015; Iyengar &amp; Westwood, 2015). Even when the immediate object of evaluation is an ordinary citizen rather than a politician, political categories can activate </w:t>
      </w:r>
      <w:r>
        <w:rPr>
          <w:lang w:val="en-US"/>
        </w:rPr>
        <w:t xml:space="preserve">preferences for similar others and </w:t>
      </w:r>
      <w:r w:rsidRPr="00AE006B">
        <w:rPr>
          <w:lang w:val="en-US"/>
        </w:rPr>
        <w:t xml:space="preserve">suspicion </w:t>
      </w:r>
      <w:r>
        <w:rPr>
          <w:lang w:val="en-US"/>
        </w:rPr>
        <w:t xml:space="preserve">about strangers </w:t>
      </w:r>
      <w:r w:rsidRPr="00AE006B">
        <w:rPr>
          <w:lang w:val="en-US"/>
        </w:rPr>
        <w:t>(Balliet et al., 2016; Hernández &amp; Minor, 2015).</w:t>
      </w:r>
    </w:p>
    <w:p w14:paraId="08F143F5" w14:textId="77777777" w:rsidR="00551781" w:rsidRPr="00AE006B" w:rsidRDefault="00551781" w:rsidP="00551781">
      <w:pPr>
        <w:rPr>
          <w:lang w:val="en-US"/>
        </w:rPr>
      </w:pPr>
      <w:r w:rsidRPr="00AE006B">
        <w:rPr>
          <w:lang w:val="en-US"/>
        </w:rPr>
        <w:t xml:space="preserve">Yet social identity alone does not fully explain how political preferences affect horizontal social cohesion. A second </w:t>
      </w:r>
      <w:r>
        <w:rPr>
          <w:lang w:val="en-US"/>
        </w:rPr>
        <w:t>approach</w:t>
      </w:r>
      <w:r w:rsidRPr="00AE006B">
        <w:rPr>
          <w:lang w:val="en-US"/>
        </w:rPr>
        <w:t xml:space="preserve"> is political distance. Political distance refers to the </w:t>
      </w:r>
      <w:r w:rsidRPr="006A473E">
        <w:rPr>
          <w:i/>
          <w:iCs/>
          <w:lang w:val="en-US"/>
        </w:rPr>
        <w:t>degree</w:t>
      </w:r>
      <w:r w:rsidRPr="00AE006B">
        <w:rPr>
          <w:lang w:val="en-US"/>
        </w:rPr>
        <w:t xml:space="preserve"> of perceived dissimilarity between an observer and a target in </w:t>
      </w:r>
      <w:r>
        <w:rPr>
          <w:lang w:val="en-US"/>
        </w:rPr>
        <w:t xml:space="preserve">the </w:t>
      </w:r>
      <w:r w:rsidRPr="00AE006B">
        <w:rPr>
          <w:lang w:val="en-US"/>
        </w:rPr>
        <w:t xml:space="preserve">political </w:t>
      </w:r>
      <w:r>
        <w:rPr>
          <w:lang w:val="en-US"/>
        </w:rPr>
        <w:t>domain</w:t>
      </w:r>
      <w:r w:rsidRPr="00AE006B">
        <w:rPr>
          <w:lang w:val="en-US"/>
        </w:rPr>
        <w:t xml:space="preserve">, whether defined by ideology, policy positions, or broader left-right placement (Erkel &amp; Turkenburg, 2022; Lee, 2024). This concept is especially useful for research centered on left-right distinctions because it moves beyond a simple co-partisan versus out-partisan framework (Erkel &amp; Turkenburg, 2022). Rather than assuming that all political out-groups are viewed equally negatively, the literature increasingly shows that evaluations vary with perceived distance, such that the farther away a target is </w:t>
      </w:r>
      <w:r>
        <w:rPr>
          <w:lang w:val="en-US"/>
        </w:rPr>
        <w:t>perceived to be, the less positively it</w:t>
      </w:r>
      <w:r w:rsidRPr="00AE006B">
        <w:rPr>
          <w:lang w:val="en-US"/>
        </w:rPr>
        <w:t xml:space="preserve"> is judged (Erkel &amp; Turkenburg, 2022; Lee, 2024).</w:t>
      </w:r>
    </w:p>
    <w:p w14:paraId="2AC8B6EB" w14:textId="77777777" w:rsidR="00551781" w:rsidRPr="00AE006B" w:rsidRDefault="00551781" w:rsidP="00551781">
      <w:pPr>
        <w:rPr>
          <w:lang w:val="en-US"/>
        </w:rPr>
      </w:pPr>
      <w:r w:rsidRPr="00AE006B">
        <w:rPr>
          <w:lang w:val="en-US"/>
        </w:rPr>
        <w:t xml:space="preserve">This distinction matters because much of the empirical literature has </w:t>
      </w:r>
      <w:r>
        <w:rPr>
          <w:lang w:val="en-US"/>
        </w:rPr>
        <w:t>shifted from party labels alone to the informational content they convey</w:t>
      </w:r>
      <w:r w:rsidRPr="00AE006B">
        <w:rPr>
          <w:lang w:val="en-US"/>
        </w:rPr>
        <w:t xml:space="preserve"> (Lelkes, 2019; Orr &amp; Huber, 2020). Research using vignette designs finds that citizens do not respond only to political identity as such. They also react to what a label implies about substantive positions (Lelkes, 2019; Orr &amp; Huber, 2020). When policy or ideological information is made explicit, the effect of party labels often declines, while the effect of political agreement remains robust (Lelkes, 2019; Orr &amp; Huber, 2020). Recent work goes further by showing that ideological identities themselves shape interpersonal affect, even net of party cues (Hjermitslev &amp; Wagner, 2026). Left-right labels are not merely shorthand for parties. They operate as symbolic locations that help citizens interpret who others are and how socially close or distant they may be (Hjermitslev &amp; Wagner, 2026).</w:t>
      </w:r>
    </w:p>
    <w:p w14:paraId="711E0F96" w14:textId="77777777" w:rsidR="00551781" w:rsidRPr="00AE006B" w:rsidRDefault="00551781" w:rsidP="00551781">
      <w:pPr>
        <w:rPr>
          <w:lang w:val="en-US"/>
        </w:rPr>
      </w:pPr>
      <w:r>
        <w:rPr>
          <w:lang w:val="en-US"/>
        </w:rPr>
        <w:t>From a social cohesion perspective</w:t>
      </w:r>
      <w:r w:rsidRPr="00AE006B">
        <w:rPr>
          <w:lang w:val="en-US"/>
        </w:rPr>
        <w:t>, the key implication is that political preferences affect social relations not simply because citizens disagree, but because disagreement becomes socially organized (Greene, 1999; Hjermitslev &amp; Wagner, 2026). Trust and cooperation are often reduced not by observed misconduct but by expectations that politically distant others will be less trustworthy or less willing to reciprocate (Balliet et al., 2016; Hernández &amp; Minor, 2015). In multiparty settings, this is especially clear, as hostility is often structured less by a flat opposition between allies and enemies than by gradients of ideological distance (Erkel &amp; Turkenburg, 2022). Similarly, people tend to perceive supporters of ideologically proximate positions as more likely to get along or even become friends (Lee, 2024).</w:t>
      </w:r>
    </w:p>
    <w:p w14:paraId="2948F2DE" w14:textId="77777777" w:rsidR="00551781" w:rsidRPr="00AE006B" w:rsidRDefault="00551781" w:rsidP="00551781">
      <w:pPr>
        <w:rPr>
          <w:lang w:val="en-US"/>
        </w:rPr>
      </w:pPr>
      <w:r w:rsidRPr="00AE006B">
        <w:rPr>
          <w:lang w:val="en-US"/>
        </w:rPr>
        <w:t xml:space="preserve">has been developed in the United States and Europe, but that does not make it irrelevant for Latin America. Rather, it suggests the need for dialogue. Comparative work shows that institutions and </w:t>
      </w:r>
      <w:r w:rsidRPr="00AE006B">
        <w:rPr>
          <w:lang w:val="en-US"/>
        </w:rPr>
        <w:lastRenderedPageBreak/>
        <w:t>political context shape how strongly political identities structure citizen relations (Gidron et al., 2022; Hahm et al., 2023). Latin American evidence is thinner, but existing studies suggest that these mechanisms travel, even if unevenly and through different partisan and ideological configurations (Bergman &amp; Fernández, 2024; Segovia, 2022). Overall, the theoretical lesson is clear: political preferences matter for horizontal social cohesion because they define group boundaries and signal political distance, thereby shaping who is seen as trustworthy, cooperative, and socially compatible (Erkel &amp; Turkenburg, 2022; Greene, 1999; Hernández &amp; Minor, 2015).</w:t>
      </w:r>
    </w:p>
    <w:p w14:paraId="1C2A9C5E" w14:textId="77777777" w:rsidR="001F4360" w:rsidRDefault="001F4360"/>
    <w:sectPr w:rsidR="001F436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o César Iturra Sanhueza" w:date="2026-04-02T10:38:00Z" w:initials="JI">
    <w:p w14:paraId="6E99EE69" w14:textId="77777777" w:rsidR="00551781" w:rsidRDefault="00551781" w:rsidP="006167D6">
      <w:pPr>
        <w:pStyle w:val="CommentText"/>
        <w:jc w:val="left"/>
      </w:pPr>
      <w:r>
        <w:rPr>
          <w:rStyle w:val="CommentReference"/>
        </w:rPr>
        <w:annotationRef/>
      </w:r>
      <w:r>
        <w:rPr>
          <w:highlight w:val="yellow"/>
        </w:rPr>
        <w:t>Mechanisms: value signaling, moral moundaries, and partisan Identity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99EE6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2A4FC" w16cex:dateUtc="2026-04-02T0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99EE69" w16cid:durableId="02D2A4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ED"/>
    <w:rsid w:val="00044CA4"/>
    <w:rsid w:val="000811FA"/>
    <w:rsid w:val="000F06DB"/>
    <w:rsid w:val="001D05C4"/>
    <w:rsid w:val="001F4360"/>
    <w:rsid w:val="002A4C13"/>
    <w:rsid w:val="0051059B"/>
    <w:rsid w:val="00551781"/>
    <w:rsid w:val="006D6D0F"/>
    <w:rsid w:val="007420D2"/>
    <w:rsid w:val="009D6084"/>
    <w:rsid w:val="00BD66ED"/>
    <w:rsid w:val="00EA1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0C8F"/>
  <w15:chartTrackingRefBased/>
  <w15:docId w15:val="{C8E52177-FFC1-4A24-89FF-C0CD38644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781"/>
    <w:pPr>
      <w:spacing w:line="240" w:lineRule="auto"/>
      <w:jc w:val="both"/>
    </w:pPr>
    <w:rPr>
      <w:rFonts w:ascii="Times New Roman" w:hAnsi="Times New Roman"/>
      <w:lang w:val="es-CL"/>
    </w:rPr>
  </w:style>
  <w:style w:type="paragraph" w:styleId="Heading1">
    <w:name w:val="heading 1"/>
    <w:basedOn w:val="Normal"/>
    <w:next w:val="Normal"/>
    <w:link w:val="Heading1Char"/>
    <w:uiPriority w:val="9"/>
    <w:qFormat/>
    <w:rsid w:val="00BD66ED"/>
    <w:pPr>
      <w:keepNext/>
      <w:keepLines/>
      <w:spacing w:before="360" w:after="80" w:line="278" w:lineRule="auto"/>
      <w:jc w:val="left"/>
      <w:outlineLvl w:val="0"/>
    </w:pPr>
    <w:rPr>
      <w:rFonts w:asciiTheme="majorHAnsi" w:eastAsiaTheme="majorEastAsia" w:hAnsiTheme="majorHAnsi" w:cstheme="majorBidi"/>
      <w:color w:val="2E74B5" w:themeColor="accent1" w:themeShade="BF"/>
      <w:sz w:val="40"/>
      <w:szCs w:val="40"/>
      <w:lang w:val="en-US"/>
    </w:rPr>
  </w:style>
  <w:style w:type="paragraph" w:styleId="Heading2">
    <w:name w:val="heading 2"/>
    <w:basedOn w:val="Normal"/>
    <w:next w:val="Normal"/>
    <w:link w:val="Heading2Char"/>
    <w:uiPriority w:val="9"/>
    <w:semiHidden/>
    <w:unhideWhenUsed/>
    <w:qFormat/>
    <w:rsid w:val="00BD66ED"/>
    <w:pPr>
      <w:keepNext/>
      <w:keepLines/>
      <w:spacing w:before="160" w:after="80" w:line="278" w:lineRule="auto"/>
      <w:jc w:val="left"/>
      <w:outlineLvl w:val="1"/>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BD66ED"/>
    <w:pPr>
      <w:keepNext/>
      <w:keepLines/>
      <w:spacing w:before="160" w:after="80" w:line="278" w:lineRule="auto"/>
      <w:jc w:val="left"/>
      <w:outlineLvl w:val="2"/>
    </w:pPr>
    <w:rPr>
      <w:rFonts w:asciiTheme="minorHAnsi" w:eastAsiaTheme="majorEastAsia" w:hAnsiTheme="minorHAnsi" w:cstheme="majorBidi"/>
      <w:color w:val="2E74B5" w:themeColor="accent1" w:themeShade="BF"/>
      <w:sz w:val="28"/>
      <w:szCs w:val="28"/>
      <w:lang w:val="en-US"/>
    </w:rPr>
  </w:style>
  <w:style w:type="paragraph" w:styleId="Heading4">
    <w:name w:val="heading 4"/>
    <w:basedOn w:val="Normal"/>
    <w:next w:val="Normal"/>
    <w:link w:val="Heading4Char"/>
    <w:uiPriority w:val="9"/>
    <w:semiHidden/>
    <w:unhideWhenUsed/>
    <w:qFormat/>
    <w:rsid w:val="00BD66ED"/>
    <w:pPr>
      <w:keepNext/>
      <w:keepLines/>
      <w:spacing w:before="80" w:after="40" w:line="278" w:lineRule="auto"/>
      <w:jc w:val="left"/>
      <w:outlineLvl w:val="3"/>
    </w:pPr>
    <w:rPr>
      <w:rFonts w:asciiTheme="minorHAnsi" w:eastAsiaTheme="majorEastAsia" w:hAnsiTheme="minorHAnsi" w:cstheme="majorBidi"/>
      <w:i/>
      <w:iCs/>
      <w:color w:val="2E74B5" w:themeColor="accent1" w:themeShade="BF"/>
      <w:lang w:val="en-US"/>
    </w:rPr>
  </w:style>
  <w:style w:type="paragraph" w:styleId="Heading5">
    <w:name w:val="heading 5"/>
    <w:basedOn w:val="Normal"/>
    <w:next w:val="Normal"/>
    <w:link w:val="Heading5Char"/>
    <w:uiPriority w:val="9"/>
    <w:semiHidden/>
    <w:unhideWhenUsed/>
    <w:qFormat/>
    <w:rsid w:val="00BD66ED"/>
    <w:pPr>
      <w:keepNext/>
      <w:keepLines/>
      <w:spacing w:before="80" w:after="40" w:line="278" w:lineRule="auto"/>
      <w:jc w:val="left"/>
      <w:outlineLvl w:val="4"/>
    </w:pPr>
    <w:rPr>
      <w:rFonts w:asciiTheme="minorHAnsi" w:eastAsiaTheme="majorEastAsia" w:hAnsiTheme="minorHAnsi" w:cstheme="majorBidi"/>
      <w:color w:val="2E74B5" w:themeColor="accent1" w:themeShade="BF"/>
      <w:lang w:val="en-US"/>
    </w:rPr>
  </w:style>
  <w:style w:type="paragraph" w:styleId="Heading6">
    <w:name w:val="heading 6"/>
    <w:basedOn w:val="Normal"/>
    <w:next w:val="Normal"/>
    <w:link w:val="Heading6Char"/>
    <w:uiPriority w:val="9"/>
    <w:semiHidden/>
    <w:unhideWhenUsed/>
    <w:qFormat/>
    <w:rsid w:val="00BD66ED"/>
    <w:pPr>
      <w:keepNext/>
      <w:keepLines/>
      <w:spacing w:before="40" w:after="0" w:line="278" w:lineRule="auto"/>
      <w:jc w:val="left"/>
      <w:outlineLvl w:val="5"/>
    </w:pPr>
    <w:rPr>
      <w:rFonts w:asciiTheme="minorHAnsi" w:eastAsiaTheme="majorEastAsia" w:hAnsiTheme="minorHAnsi"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BD66ED"/>
    <w:pPr>
      <w:keepNext/>
      <w:keepLines/>
      <w:spacing w:before="40" w:after="0" w:line="278" w:lineRule="auto"/>
      <w:jc w:val="left"/>
      <w:outlineLvl w:val="6"/>
    </w:pPr>
    <w:rPr>
      <w:rFonts w:asciiTheme="minorHAnsi" w:eastAsiaTheme="majorEastAsia" w:hAnsiTheme="minorHAnsi"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BD66ED"/>
    <w:pPr>
      <w:keepNext/>
      <w:keepLines/>
      <w:spacing w:after="0" w:line="278" w:lineRule="auto"/>
      <w:jc w:val="left"/>
      <w:outlineLvl w:val="7"/>
    </w:pPr>
    <w:rPr>
      <w:rFonts w:asciiTheme="minorHAnsi" w:eastAsiaTheme="majorEastAsia" w:hAnsiTheme="minorHAnsi"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BD66ED"/>
    <w:pPr>
      <w:keepNext/>
      <w:keepLines/>
      <w:spacing w:after="0" w:line="278" w:lineRule="auto"/>
      <w:jc w:val="left"/>
      <w:outlineLvl w:val="8"/>
    </w:pPr>
    <w:rPr>
      <w:rFonts w:asciiTheme="minorHAnsi" w:eastAsiaTheme="majorEastAsia" w:hAnsiTheme="minorHAnsi"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6E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D66E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D66E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D66E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D66E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D6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6ED"/>
    <w:rPr>
      <w:rFonts w:eastAsiaTheme="majorEastAsia" w:cstheme="majorBidi"/>
      <w:color w:val="272727" w:themeColor="text1" w:themeTint="D8"/>
    </w:rPr>
  </w:style>
  <w:style w:type="paragraph" w:styleId="Title">
    <w:name w:val="Title"/>
    <w:basedOn w:val="Normal"/>
    <w:next w:val="Normal"/>
    <w:link w:val="TitleChar"/>
    <w:uiPriority w:val="10"/>
    <w:qFormat/>
    <w:rsid w:val="00BD66ED"/>
    <w:pPr>
      <w:spacing w:after="80"/>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BD6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6ED"/>
    <w:pPr>
      <w:numPr>
        <w:ilvl w:val="1"/>
      </w:numPr>
      <w:spacing w:line="278" w:lineRule="auto"/>
      <w:jc w:val="left"/>
    </w:pPr>
    <w:rPr>
      <w:rFonts w:asciiTheme="minorHAnsi" w:eastAsiaTheme="majorEastAsia" w:hAnsiTheme="minorHAnsi"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BD6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6ED"/>
    <w:pPr>
      <w:spacing w:before="160" w:line="278" w:lineRule="auto"/>
      <w:jc w:val="center"/>
    </w:pPr>
    <w:rPr>
      <w:rFonts w:asciiTheme="minorHAnsi" w:hAnsiTheme="minorHAnsi"/>
      <w:i/>
      <w:iCs/>
      <w:color w:val="404040" w:themeColor="text1" w:themeTint="BF"/>
      <w:lang w:val="en-US"/>
    </w:rPr>
  </w:style>
  <w:style w:type="character" w:customStyle="1" w:styleId="QuoteChar">
    <w:name w:val="Quote Char"/>
    <w:basedOn w:val="DefaultParagraphFont"/>
    <w:link w:val="Quote"/>
    <w:uiPriority w:val="29"/>
    <w:rsid w:val="00BD66ED"/>
    <w:rPr>
      <w:i/>
      <w:iCs/>
      <w:color w:val="404040" w:themeColor="text1" w:themeTint="BF"/>
    </w:rPr>
  </w:style>
  <w:style w:type="paragraph" w:styleId="ListParagraph">
    <w:name w:val="List Paragraph"/>
    <w:basedOn w:val="Normal"/>
    <w:uiPriority w:val="34"/>
    <w:qFormat/>
    <w:rsid w:val="00BD66ED"/>
    <w:pPr>
      <w:spacing w:line="278" w:lineRule="auto"/>
      <w:ind w:left="720"/>
      <w:contextualSpacing/>
      <w:jc w:val="left"/>
    </w:pPr>
    <w:rPr>
      <w:rFonts w:asciiTheme="minorHAnsi" w:hAnsiTheme="minorHAnsi"/>
      <w:lang w:val="en-US"/>
    </w:rPr>
  </w:style>
  <w:style w:type="character" w:styleId="IntenseEmphasis">
    <w:name w:val="Intense Emphasis"/>
    <w:basedOn w:val="DefaultParagraphFont"/>
    <w:uiPriority w:val="21"/>
    <w:qFormat/>
    <w:rsid w:val="00BD66ED"/>
    <w:rPr>
      <w:i/>
      <w:iCs/>
      <w:color w:val="2E74B5" w:themeColor="accent1" w:themeShade="BF"/>
    </w:rPr>
  </w:style>
  <w:style w:type="paragraph" w:styleId="IntenseQuote">
    <w:name w:val="Intense Quote"/>
    <w:basedOn w:val="Normal"/>
    <w:next w:val="Normal"/>
    <w:link w:val="IntenseQuoteChar"/>
    <w:uiPriority w:val="30"/>
    <w:qFormat/>
    <w:rsid w:val="00BD66ED"/>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hAnsiTheme="minorHAnsi"/>
      <w:i/>
      <w:iCs/>
      <w:color w:val="2E74B5" w:themeColor="accent1" w:themeShade="BF"/>
      <w:lang w:val="en-US"/>
    </w:rPr>
  </w:style>
  <w:style w:type="character" w:customStyle="1" w:styleId="IntenseQuoteChar">
    <w:name w:val="Intense Quote Char"/>
    <w:basedOn w:val="DefaultParagraphFont"/>
    <w:link w:val="IntenseQuote"/>
    <w:uiPriority w:val="30"/>
    <w:rsid w:val="00BD66ED"/>
    <w:rPr>
      <w:i/>
      <w:iCs/>
      <w:color w:val="2E74B5" w:themeColor="accent1" w:themeShade="BF"/>
    </w:rPr>
  </w:style>
  <w:style w:type="character" w:styleId="IntenseReference">
    <w:name w:val="Intense Reference"/>
    <w:basedOn w:val="DefaultParagraphFont"/>
    <w:uiPriority w:val="32"/>
    <w:qFormat/>
    <w:rsid w:val="00BD66ED"/>
    <w:rPr>
      <w:b/>
      <w:bCs/>
      <w:smallCaps/>
      <w:color w:val="2E74B5" w:themeColor="accent1" w:themeShade="BF"/>
      <w:spacing w:val="5"/>
    </w:rPr>
  </w:style>
  <w:style w:type="character" w:styleId="CommentReference">
    <w:name w:val="annotation reference"/>
    <w:basedOn w:val="DefaultParagraphFont"/>
    <w:uiPriority w:val="99"/>
    <w:semiHidden/>
    <w:unhideWhenUsed/>
    <w:rsid w:val="00551781"/>
    <w:rPr>
      <w:sz w:val="16"/>
      <w:szCs w:val="16"/>
    </w:rPr>
  </w:style>
  <w:style w:type="paragraph" w:styleId="CommentText">
    <w:name w:val="annotation text"/>
    <w:basedOn w:val="Normal"/>
    <w:link w:val="CommentTextChar"/>
    <w:uiPriority w:val="99"/>
    <w:unhideWhenUsed/>
    <w:rsid w:val="00551781"/>
    <w:rPr>
      <w:sz w:val="20"/>
      <w:szCs w:val="20"/>
    </w:rPr>
  </w:style>
  <w:style w:type="character" w:customStyle="1" w:styleId="CommentTextChar">
    <w:name w:val="Comment Text Char"/>
    <w:basedOn w:val="DefaultParagraphFont"/>
    <w:link w:val="CommentText"/>
    <w:uiPriority w:val="99"/>
    <w:rsid w:val="00551781"/>
    <w:rPr>
      <w:rFonts w:ascii="Times New Roman" w:hAnsi="Times New Roman"/>
      <w:sz w:val="20"/>
      <w:szCs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1952</Words>
  <Characters>11127</Characters>
  <Application>Microsoft Office Word</Application>
  <DocSecurity>0</DocSecurity>
  <Lines>92</Lines>
  <Paragraphs>26</Paragraphs>
  <ScaleCrop>false</ScaleCrop>
  <Company/>
  <LinksUpToDate>false</LinksUpToDate>
  <CharactersWithSpaces>13053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2</cp:revision>
  <dcterms:created xsi:type="dcterms:W3CDTF">2026-05-19T08:59:00Z</dcterms:created>
  <dcterms:modified xsi:type="dcterms:W3CDTF">2026-05-19T08:59:00Z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165374ea-5ce9-4cff-86ad-8ec0aba2b57f</vt:lpwstr>
  </property>
</Properties>
</file>