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5AA9" w14:textId="77777777" w:rsidR="00F4048E" w:rsidRDefault="005A1A08">
      <w:pPr>
        <w:pStyle w:val="Heading1"/>
      </w:pPr>
      <w:r>
        <w:t>3. Methods</w:t>
      </w:r>
    </w:p>
    <w:p w14:paraId="1D24E874" w14:textId="77777777" w:rsidR="00F4048E" w:rsidRDefault="005A1A08">
      <w:pPr>
        <w:pStyle w:val="Heading2"/>
      </w:pPr>
      <w:r>
        <w:t>3.1 Data</w:t>
      </w:r>
    </w:p>
    <w:p w14:paraId="2BF66290" w14:textId="77777777" w:rsidR="00F4048E" w:rsidRDefault="005A1A08">
      <w:pPr>
        <w:spacing w:after="200" w:line="276" w:lineRule="auto"/>
        <w:jc w:val="both"/>
      </w:pPr>
      <w:r>
        <w:t>The data used in this study were collected through a Computer-Assisted Web Interview (CAWI) administered to a convenience quota sample of Chilean adults. Fieldwork was conducted between December 2024 and January 2025 by an online survey panel provider. Quotas were applied to approximate the adult Chilean population on key sociodemographic characteristics, including gender, age, and region of residence, yielding a sample in which women represent 52.16% of respondents.</w:t>
      </w:r>
    </w:p>
    <w:p w14:paraId="262FFF89" w14:textId="0332165C" w:rsidR="00F4048E" w:rsidRDefault="005A1A08">
      <w:pPr>
        <w:spacing w:after="200" w:line="276" w:lineRule="auto"/>
        <w:jc w:val="both"/>
      </w:pPr>
      <w:r>
        <w:t>The raw dataset comprised [</w:t>
      </w:r>
      <w:r w:rsidR="00E75DD9" w:rsidRPr="008E4A83">
        <w:rPr>
          <w:highlight w:val="yellow"/>
        </w:rPr>
        <w:t>3</w:t>
      </w:r>
      <w:r w:rsidR="00B17193">
        <w:rPr>
          <w:highlight w:val="yellow"/>
        </w:rPr>
        <w:t>,</w:t>
      </w:r>
      <w:r w:rsidR="00E75DD9" w:rsidRPr="008E4A83">
        <w:rPr>
          <w:highlight w:val="yellow"/>
        </w:rPr>
        <w:t>81</w:t>
      </w:r>
      <w:r w:rsidR="008E4A83" w:rsidRPr="008E4A83">
        <w:rPr>
          <w:highlight w:val="yellow"/>
        </w:rPr>
        <w:t>2</w:t>
      </w:r>
      <w:r>
        <w:t>] respondents. Cases with missing values on the outcome variable or any of the vignette dimensions were removed via listwise deletion, resulting in a loss of [</w:t>
      </w:r>
      <w:r w:rsidR="00FB784C" w:rsidRPr="00DA30AE">
        <w:rPr>
          <w:highlight w:val="yellow"/>
        </w:rPr>
        <w:t>113</w:t>
      </w:r>
      <w:r>
        <w:t>] respondents (</w:t>
      </w:r>
      <w:r w:rsidRPr="008B7EF7">
        <w:rPr>
          <w:highlight w:val="yellow"/>
        </w:rPr>
        <w:t>[</w:t>
      </w:r>
      <w:r w:rsidR="00C00F59" w:rsidRPr="008B7EF7">
        <w:rPr>
          <w:highlight w:val="yellow"/>
        </w:rPr>
        <w:t>2] %</w:t>
      </w:r>
      <w:r w:rsidRPr="008B7EF7">
        <w:rPr>
          <w:highlight w:val="yellow"/>
        </w:rPr>
        <w:t>).</w:t>
      </w:r>
      <w:r>
        <w:t xml:space="preserve"> </w:t>
      </w:r>
      <w:r w:rsidR="00C00F59">
        <w:rPr>
          <w:rStyle w:val="FootnoteReference"/>
        </w:rPr>
        <w:footnoteReference w:id="1"/>
      </w:r>
      <w:r>
        <w:t xml:space="preserve">The final analytical sample consists of </w:t>
      </w:r>
      <w:r>
        <w:rPr>
          <w:i/>
          <w:iCs/>
        </w:rPr>
        <w:t>N</w:t>
      </w:r>
      <w:r>
        <w:t xml:space="preserve"> = 3,699 individuals and a total of 34,252 vignette evaluations at Level 1 (an average of approximately 9.3 vignettes per respondent), nested within respondents at Level 2.</w:t>
      </w:r>
    </w:p>
    <w:p w14:paraId="1A6B00B7" w14:textId="77777777" w:rsidR="00F4048E" w:rsidRDefault="005A1A08">
      <w:pPr>
        <w:pStyle w:val="Heading2"/>
      </w:pPr>
      <w:r>
        <w:t>3.2 Experimental Design</w:t>
      </w:r>
    </w:p>
    <w:p w14:paraId="16072D12" w14:textId="77777777" w:rsidR="00F4048E" w:rsidRDefault="005A1A08">
      <w:pPr>
        <w:pStyle w:val="Heading3"/>
      </w:pPr>
      <w:r>
        <w:t>3.2.1 Factorial Survey Experiment</w:t>
      </w:r>
    </w:p>
    <w:p w14:paraId="2AE36CDC" w14:textId="481D853A" w:rsidR="00EC4298" w:rsidRDefault="00EC4298">
      <w:pPr>
        <w:spacing w:after="200" w:line="276" w:lineRule="auto"/>
        <w:jc w:val="both"/>
      </w:pPr>
      <w:r w:rsidRPr="00EC4298">
        <w:t>This study employs a factorial survey experiment, also referred to as a vignette study, to examine how the characteristics of social groups affect expectations of cohesion in interpersonal interactions. In a factorial survey design, respondents are presented with short descriptions of hypothetical persons or situations whose attributes are systematically varied across multiple dimensions (</w:t>
      </w:r>
      <w:proofErr w:type="spellStart"/>
      <w:r w:rsidRPr="00EC4298">
        <w:t>Auspurg</w:t>
      </w:r>
      <w:proofErr w:type="spellEnd"/>
      <w:r w:rsidRPr="00EC4298">
        <w:t xml:space="preserve"> &amp; Hinz, 2014; Rossi &amp; Nock, 1983; Wallander, 2009)</w:t>
      </w:r>
      <w:r w:rsidR="00C61995">
        <w:t xml:space="preserve"> </w:t>
      </w:r>
      <w:r w:rsidR="00C61995">
        <w:fldChar w:fldCharType="begin"/>
      </w:r>
      <w:r w:rsidR="00C61995">
        <w:instrText xml:space="preserve"> ADDIN ZOTERO_ITEM CSL_CITATION {"citationID":"G87X93Nl","properties":{"unsorted":false,"formattedCitation":"(Auspurg &amp; Hinz, 2015; Rossi &amp; Nock, 1982; Wallander, 2009)","plainCitation":"(Auspurg &amp; Hinz, 2015; Rossi &amp; Nock, 1982; Wallander, 2009)","noteIndex":0},"citationItems":[{"id":23865,"uris":["http://zotero.org/users/5414506/items/2M5MBTGB"],"itemData":{"id":23865,"type":"book","citation-key":"auspurg_factorial_2015","DOI":"10.4135/9781483398075","ISBN":"978-1-4522-7418-8","publisher":"SAGE Publications, Inc.","publisher-place":"2455 Teller Road, Thousand Oaks California 91320 United States","source":"DOI.org (Crossref)","title":"Factorial Survey Experiments","URL":"https://methods.sagepub.com/book/factorial-survey-experiments","author":[{"family":"Auspurg","given":"Katrin"},{"family":"Hinz","given":"Thomas"}],"accessed":{"date-parts":[["2026",5,15]]},"issued":{"date-parts":[["2015"]]}}},{"id":23859,"uris":["http://zotero.org/users/5414506/items/3FHFA58L"],"itemData":{"id":23859,"type":"book","citation-key":"rossi_measuring_1982","edition":"1. print","ISBN":"978-0-8039-1816-0","language":"eng","number-of-pages":"255","publisher":"Sage Publications","publisher-place":"Beverly Hills","source":"K10plus ISBN","title":"Measuring social judgments: a factorial survey approach","title-short":"Measuring social judgments","editor":[{"family":"Rossi","given":"Peter H."},{"family":"Nock","given":"Steven L."}],"issued":{"date-parts":[["1982"]]}}},{"id":23863,"uris":["http://zotero.org/users/5414506/items/9MG3V9SG"],"itemData":{"id":23863,"type":"article-journal","abstract":"The aim of the factorial survey approach is to uncover the social and individual structures of human judgements of social objects. By having respondents evaluate samples of vignettes (fictive descriptions), in which several factors describing the object of interest are simultaneously manipulated, this approach has a number of advantages over traditional social survey research. The aim of the present article is to provide an easy-to-follow overview of the various ways in which the approach has been applied within sociology between 1982 and 2006. The review, which is based on 106 articles published in central sociology journals, is organised into three different sections: “factorial survey applications”, “factorial survey designs” and “factorial survey analyses”.","citation-key":"wallander_25_2009","container-title":"Social Science Research","DOI":"10.1016/j.ssresearch.2009.03.004","ISSN":"0049-089X","issue":"3","journalAbbreviation":"Social Science Research","page":"505-520","source":"ScienceDirect","title":"25 years of factorial surveys in sociology: A review","title-short":"25 years of factorial surveys in sociology","volume":"38","author":[{"family":"Wallander","given":"Lisa"}],"issued":{"date-parts":[["2009",9,1]]}}}],"schema":"https://github.com/citation-style-language/schema/raw/master/csl-citation.json"} </w:instrText>
      </w:r>
      <w:r w:rsidR="00C61995">
        <w:fldChar w:fldCharType="separate"/>
      </w:r>
      <w:r w:rsidR="00C61995" w:rsidRPr="00C61995">
        <w:t>(Auspurg &amp; Hinz, 2015; Rossi &amp; Nock, 1982; Wallander, 2009)</w:t>
      </w:r>
      <w:r w:rsidR="00C61995">
        <w:fldChar w:fldCharType="end"/>
      </w:r>
      <w:r w:rsidRPr="00EC4298">
        <w:t xml:space="preserve">. The manipulation does not primarily consist </w:t>
      </w:r>
      <w:r w:rsidR="006F0C93">
        <w:t>of</w:t>
      </w:r>
      <w:r w:rsidRPr="00EC4298">
        <w:t xml:space="preserve"> providing respondents with new information. Rather, it changes the configuration of socially meaningful characteristics that </w:t>
      </w:r>
      <w:r w:rsidR="00E14503">
        <w:t>define</w:t>
      </w:r>
      <w:r w:rsidRPr="00EC4298">
        <w:t xml:space="preserve"> the case to be judged. By varying these attributes across otherwise comparable vignette profiles, the design identifies the weight respondents assign to each characteristic when forming their judgments </w:t>
      </w:r>
      <w:r w:rsidR="00C61995">
        <w:fldChar w:fldCharType="begin"/>
      </w:r>
      <w:r w:rsidR="00C61995">
        <w:instrText xml:space="preserve"> ADDIN ZOTERO_ITEM CSL_CITATION {"citationID":"T8iBHLdk","properties":{"unsorted":false,"formattedCitation":"(Auspurg &amp; Hinz, 2015; Jasso, 2006)","plainCitation":"(Auspurg &amp; Hinz, 2015; Jasso, 2006)","noteIndex":0},"citationItems":[{"id":23865,"uris":["http://zotero.org/users/5414506/items/2M5MBTGB"],"itemData":{"id":23865,"type":"book","citation-key":"auspurg_factorial_2015","DOI":"10.4135/9781483398075","ISBN":"978-1-4522-7418-8","publisher":"SAGE Publications, Inc.","publisher-place":"2455 Teller Road, Thousand Oaks California 91320 United States","source":"DOI.org (Crossref)","title":"Factorial Survey Experiments","URL":"https://methods.sagepub.com/book/factorial-survey-experiments","author":[{"family":"Auspurg","given":"Katrin"},{"family":"Hinz","given":"Thomas"}],"accessed":{"date-parts":[["2026",5,15]]},"issued":{"date-parts":[["2015"]]}}},{"id":23857,"uris":["http://zotero.org/users/5414506/items/GUYYVJR2"],"itemData":{"id":23857,"type":"article-journal","abstract":"This article develops a unified framework, based on Rossi's factorial survey method, for studying positive beliefs and normative judgments. The framework enables estimation of individuals' positive-belief and normative-judgment equations, leading to analysis of the components of beliefs and judgments, assessment of interpersonal variability in the components, and estimation of two further equations, representing, respectively, the determinants and consequences of the components. We describe procedures for data collection, assemble a set of tools for estimating the positive-belief and normative-judgment equations and carrying out the corresponding homogeneity tests, and propose ways of estimating the determinants and consequences equations. To illustrate the framework, we investigate both a positive-belief equation (describing adolescents' views concerning determination of marital happiness) and a normative-judgment equation (describing judgments of the justice of earnings). This article thus provides a guide to contemporary factorial survey analysis, and points the way to its further development.","citation-key":"jasso_factorial_2006","container-title":"Sociological Methods &amp; Research","DOI":"10.1177/0049124105283121","ISSN":"0049-1241","issue":"3","language":"EN","page":"334-423","publisher":"SAGE Publications Inc","source":"SAGE Journals","title":"Factorial Survey Methods for Studying Beliefs and Judgments","volume":"34","author":[{"family":"Jasso","given":"Guillermina"}],"issued":{"date-parts":[["2006",2,1]]}}}],"schema":"https://github.com/citation-style-language/schema/raw/master/csl-citation.json"} </w:instrText>
      </w:r>
      <w:r w:rsidR="00C61995">
        <w:fldChar w:fldCharType="separate"/>
      </w:r>
      <w:r w:rsidR="00C61995" w:rsidRPr="00C61995">
        <w:t>(Auspurg &amp; Hinz, 2015; Jasso, 2006)</w:t>
      </w:r>
      <w:r w:rsidR="00C61995">
        <w:fldChar w:fldCharType="end"/>
      </w:r>
      <w:r w:rsidRPr="00EC4298">
        <w:t xml:space="preserve">. This approach is particularly </w:t>
      </w:r>
      <w:r w:rsidR="00E14503">
        <w:t>well-suited</w:t>
      </w:r>
      <w:r w:rsidRPr="00EC4298">
        <w:t xml:space="preserve"> for studying sensitive social evaluations, such as trust and social distance, because it elicits judgments through concrete cases rather than asking respondents to state their beliefs or decision rules directly </w:t>
      </w:r>
      <w:r w:rsidR="00A856BC">
        <w:fldChar w:fldCharType="begin"/>
      </w:r>
      <w:r w:rsidR="00A856BC">
        <w:instrText xml:space="preserve"> ADDIN ZOTERO_ITEM CSL_CITATION {"citationID":"aAKKHV4j","properties":{"unsorted":false,"formattedCitation":"(Jasso, 2006)","plainCitation":"(Jasso, 2006)","noteIndex":0},"citationItems":[{"id":23857,"uris":["http://zotero.org/users/5414506/items/GUYYVJR2"],"itemData":{"id":23857,"type":"article-journal","abstract":"This article develops a unified framework, based on Rossi's factorial survey method, for studying positive beliefs and normative judgments. The framework enables estimation of individuals' positive-belief and normative-judgment equations, leading to analysis of the components of beliefs and judgments, assessment of interpersonal variability in the components, and estimation of two further equations, representing, respectively, the determinants and consequences of the components. We describe procedures for data collection, assemble a set of tools for estimating the positive-belief and normative-judgment equations and carrying out the corresponding homogeneity tests, and propose ways of estimating the determinants and consequences equations. To illustrate the framework, we investigate both a positive-belief equation (describing adolescents' views concerning determination of marital happiness) and a normative-judgment equation (describing judgments of the justice of earnings). This article thus provides a guide to contemporary factorial survey analysis, and points the way to its further development.","citation-key":"jasso_factorial_2006","container-title":"Sociological Methods &amp; Research","DOI":"10.1177/0049124105283121","ISSN":"0049-1241","issue":"3","language":"EN","page":"334-423","publisher":"SAGE Publications Inc","source":"SAGE Journals","title":"Factorial Survey Methods for Studying Beliefs and Judgments","volume":"34","author":[{"family":"Jasso","given":"Guillermina"}],"issued":{"date-parts":[["2006",2,1]]}}}],"schema":"https://github.com/citation-style-language/schema/raw/master/csl-citation.json"} </w:instrText>
      </w:r>
      <w:r w:rsidR="00A856BC">
        <w:fldChar w:fldCharType="separate"/>
      </w:r>
      <w:r w:rsidR="00A856BC" w:rsidRPr="00A856BC">
        <w:t>(Jasso, 2006)</w:t>
      </w:r>
      <w:r w:rsidR="00A856BC">
        <w:fldChar w:fldCharType="end"/>
      </w:r>
      <w:r w:rsidRPr="00EC4298">
        <w:t>. Compared with conventional survey questions, factorial surveys offer stronger experimental control while preserving greater contextual realism (</w:t>
      </w:r>
      <w:proofErr w:type="spellStart"/>
      <w:r w:rsidRPr="00EC4298">
        <w:t>Auspurg</w:t>
      </w:r>
      <w:proofErr w:type="spellEnd"/>
      <w:r w:rsidRPr="00EC4298">
        <w:t xml:space="preserve"> &amp; Hinz, 2014; Wallander, 2009).</w:t>
      </w:r>
    </w:p>
    <w:p w14:paraId="66F1E81A" w14:textId="77777777" w:rsidR="00F4048E" w:rsidRPr="00DC5103" w:rsidRDefault="005A1A08">
      <w:pPr>
        <w:pStyle w:val="Heading3"/>
        <w:rPr>
          <w:b/>
          <w:bCs/>
        </w:rPr>
      </w:pPr>
      <w:r w:rsidRPr="00DC5103">
        <w:rPr>
          <w:b/>
          <w:bCs/>
        </w:rPr>
        <w:t>3.2.2 Vignette Design</w:t>
      </w:r>
    </w:p>
    <w:p w14:paraId="696216DE" w14:textId="766EC58E" w:rsidR="00F4048E" w:rsidRDefault="005A1A08">
      <w:pPr>
        <w:spacing w:after="200" w:line="276" w:lineRule="auto"/>
        <w:jc w:val="both"/>
      </w:pPr>
      <w:r>
        <w:t xml:space="preserve">Each vignette described a fictional person whose characteristics were drawn from nine dimensions, generating a factorial universe of 31,104 possible combinations (2×3×3×4×3×3×3×4×4). Given </w:t>
      </w:r>
      <w:r>
        <w:lastRenderedPageBreak/>
        <w:t xml:space="preserve">the impracticability of evaluating all possible combinations, a subset of 144 vignettes was selected using a D-efficient algorithm in SAS, which </w:t>
      </w:r>
      <w:r w:rsidR="00EC4298">
        <w:t>maximizes the statistical efficiency of parameter estimates while minimizing</w:t>
      </w:r>
      <w:r>
        <w:t xml:space="preserve"> multicollinearity among vignette attributes </w:t>
      </w:r>
      <w:r w:rsidR="0073669C">
        <w:fldChar w:fldCharType="begin"/>
      </w:r>
      <w:r w:rsidR="005B22DA">
        <w:instrText xml:space="preserve"> ADDIN ZOTERO_ITEM CSL_CITATION {"citationID":"lJrBwG4U","properties":{"unsorted":false,"formattedCitation":"(Kuhfeld et al., 2010)","plainCitation":"(Kuhfeld et al., 2010)","noteIndex":0},"citationItems":[{"id":23922,"uris":["http://zotero.org/users/5414506/items/E3EJ7WMT"],"itemData":{"id":23922,"type":"article-journal","citation-key":"kuhfeld_ecient_nodate","language":"en","source":"Zotero","title":"Eﬃcient Experimental Design with Marketing Research Applications","URL":"https://support.sas.com/techsup/technote/mr2010d.pdf","author":[{"family":"Kuhfeld","given":"Warren F"},{"family":"Tobias","given":"Randall D"},{"family":"Garratt","given":"Mark"}],"issued":{"date-parts":[["2010"]]}}}],"schema":"https://github.com/citation-style-language/schema/raw/master/csl-citation.json"} </w:instrText>
      </w:r>
      <w:r w:rsidR="0073669C">
        <w:fldChar w:fldCharType="separate"/>
      </w:r>
      <w:r w:rsidR="005B22DA" w:rsidRPr="005B22DA">
        <w:t>(Kuhfeld et al., 2010)</w:t>
      </w:r>
      <w:r w:rsidR="0073669C">
        <w:fldChar w:fldCharType="end"/>
      </w:r>
      <w:r w:rsidR="00EA6CB0">
        <w:t xml:space="preserve"> </w:t>
      </w:r>
      <w:r>
        <w:t xml:space="preserve">. These 144 vignettes were </w:t>
      </w:r>
      <w:r w:rsidR="00EC4298">
        <w:t>organized</w:t>
      </w:r>
      <w:r>
        <w:t xml:space="preserve"> into 15 blocks, with each respondent randomly assigned to one block and asked to evaluate </w:t>
      </w:r>
      <w:r w:rsidR="00EC4298">
        <w:t>9-</w:t>
      </w:r>
      <w:r>
        <w:t>10 vignettes. A full description of the dimensions and their levels is provided in Table 1.</w:t>
      </w:r>
    </w:p>
    <w:p w14:paraId="42615CC1" w14:textId="7A475992" w:rsidR="00AE45B6" w:rsidRPr="00411D60" w:rsidRDefault="00AE45B6" w:rsidP="00411D60">
      <w:pPr>
        <w:spacing w:after="200" w:line="276" w:lineRule="auto"/>
        <w:ind w:left="1440" w:hanging="1440"/>
        <w:jc w:val="center"/>
      </w:pPr>
      <w:r w:rsidRPr="00411D60">
        <w:t xml:space="preserve">[Table 1 </w:t>
      </w:r>
      <w:r w:rsidR="006C55F5" w:rsidRPr="00411D60">
        <w:t xml:space="preserve">about </w:t>
      </w:r>
      <w:r w:rsidRPr="00411D60">
        <w:t>here]</w:t>
      </w:r>
    </w:p>
    <w:tbl>
      <w:tblPr>
        <w:tblW w:w="8832" w:type="dxa"/>
        <w:tblLook w:val="04A0" w:firstRow="1" w:lastRow="0" w:firstColumn="1" w:lastColumn="0" w:noHBand="0" w:noVBand="1"/>
      </w:tblPr>
      <w:tblGrid>
        <w:gridCol w:w="2200"/>
        <w:gridCol w:w="2498"/>
        <w:gridCol w:w="4134"/>
      </w:tblGrid>
      <w:tr w:rsidR="006C55F5" w:rsidRPr="006C55F5" w14:paraId="63F05F54" w14:textId="77777777" w:rsidTr="006C55F5">
        <w:trPr>
          <w:trHeight w:val="184"/>
        </w:trPr>
        <w:tc>
          <w:tcPr>
            <w:tcW w:w="8832" w:type="dxa"/>
            <w:gridSpan w:val="3"/>
            <w:tcBorders>
              <w:top w:val="nil"/>
              <w:left w:val="nil"/>
              <w:bottom w:val="single" w:sz="12" w:space="0" w:color="000000"/>
              <w:right w:val="nil"/>
            </w:tcBorders>
            <w:noWrap/>
            <w:vAlign w:val="center"/>
            <w:hideMark/>
          </w:tcPr>
          <w:p w14:paraId="6F27C653" w14:textId="19B68DAA" w:rsidR="006C55F5" w:rsidRPr="004F6098" w:rsidRDefault="006C55F5">
            <w:pPr>
              <w:jc w:val="center"/>
              <w:rPr>
                <w:color w:val="272828"/>
              </w:rPr>
            </w:pPr>
            <w:r w:rsidRPr="004F6098">
              <w:rPr>
                <w:color w:val="272828"/>
              </w:rPr>
              <w:t>Table 1. Categories and description of vignettes</w:t>
            </w:r>
          </w:p>
        </w:tc>
      </w:tr>
      <w:tr w:rsidR="006C55F5" w:rsidRPr="006C55F5" w14:paraId="4492E3CA" w14:textId="77777777" w:rsidTr="006C55F5">
        <w:trPr>
          <w:trHeight w:val="192"/>
        </w:trPr>
        <w:tc>
          <w:tcPr>
            <w:tcW w:w="2200" w:type="dxa"/>
            <w:tcBorders>
              <w:top w:val="nil"/>
              <w:left w:val="nil"/>
              <w:bottom w:val="single" w:sz="8" w:space="0" w:color="000000"/>
              <w:right w:val="nil"/>
            </w:tcBorders>
            <w:vAlign w:val="center"/>
            <w:hideMark/>
          </w:tcPr>
          <w:p w14:paraId="1785F90D" w14:textId="77777777" w:rsidR="006C55F5" w:rsidRPr="006C55F5" w:rsidRDefault="006C55F5">
            <w:pPr>
              <w:rPr>
                <w:b/>
                <w:bCs/>
                <w:color w:val="222222"/>
                <w:sz w:val="20"/>
                <w:szCs w:val="20"/>
              </w:rPr>
            </w:pPr>
            <w:r w:rsidRPr="006C55F5">
              <w:rPr>
                <w:b/>
                <w:bCs/>
                <w:color w:val="222222"/>
                <w:sz w:val="20"/>
                <w:szCs w:val="20"/>
              </w:rPr>
              <w:t>Dimension</w:t>
            </w:r>
          </w:p>
        </w:tc>
        <w:tc>
          <w:tcPr>
            <w:tcW w:w="2498" w:type="dxa"/>
            <w:tcBorders>
              <w:top w:val="nil"/>
              <w:left w:val="nil"/>
              <w:bottom w:val="single" w:sz="8" w:space="0" w:color="000000"/>
              <w:right w:val="nil"/>
            </w:tcBorders>
            <w:vAlign w:val="center"/>
            <w:hideMark/>
          </w:tcPr>
          <w:p w14:paraId="09B031E8" w14:textId="77777777" w:rsidR="006C55F5" w:rsidRPr="006C55F5" w:rsidRDefault="006C55F5">
            <w:pPr>
              <w:rPr>
                <w:b/>
                <w:bCs/>
                <w:color w:val="222222"/>
                <w:sz w:val="20"/>
                <w:szCs w:val="20"/>
              </w:rPr>
            </w:pPr>
            <w:r w:rsidRPr="006C55F5">
              <w:rPr>
                <w:b/>
                <w:bCs/>
                <w:color w:val="222222"/>
                <w:sz w:val="20"/>
                <w:szCs w:val="20"/>
              </w:rPr>
              <w:t>Label</w:t>
            </w:r>
          </w:p>
        </w:tc>
        <w:tc>
          <w:tcPr>
            <w:tcW w:w="4133" w:type="dxa"/>
            <w:tcBorders>
              <w:top w:val="nil"/>
              <w:left w:val="nil"/>
              <w:bottom w:val="single" w:sz="8" w:space="0" w:color="000000"/>
              <w:right w:val="nil"/>
            </w:tcBorders>
            <w:vAlign w:val="center"/>
            <w:hideMark/>
          </w:tcPr>
          <w:p w14:paraId="47773E03" w14:textId="77777777" w:rsidR="006C55F5" w:rsidRPr="006C55F5" w:rsidRDefault="006C55F5">
            <w:pPr>
              <w:rPr>
                <w:b/>
                <w:bCs/>
                <w:color w:val="222222"/>
                <w:sz w:val="20"/>
                <w:szCs w:val="20"/>
              </w:rPr>
            </w:pPr>
            <w:r w:rsidRPr="006C55F5">
              <w:rPr>
                <w:b/>
                <w:bCs/>
                <w:color w:val="222222"/>
                <w:sz w:val="20"/>
                <w:szCs w:val="20"/>
              </w:rPr>
              <w:t>Description</w:t>
            </w:r>
          </w:p>
        </w:tc>
      </w:tr>
      <w:tr w:rsidR="006C55F5" w:rsidRPr="006C55F5" w14:paraId="272D8F07" w14:textId="77777777" w:rsidTr="006C55F5">
        <w:trPr>
          <w:trHeight w:val="184"/>
        </w:trPr>
        <w:tc>
          <w:tcPr>
            <w:tcW w:w="2200" w:type="dxa"/>
            <w:vMerge w:val="restart"/>
            <w:tcBorders>
              <w:top w:val="nil"/>
              <w:left w:val="nil"/>
              <w:bottom w:val="single" w:sz="8" w:space="0" w:color="000000"/>
              <w:right w:val="nil"/>
            </w:tcBorders>
            <w:hideMark/>
          </w:tcPr>
          <w:p w14:paraId="52398909" w14:textId="77777777" w:rsidR="006C55F5" w:rsidRPr="006C55F5" w:rsidRDefault="006C55F5">
            <w:pPr>
              <w:rPr>
                <w:b/>
                <w:bCs/>
                <w:color w:val="222222"/>
                <w:sz w:val="20"/>
                <w:szCs w:val="20"/>
              </w:rPr>
            </w:pPr>
            <w:r w:rsidRPr="006C55F5">
              <w:rPr>
                <w:b/>
                <w:bCs/>
                <w:color w:val="222222"/>
                <w:sz w:val="20"/>
                <w:szCs w:val="20"/>
              </w:rPr>
              <w:t>Education</w:t>
            </w:r>
          </w:p>
        </w:tc>
        <w:tc>
          <w:tcPr>
            <w:tcW w:w="2498" w:type="dxa"/>
            <w:tcBorders>
              <w:top w:val="nil"/>
              <w:left w:val="nil"/>
              <w:bottom w:val="single" w:sz="8" w:space="0" w:color="000000"/>
              <w:right w:val="nil"/>
            </w:tcBorders>
            <w:vAlign w:val="center"/>
            <w:hideMark/>
          </w:tcPr>
          <w:p w14:paraId="044AF125" w14:textId="77777777" w:rsidR="006C55F5" w:rsidRPr="006C55F5" w:rsidRDefault="006C55F5">
            <w:pPr>
              <w:rPr>
                <w:color w:val="222222"/>
                <w:sz w:val="20"/>
                <w:szCs w:val="20"/>
              </w:rPr>
            </w:pPr>
            <w:r w:rsidRPr="006C55F5">
              <w:rPr>
                <w:color w:val="222222"/>
                <w:sz w:val="20"/>
                <w:szCs w:val="20"/>
              </w:rPr>
              <w:t>Low</w:t>
            </w:r>
          </w:p>
        </w:tc>
        <w:tc>
          <w:tcPr>
            <w:tcW w:w="4133" w:type="dxa"/>
            <w:tcBorders>
              <w:top w:val="nil"/>
              <w:left w:val="nil"/>
              <w:bottom w:val="single" w:sz="8" w:space="0" w:color="000000"/>
              <w:right w:val="nil"/>
            </w:tcBorders>
            <w:vAlign w:val="center"/>
            <w:hideMark/>
          </w:tcPr>
          <w:p w14:paraId="4A11C7DF" w14:textId="77777777" w:rsidR="006C55F5" w:rsidRPr="006C55F5" w:rsidRDefault="006C55F5">
            <w:pPr>
              <w:rPr>
                <w:color w:val="222222"/>
                <w:sz w:val="20"/>
                <w:szCs w:val="20"/>
              </w:rPr>
            </w:pPr>
            <w:r w:rsidRPr="006C55F5">
              <w:rPr>
                <w:color w:val="222222"/>
                <w:sz w:val="20"/>
                <w:szCs w:val="20"/>
              </w:rPr>
              <w:t>Finished primary school</w:t>
            </w:r>
          </w:p>
        </w:tc>
      </w:tr>
      <w:tr w:rsidR="006C55F5" w:rsidRPr="006C55F5" w14:paraId="00BE349F" w14:textId="77777777" w:rsidTr="006C55F5">
        <w:trPr>
          <w:trHeight w:val="184"/>
        </w:trPr>
        <w:tc>
          <w:tcPr>
            <w:tcW w:w="2200" w:type="dxa"/>
            <w:vMerge/>
            <w:tcBorders>
              <w:top w:val="nil"/>
              <w:left w:val="nil"/>
              <w:bottom w:val="single" w:sz="8" w:space="0" w:color="000000"/>
              <w:right w:val="nil"/>
            </w:tcBorders>
            <w:vAlign w:val="center"/>
            <w:hideMark/>
          </w:tcPr>
          <w:p w14:paraId="19D4D14B"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146DE43E" w14:textId="77777777" w:rsidR="006C55F5" w:rsidRPr="006C55F5" w:rsidRDefault="006C55F5">
            <w:pPr>
              <w:rPr>
                <w:color w:val="222222"/>
                <w:sz w:val="20"/>
                <w:szCs w:val="20"/>
              </w:rPr>
            </w:pPr>
            <w:r w:rsidRPr="006C55F5">
              <w:rPr>
                <w:color w:val="222222"/>
                <w:sz w:val="20"/>
                <w:szCs w:val="20"/>
              </w:rPr>
              <w:t>Medium</w:t>
            </w:r>
          </w:p>
        </w:tc>
        <w:tc>
          <w:tcPr>
            <w:tcW w:w="4133" w:type="dxa"/>
            <w:tcBorders>
              <w:top w:val="nil"/>
              <w:left w:val="nil"/>
              <w:bottom w:val="single" w:sz="8" w:space="0" w:color="000000"/>
              <w:right w:val="nil"/>
            </w:tcBorders>
            <w:vAlign w:val="center"/>
            <w:hideMark/>
          </w:tcPr>
          <w:p w14:paraId="56D9E8A0" w14:textId="77777777" w:rsidR="006C55F5" w:rsidRPr="006C55F5" w:rsidRDefault="006C55F5">
            <w:pPr>
              <w:rPr>
                <w:color w:val="222222"/>
                <w:sz w:val="20"/>
                <w:szCs w:val="20"/>
              </w:rPr>
            </w:pPr>
            <w:r w:rsidRPr="006C55F5">
              <w:rPr>
                <w:color w:val="222222"/>
                <w:sz w:val="20"/>
                <w:szCs w:val="20"/>
              </w:rPr>
              <w:t>Finished high school</w:t>
            </w:r>
          </w:p>
        </w:tc>
      </w:tr>
      <w:tr w:rsidR="006C55F5" w:rsidRPr="006C55F5" w14:paraId="619788E6" w14:textId="77777777" w:rsidTr="006C55F5">
        <w:trPr>
          <w:trHeight w:val="184"/>
        </w:trPr>
        <w:tc>
          <w:tcPr>
            <w:tcW w:w="2200" w:type="dxa"/>
            <w:vMerge/>
            <w:tcBorders>
              <w:top w:val="nil"/>
              <w:left w:val="nil"/>
              <w:bottom w:val="single" w:sz="8" w:space="0" w:color="000000"/>
              <w:right w:val="nil"/>
            </w:tcBorders>
            <w:vAlign w:val="center"/>
            <w:hideMark/>
          </w:tcPr>
          <w:p w14:paraId="1BF559DB"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2E84F2D7" w14:textId="77777777" w:rsidR="006C55F5" w:rsidRPr="006C55F5" w:rsidRDefault="006C55F5">
            <w:pPr>
              <w:rPr>
                <w:color w:val="222222"/>
                <w:sz w:val="20"/>
                <w:szCs w:val="20"/>
              </w:rPr>
            </w:pPr>
            <w:r w:rsidRPr="006C55F5">
              <w:rPr>
                <w:color w:val="222222"/>
                <w:sz w:val="20"/>
                <w:szCs w:val="20"/>
              </w:rPr>
              <w:t>High</w:t>
            </w:r>
          </w:p>
        </w:tc>
        <w:tc>
          <w:tcPr>
            <w:tcW w:w="4133" w:type="dxa"/>
            <w:tcBorders>
              <w:top w:val="nil"/>
              <w:left w:val="nil"/>
              <w:bottom w:val="single" w:sz="8" w:space="0" w:color="000000"/>
              <w:right w:val="nil"/>
            </w:tcBorders>
            <w:vAlign w:val="center"/>
            <w:hideMark/>
          </w:tcPr>
          <w:p w14:paraId="3D64DDA3" w14:textId="77777777" w:rsidR="006C55F5" w:rsidRPr="006C55F5" w:rsidRDefault="006C55F5">
            <w:pPr>
              <w:rPr>
                <w:color w:val="222222"/>
                <w:sz w:val="20"/>
                <w:szCs w:val="20"/>
              </w:rPr>
            </w:pPr>
            <w:r w:rsidRPr="006C55F5">
              <w:rPr>
                <w:color w:val="222222"/>
                <w:sz w:val="20"/>
                <w:szCs w:val="20"/>
              </w:rPr>
              <w:t>Obtained a university degree</w:t>
            </w:r>
          </w:p>
        </w:tc>
      </w:tr>
      <w:tr w:rsidR="006C55F5" w:rsidRPr="006C55F5" w14:paraId="66200C6F" w14:textId="77777777" w:rsidTr="006C55F5">
        <w:trPr>
          <w:trHeight w:val="184"/>
        </w:trPr>
        <w:tc>
          <w:tcPr>
            <w:tcW w:w="2200" w:type="dxa"/>
            <w:vMerge w:val="restart"/>
            <w:tcBorders>
              <w:top w:val="nil"/>
              <w:left w:val="nil"/>
              <w:bottom w:val="single" w:sz="8" w:space="0" w:color="000000"/>
              <w:right w:val="nil"/>
            </w:tcBorders>
            <w:hideMark/>
          </w:tcPr>
          <w:p w14:paraId="0D6BB713" w14:textId="77777777" w:rsidR="006C55F5" w:rsidRPr="006C55F5" w:rsidRDefault="006C55F5">
            <w:pPr>
              <w:rPr>
                <w:b/>
                <w:bCs/>
                <w:color w:val="222222"/>
                <w:sz w:val="20"/>
                <w:szCs w:val="20"/>
              </w:rPr>
            </w:pPr>
            <w:r w:rsidRPr="006C55F5">
              <w:rPr>
                <w:b/>
                <w:bCs/>
                <w:color w:val="222222"/>
                <w:sz w:val="20"/>
                <w:szCs w:val="20"/>
              </w:rPr>
              <w:t>Income</w:t>
            </w:r>
          </w:p>
        </w:tc>
        <w:tc>
          <w:tcPr>
            <w:tcW w:w="2498" w:type="dxa"/>
            <w:tcBorders>
              <w:top w:val="nil"/>
              <w:left w:val="nil"/>
              <w:bottom w:val="single" w:sz="8" w:space="0" w:color="000000"/>
              <w:right w:val="nil"/>
            </w:tcBorders>
            <w:vAlign w:val="center"/>
            <w:hideMark/>
          </w:tcPr>
          <w:p w14:paraId="785B0D5F" w14:textId="77777777" w:rsidR="006C55F5" w:rsidRPr="006C55F5" w:rsidRDefault="006C55F5">
            <w:pPr>
              <w:rPr>
                <w:color w:val="222222"/>
                <w:sz w:val="20"/>
                <w:szCs w:val="20"/>
              </w:rPr>
            </w:pPr>
            <w:r w:rsidRPr="006C55F5">
              <w:rPr>
                <w:color w:val="222222"/>
                <w:sz w:val="20"/>
                <w:szCs w:val="20"/>
              </w:rPr>
              <w:t>Low</w:t>
            </w:r>
          </w:p>
        </w:tc>
        <w:tc>
          <w:tcPr>
            <w:tcW w:w="4133" w:type="dxa"/>
            <w:tcBorders>
              <w:top w:val="nil"/>
              <w:left w:val="nil"/>
              <w:bottom w:val="single" w:sz="8" w:space="0" w:color="000000"/>
              <w:right w:val="nil"/>
            </w:tcBorders>
            <w:vAlign w:val="center"/>
            <w:hideMark/>
          </w:tcPr>
          <w:p w14:paraId="581CDB90" w14:textId="17D4626F" w:rsidR="0033319B" w:rsidRPr="006C55F5" w:rsidRDefault="006C55F5">
            <w:pPr>
              <w:rPr>
                <w:color w:val="222222"/>
                <w:sz w:val="20"/>
                <w:szCs w:val="20"/>
              </w:rPr>
            </w:pPr>
            <w:r w:rsidRPr="006C55F5">
              <w:rPr>
                <w:color w:val="222222"/>
                <w:sz w:val="20"/>
                <w:szCs w:val="20"/>
              </w:rPr>
              <w:t>$500.00</w:t>
            </w:r>
            <w:r w:rsidR="0033319B">
              <w:rPr>
                <w:color w:val="222222"/>
                <w:sz w:val="20"/>
                <w:szCs w:val="20"/>
              </w:rPr>
              <w:t>0</w:t>
            </w:r>
          </w:p>
        </w:tc>
      </w:tr>
      <w:tr w:rsidR="006C55F5" w:rsidRPr="006C55F5" w14:paraId="07DB2BB0" w14:textId="77777777" w:rsidTr="006C55F5">
        <w:trPr>
          <w:trHeight w:val="184"/>
        </w:trPr>
        <w:tc>
          <w:tcPr>
            <w:tcW w:w="2200" w:type="dxa"/>
            <w:vMerge/>
            <w:tcBorders>
              <w:top w:val="nil"/>
              <w:left w:val="nil"/>
              <w:bottom w:val="single" w:sz="8" w:space="0" w:color="000000"/>
              <w:right w:val="nil"/>
            </w:tcBorders>
            <w:vAlign w:val="center"/>
            <w:hideMark/>
          </w:tcPr>
          <w:p w14:paraId="7689F874"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260D7D31" w14:textId="77777777" w:rsidR="006C55F5" w:rsidRPr="006C55F5" w:rsidRDefault="006C55F5">
            <w:pPr>
              <w:rPr>
                <w:color w:val="222222"/>
                <w:sz w:val="20"/>
                <w:szCs w:val="20"/>
              </w:rPr>
            </w:pPr>
            <w:r w:rsidRPr="006C55F5">
              <w:rPr>
                <w:color w:val="222222"/>
                <w:sz w:val="20"/>
                <w:szCs w:val="20"/>
              </w:rPr>
              <w:t>Medium</w:t>
            </w:r>
          </w:p>
        </w:tc>
        <w:tc>
          <w:tcPr>
            <w:tcW w:w="4133" w:type="dxa"/>
            <w:tcBorders>
              <w:top w:val="nil"/>
              <w:left w:val="nil"/>
              <w:bottom w:val="single" w:sz="8" w:space="0" w:color="000000"/>
              <w:right w:val="nil"/>
            </w:tcBorders>
            <w:vAlign w:val="center"/>
            <w:hideMark/>
          </w:tcPr>
          <w:p w14:paraId="6E888ECC" w14:textId="6F755E2D" w:rsidR="006C55F5" w:rsidRPr="006C55F5" w:rsidRDefault="006C55F5">
            <w:pPr>
              <w:rPr>
                <w:color w:val="222222"/>
                <w:sz w:val="20"/>
                <w:szCs w:val="20"/>
              </w:rPr>
            </w:pPr>
            <w:r w:rsidRPr="006C55F5">
              <w:rPr>
                <w:color w:val="222222"/>
                <w:sz w:val="20"/>
                <w:szCs w:val="20"/>
              </w:rPr>
              <w:t>$910.00</w:t>
            </w:r>
            <w:r w:rsidR="0033319B">
              <w:rPr>
                <w:color w:val="222222"/>
                <w:sz w:val="20"/>
                <w:szCs w:val="20"/>
              </w:rPr>
              <w:t>0</w:t>
            </w:r>
          </w:p>
        </w:tc>
      </w:tr>
      <w:tr w:rsidR="006C55F5" w:rsidRPr="006C55F5" w14:paraId="13C4035C" w14:textId="77777777" w:rsidTr="006C55F5">
        <w:trPr>
          <w:trHeight w:val="184"/>
        </w:trPr>
        <w:tc>
          <w:tcPr>
            <w:tcW w:w="2200" w:type="dxa"/>
            <w:vMerge/>
            <w:tcBorders>
              <w:top w:val="nil"/>
              <w:left w:val="nil"/>
              <w:bottom w:val="single" w:sz="8" w:space="0" w:color="000000"/>
              <w:right w:val="nil"/>
            </w:tcBorders>
            <w:vAlign w:val="center"/>
            <w:hideMark/>
          </w:tcPr>
          <w:p w14:paraId="7E27B0E9"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53BAE0C4" w14:textId="77777777" w:rsidR="006C55F5" w:rsidRPr="006C55F5" w:rsidRDefault="006C55F5">
            <w:pPr>
              <w:rPr>
                <w:color w:val="222222"/>
                <w:sz w:val="20"/>
                <w:szCs w:val="20"/>
              </w:rPr>
            </w:pPr>
            <w:r w:rsidRPr="006C55F5">
              <w:rPr>
                <w:color w:val="222222"/>
                <w:sz w:val="20"/>
                <w:szCs w:val="20"/>
              </w:rPr>
              <w:t>High</w:t>
            </w:r>
          </w:p>
        </w:tc>
        <w:tc>
          <w:tcPr>
            <w:tcW w:w="4133" w:type="dxa"/>
            <w:tcBorders>
              <w:top w:val="nil"/>
              <w:left w:val="nil"/>
              <w:bottom w:val="single" w:sz="8" w:space="0" w:color="000000"/>
              <w:right w:val="nil"/>
            </w:tcBorders>
            <w:vAlign w:val="center"/>
            <w:hideMark/>
          </w:tcPr>
          <w:p w14:paraId="434D9E70" w14:textId="77777777" w:rsidR="006C55F5" w:rsidRPr="006C55F5" w:rsidRDefault="006C55F5">
            <w:pPr>
              <w:rPr>
                <w:color w:val="222222"/>
                <w:sz w:val="20"/>
                <w:szCs w:val="20"/>
              </w:rPr>
            </w:pPr>
            <w:r w:rsidRPr="006C55F5">
              <w:rPr>
                <w:color w:val="222222"/>
                <w:sz w:val="20"/>
                <w:szCs w:val="20"/>
              </w:rPr>
              <w:t>$4.100.000</w:t>
            </w:r>
          </w:p>
        </w:tc>
      </w:tr>
      <w:tr w:rsidR="006C55F5" w:rsidRPr="006C55F5" w14:paraId="55D38973" w14:textId="77777777" w:rsidTr="006C55F5">
        <w:trPr>
          <w:trHeight w:val="184"/>
        </w:trPr>
        <w:tc>
          <w:tcPr>
            <w:tcW w:w="2200" w:type="dxa"/>
            <w:vMerge w:val="restart"/>
            <w:tcBorders>
              <w:top w:val="nil"/>
              <w:left w:val="nil"/>
              <w:bottom w:val="single" w:sz="8" w:space="0" w:color="000000"/>
              <w:right w:val="nil"/>
            </w:tcBorders>
            <w:hideMark/>
          </w:tcPr>
          <w:p w14:paraId="61C19DA3" w14:textId="77777777" w:rsidR="006C55F5" w:rsidRPr="006C55F5" w:rsidRDefault="006C55F5">
            <w:pPr>
              <w:rPr>
                <w:b/>
                <w:bCs/>
                <w:color w:val="222222"/>
                <w:sz w:val="20"/>
                <w:szCs w:val="20"/>
              </w:rPr>
            </w:pPr>
            <w:r w:rsidRPr="006C55F5">
              <w:rPr>
                <w:b/>
                <w:bCs/>
                <w:color w:val="222222"/>
                <w:sz w:val="20"/>
                <w:szCs w:val="20"/>
              </w:rPr>
              <w:t>Migration background</w:t>
            </w:r>
          </w:p>
        </w:tc>
        <w:tc>
          <w:tcPr>
            <w:tcW w:w="2498" w:type="dxa"/>
            <w:tcBorders>
              <w:top w:val="nil"/>
              <w:left w:val="nil"/>
              <w:bottom w:val="single" w:sz="8" w:space="0" w:color="000000"/>
              <w:right w:val="nil"/>
            </w:tcBorders>
            <w:vAlign w:val="center"/>
            <w:hideMark/>
          </w:tcPr>
          <w:p w14:paraId="5BC95F6A" w14:textId="77777777" w:rsidR="006C55F5" w:rsidRPr="006C55F5" w:rsidRDefault="006C55F5">
            <w:pPr>
              <w:rPr>
                <w:color w:val="222222"/>
                <w:sz w:val="20"/>
                <w:szCs w:val="20"/>
              </w:rPr>
            </w:pPr>
            <w:r w:rsidRPr="006C55F5">
              <w:rPr>
                <w:color w:val="222222"/>
                <w:sz w:val="20"/>
                <w:szCs w:val="20"/>
              </w:rPr>
              <w:t>No migration background</w:t>
            </w:r>
          </w:p>
        </w:tc>
        <w:tc>
          <w:tcPr>
            <w:tcW w:w="4133" w:type="dxa"/>
            <w:tcBorders>
              <w:top w:val="nil"/>
              <w:left w:val="nil"/>
              <w:bottom w:val="single" w:sz="8" w:space="0" w:color="000000"/>
              <w:right w:val="nil"/>
            </w:tcBorders>
            <w:vAlign w:val="center"/>
            <w:hideMark/>
          </w:tcPr>
          <w:p w14:paraId="575E403F" w14:textId="77777777" w:rsidR="006C55F5" w:rsidRPr="006C55F5" w:rsidRDefault="006C55F5">
            <w:pPr>
              <w:rPr>
                <w:color w:val="222222"/>
                <w:sz w:val="20"/>
                <w:szCs w:val="20"/>
              </w:rPr>
            </w:pPr>
            <w:r w:rsidRPr="006C55F5">
              <w:rPr>
                <w:color w:val="222222"/>
                <w:sz w:val="20"/>
                <w:szCs w:val="20"/>
              </w:rPr>
              <w:t>Born in Chile, of Chilean parents.</w:t>
            </w:r>
          </w:p>
        </w:tc>
      </w:tr>
      <w:tr w:rsidR="006C55F5" w:rsidRPr="006C55F5" w14:paraId="026B1948" w14:textId="77777777" w:rsidTr="006C55F5">
        <w:trPr>
          <w:trHeight w:val="184"/>
        </w:trPr>
        <w:tc>
          <w:tcPr>
            <w:tcW w:w="2200" w:type="dxa"/>
            <w:vMerge/>
            <w:tcBorders>
              <w:top w:val="nil"/>
              <w:left w:val="nil"/>
              <w:bottom w:val="single" w:sz="8" w:space="0" w:color="000000"/>
              <w:right w:val="nil"/>
            </w:tcBorders>
            <w:vAlign w:val="center"/>
            <w:hideMark/>
          </w:tcPr>
          <w:p w14:paraId="2F4CF571"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3670C2C6" w14:textId="77777777" w:rsidR="006C55F5" w:rsidRPr="006C55F5" w:rsidRDefault="006C55F5">
            <w:pPr>
              <w:rPr>
                <w:color w:val="222222"/>
                <w:sz w:val="20"/>
                <w:szCs w:val="20"/>
              </w:rPr>
            </w:pPr>
            <w:r w:rsidRPr="006C55F5">
              <w:rPr>
                <w:color w:val="222222"/>
                <w:sz w:val="20"/>
                <w:szCs w:val="20"/>
              </w:rPr>
              <w:t>2nd generation</w:t>
            </w:r>
          </w:p>
        </w:tc>
        <w:tc>
          <w:tcPr>
            <w:tcW w:w="4133" w:type="dxa"/>
            <w:tcBorders>
              <w:top w:val="nil"/>
              <w:left w:val="nil"/>
              <w:bottom w:val="single" w:sz="8" w:space="0" w:color="000000"/>
              <w:right w:val="nil"/>
            </w:tcBorders>
            <w:vAlign w:val="center"/>
            <w:hideMark/>
          </w:tcPr>
          <w:p w14:paraId="1EECEDCA" w14:textId="77777777" w:rsidR="006C55F5" w:rsidRPr="006C55F5" w:rsidRDefault="006C55F5">
            <w:pPr>
              <w:rPr>
                <w:color w:val="222222"/>
                <w:sz w:val="20"/>
                <w:szCs w:val="20"/>
              </w:rPr>
            </w:pPr>
            <w:r w:rsidRPr="006C55F5">
              <w:rPr>
                <w:color w:val="222222"/>
                <w:sz w:val="20"/>
                <w:szCs w:val="20"/>
              </w:rPr>
              <w:t>Born in Chile, of Peruvian parents.</w:t>
            </w:r>
          </w:p>
        </w:tc>
      </w:tr>
      <w:tr w:rsidR="006C55F5" w:rsidRPr="006C55F5" w14:paraId="0B132923" w14:textId="77777777" w:rsidTr="006C55F5">
        <w:trPr>
          <w:trHeight w:val="184"/>
        </w:trPr>
        <w:tc>
          <w:tcPr>
            <w:tcW w:w="2200" w:type="dxa"/>
            <w:vMerge/>
            <w:tcBorders>
              <w:top w:val="nil"/>
              <w:left w:val="nil"/>
              <w:bottom w:val="single" w:sz="8" w:space="0" w:color="000000"/>
              <w:right w:val="nil"/>
            </w:tcBorders>
            <w:vAlign w:val="center"/>
            <w:hideMark/>
          </w:tcPr>
          <w:p w14:paraId="61B589CA"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0C73F1CA" w14:textId="77777777" w:rsidR="006C55F5" w:rsidRPr="006C55F5" w:rsidRDefault="006C55F5">
            <w:pPr>
              <w:rPr>
                <w:color w:val="222222"/>
                <w:sz w:val="20"/>
                <w:szCs w:val="20"/>
              </w:rPr>
            </w:pPr>
            <w:r w:rsidRPr="006C55F5">
              <w:rPr>
                <w:color w:val="222222"/>
                <w:sz w:val="20"/>
                <w:szCs w:val="20"/>
              </w:rPr>
              <w:t>1st generation</w:t>
            </w:r>
          </w:p>
        </w:tc>
        <w:tc>
          <w:tcPr>
            <w:tcW w:w="4133" w:type="dxa"/>
            <w:tcBorders>
              <w:top w:val="nil"/>
              <w:left w:val="nil"/>
              <w:bottom w:val="single" w:sz="8" w:space="0" w:color="000000"/>
              <w:right w:val="nil"/>
            </w:tcBorders>
            <w:vAlign w:val="center"/>
            <w:hideMark/>
          </w:tcPr>
          <w:p w14:paraId="570F8FF9" w14:textId="77777777" w:rsidR="006C55F5" w:rsidRPr="006C55F5" w:rsidRDefault="006C55F5">
            <w:pPr>
              <w:rPr>
                <w:color w:val="222222"/>
                <w:sz w:val="20"/>
                <w:szCs w:val="20"/>
              </w:rPr>
            </w:pPr>
            <w:r w:rsidRPr="006C55F5">
              <w:rPr>
                <w:color w:val="222222"/>
                <w:sz w:val="20"/>
                <w:szCs w:val="20"/>
              </w:rPr>
              <w:t>Born in Venezuela, came to Chile</w:t>
            </w:r>
          </w:p>
        </w:tc>
      </w:tr>
      <w:tr w:rsidR="006C55F5" w:rsidRPr="006C55F5" w14:paraId="628099EA" w14:textId="77777777" w:rsidTr="006C55F5">
        <w:trPr>
          <w:trHeight w:val="184"/>
        </w:trPr>
        <w:tc>
          <w:tcPr>
            <w:tcW w:w="2200" w:type="dxa"/>
            <w:vMerge w:val="restart"/>
            <w:tcBorders>
              <w:top w:val="nil"/>
              <w:left w:val="nil"/>
              <w:bottom w:val="single" w:sz="8" w:space="0" w:color="000000"/>
              <w:right w:val="nil"/>
            </w:tcBorders>
            <w:hideMark/>
          </w:tcPr>
          <w:p w14:paraId="791DE9D8" w14:textId="38925407" w:rsidR="006C55F5" w:rsidRPr="006C55F5" w:rsidRDefault="005702CA">
            <w:pPr>
              <w:rPr>
                <w:b/>
                <w:bCs/>
                <w:color w:val="222222"/>
                <w:sz w:val="20"/>
                <w:szCs w:val="20"/>
              </w:rPr>
            </w:pPr>
            <w:r>
              <w:rPr>
                <w:b/>
                <w:bCs/>
                <w:color w:val="222222"/>
                <w:sz w:val="20"/>
                <w:szCs w:val="20"/>
              </w:rPr>
              <w:t>R</w:t>
            </w:r>
            <w:r w:rsidRPr="005702CA">
              <w:rPr>
                <w:b/>
                <w:bCs/>
                <w:color w:val="222222"/>
                <w:sz w:val="20"/>
                <w:szCs w:val="20"/>
              </w:rPr>
              <w:t>eligious affiliation</w:t>
            </w:r>
          </w:p>
        </w:tc>
        <w:tc>
          <w:tcPr>
            <w:tcW w:w="2498" w:type="dxa"/>
            <w:tcBorders>
              <w:top w:val="nil"/>
              <w:left w:val="nil"/>
              <w:bottom w:val="single" w:sz="8" w:space="0" w:color="000000"/>
              <w:right w:val="nil"/>
            </w:tcBorders>
            <w:vAlign w:val="center"/>
            <w:hideMark/>
          </w:tcPr>
          <w:p w14:paraId="0BA10446" w14:textId="77777777" w:rsidR="006C55F5" w:rsidRPr="006C55F5" w:rsidRDefault="006C55F5">
            <w:pPr>
              <w:rPr>
                <w:color w:val="222222"/>
                <w:sz w:val="20"/>
                <w:szCs w:val="20"/>
              </w:rPr>
            </w:pPr>
            <w:r w:rsidRPr="006C55F5">
              <w:rPr>
                <w:color w:val="222222"/>
                <w:sz w:val="20"/>
                <w:szCs w:val="20"/>
              </w:rPr>
              <w:t>1st Religious group</w:t>
            </w:r>
          </w:p>
        </w:tc>
        <w:tc>
          <w:tcPr>
            <w:tcW w:w="4133" w:type="dxa"/>
            <w:tcBorders>
              <w:top w:val="nil"/>
              <w:left w:val="nil"/>
              <w:bottom w:val="single" w:sz="8" w:space="0" w:color="000000"/>
              <w:right w:val="nil"/>
            </w:tcBorders>
            <w:vAlign w:val="center"/>
            <w:hideMark/>
          </w:tcPr>
          <w:p w14:paraId="3B2DAE32" w14:textId="77777777" w:rsidR="006C55F5" w:rsidRPr="006C55F5" w:rsidRDefault="006C55F5">
            <w:pPr>
              <w:rPr>
                <w:color w:val="222222"/>
                <w:sz w:val="20"/>
                <w:szCs w:val="20"/>
              </w:rPr>
            </w:pPr>
            <w:r w:rsidRPr="006C55F5">
              <w:rPr>
                <w:color w:val="222222"/>
                <w:sz w:val="20"/>
                <w:szCs w:val="20"/>
              </w:rPr>
              <w:t>Catholic</w:t>
            </w:r>
          </w:p>
        </w:tc>
      </w:tr>
      <w:tr w:rsidR="006C55F5" w:rsidRPr="006C55F5" w14:paraId="3AF0682F" w14:textId="77777777" w:rsidTr="006C55F5">
        <w:trPr>
          <w:trHeight w:val="184"/>
        </w:trPr>
        <w:tc>
          <w:tcPr>
            <w:tcW w:w="2200" w:type="dxa"/>
            <w:vMerge/>
            <w:tcBorders>
              <w:top w:val="nil"/>
              <w:left w:val="nil"/>
              <w:bottom w:val="single" w:sz="8" w:space="0" w:color="000000"/>
              <w:right w:val="nil"/>
            </w:tcBorders>
            <w:vAlign w:val="center"/>
            <w:hideMark/>
          </w:tcPr>
          <w:p w14:paraId="7A9D9978"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0B158D47" w14:textId="77777777" w:rsidR="006C55F5" w:rsidRPr="006C55F5" w:rsidRDefault="006C55F5">
            <w:pPr>
              <w:rPr>
                <w:color w:val="222222"/>
                <w:sz w:val="20"/>
                <w:szCs w:val="20"/>
              </w:rPr>
            </w:pPr>
            <w:r w:rsidRPr="006C55F5">
              <w:rPr>
                <w:color w:val="222222"/>
                <w:sz w:val="20"/>
                <w:szCs w:val="20"/>
              </w:rPr>
              <w:t>2nd Religious group</w:t>
            </w:r>
          </w:p>
        </w:tc>
        <w:tc>
          <w:tcPr>
            <w:tcW w:w="4133" w:type="dxa"/>
            <w:tcBorders>
              <w:top w:val="nil"/>
              <w:left w:val="nil"/>
              <w:bottom w:val="single" w:sz="8" w:space="0" w:color="000000"/>
              <w:right w:val="nil"/>
            </w:tcBorders>
            <w:vAlign w:val="center"/>
            <w:hideMark/>
          </w:tcPr>
          <w:p w14:paraId="54D999DC" w14:textId="77777777" w:rsidR="006C55F5" w:rsidRPr="006C55F5" w:rsidRDefault="006C55F5">
            <w:pPr>
              <w:rPr>
                <w:color w:val="222222"/>
                <w:sz w:val="20"/>
                <w:szCs w:val="20"/>
              </w:rPr>
            </w:pPr>
            <w:r w:rsidRPr="006C55F5">
              <w:rPr>
                <w:color w:val="222222"/>
                <w:sz w:val="20"/>
                <w:szCs w:val="20"/>
              </w:rPr>
              <w:t>Evangelical</w:t>
            </w:r>
          </w:p>
        </w:tc>
      </w:tr>
      <w:tr w:rsidR="006C55F5" w:rsidRPr="006C55F5" w14:paraId="77C0A4E8" w14:textId="77777777" w:rsidTr="006C55F5">
        <w:trPr>
          <w:trHeight w:val="184"/>
        </w:trPr>
        <w:tc>
          <w:tcPr>
            <w:tcW w:w="2200" w:type="dxa"/>
            <w:vMerge/>
            <w:tcBorders>
              <w:top w:val="nil"/>
              <w:left w:val="nil"/>
              <w:bottom w:val="single" w:sz="8" w:space="0" w:color="000000"/>
              <w:right w:val="nil"/>
            </w:tcBorders>
            <w:vAlign w:val="center"/>
            <w:hideMark/>
          </w:tcPr>
          <w:p w14:paraId="33D9B60E"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422A0EE7" w14:textId="77777777" w:rsidR="006C55F5" w:rsidRPr="006C55F5" w:rsidRDefault="006C55F5">
            <w:pPr>
              <w:rPr>
                <w:color w:val="222222"/>
                <w:sz w:val="20"/>
                <w:szCs w:val="20"/>
              </w:rPr>
            </w:pPr>
            <w:r w:rsidRPr="006C55F5">
              <w:rPr>
                <w:color w:val="222222"/>
                <w:sz w:val="20"/>
                <w:szCs w:val="20"/>
              </w:rPr>
              <w:t>3rd Religious group</w:t>
            </w:r>
          </w:p>
        </w:tc>
        <w:tc>
          <w:tcPr>
            <w:tcW w:w="4133" w:type="dxa"/>
            <w:tcBorders>
              <w:top w:val="nil"/>
              <w:left w:val="nil"/>
              <w:bottom w:val="single" w:sz="8" w:space="0" w:color="000000"/>
              <w:right w:val="nil"/>
            </w:tcBorders>
            <w:vAlign w:val="center"/>
            <w:hideMark/>
          </w:tcPr>
          <w:p w14:paraId="628A8942" w14:textId="77777777" w:rsidR="006C55F5" w:rsidRPr="006C55F5" w:rsidRDefault="006C55F5">
            <w:pPr>
              <w:rPr>
                <w:color w:val="222222"/>
                <w:sz w:val="20"/>
                <w:szCs w:val="20"/>
              </w:rPr>
            </w:pPr>
            <w:r w:rsidRPr="006C55F5">
              <w:rPr>
                <w:color w:val="222222"/>
                <w:sz w:val="20"/>
                <w:szCs w:val="20"/>
              </w:rPr>
              <w:t>Jewish</w:t>
            </w:r>
          </w:p>
        </w:tc>
      </w:tr>
      <w:tr w:rsidR="006C55F5" w:rsidRPr="006C55F5" w14:paraId="69E6651C" w14:textId="77777777" w:rsidTr="006C55F5">
        <w:trPr>
          <w:trHeight w:val="184"/>
        </w:trPr>
        <w:tc>
          <w:tcPr>
            <w:tcW w:w="2200" w:type="dxa"/>
            <w:vMerge/>
            <w:tcBorders>
              <w:top w:val="nil"/>
              <w:left w:val="nil"/>
              <w:bottom w:val="single" w:sz="8" w:space="0" w:color="000000"/>
              <w:right w:val="nil"/>
            </w:tcBorders>
            <w:vAlign w:val="center"/>
            <w:hideMark/>
          </w:tcPr>
          <w:p w14:paraId="348342C1" w14:textId="77777777" w:rsidR="006C55F5" w:rsidRPr="006C55F5" w:rsidRDefault="006C55F5">
            <w:pPr>
              <w:rPr>
                <w:b/>
                <w:bCs/>
                <w:color w:val="222222"/>
                <w:sz w:val="20"/>
                <w:szCs w:val="20"/>
              </w:rPr>
            </w:pPr>
          </w:p>
        </w:tc>
        <w:tc>
          <w:tcPr>
            <w:tcW w:w="2498" w:type="dxa"/>
            <w:tcBorders>
              <w:top w:val="nil"/>
              <w:left w:val="nil"/>
              <w:bottom w:val="single" w:sz="8" w:space="0" w:color="000000"/>
              <w:right w:val="nil"/>
            </w:tcBorders>
            <w:vAlign w:val="center"/>
            <w:hideMark/>
          </w:tcPr>
          <w:p w14:paraId="2AA4C44D" w14:textId="77777777" w:rsidR="006C55F5" w:rsidRPr="006C55F5" w:rsidRDefault="006C55F5">
            <w:pPr>
              <w:rPr>
                <w:color w:val="222222"/>
                <w:sz w:val="20"/>
                <w:szCs w:val="20"/>
              </w:rPr>
            </w:pPr>
            <w:r w:rsidRPr="006C55F5">
              <w:rPr>
                <w:color w:val="222222"/>
                <w:sz w:val="20"/>
                <w:szCs w:val="20"/>
              </w:rPr>
              <w:t>Non-religious</w:t>
            </w:r>
          </w:p>
        </w:tc>
        <w:tc>
          <w:tcPr>
            <w:tcW w:w="4133" w:type="dxa"/>
            <w:tcBorders>
              <w:top w:val="nil"/>
              <w:left w:val="nil"/>
              <w:bottom w:val="single" w:sz="8" w:space="0" w:color="000000"/>
              <w:right w:val="nil"/>
            </w:tcBorders>
            <w:vAlign w:val="center"/>
            <w:hideMark/>
          </w:tcPr>
          <w:p w14:paraId="0E0B7DD1" w14:textId="77777777" w:rsidR="006C55F5" w:rsidRPr="006C55F5" w:rsidRDefault="006C55F5">
            <w:pPr>
              <w:rPr>
                <w:color w:val="222222"/>
                <w:sz w:val="20"/>
                <w:szCs w:val="20"/>
              </w:rPr>
            </w:pPr>
            <w:r w:rsidRPr="006C55F5">
              <w:rPr>
                <w:color w:val="222222"/>
                <w:sz w:val="20"/>
                <w:szCs w:val="20"/>
              </w:rPr>
              <w:t>Non-religious</w:t>
            </w:r>
          </w:p>
        </w:tc>
      </w:tr>
      <w:tr w:rsidR="006C55F5" w:rsidRPr="006C55F5" w14:paraId="3E579008" w14:textId="77777777" w:rsidTr="006C55F5">
        <w:trPr>
          <w:trHeight w:val="184"/>
        </w:trPr>
        <w:tc>
          <w:tcPr>
            <w:tcW w:w="2200" w:type="dxa"/>
            <w:vMerge w:val="restart"/>
            <w:tcBorders>
              <w:top w:val="nil"/>
              <w:left w:val="nil"/>
              <w:bottom w:val="single" w:sz="8" w:space="0" w:color="000000"/>
              <w:right w:val="nil"/>
            </w:tcBorders>
            <w:hideMark/>
          </w:tcPr>
          <w:p w14:paraId="46C1C720" w14:textId="77777777" w:rsidR="006C55F5" w:rsidRPr="006C55F5" w:rsidRDefault="006C55F5">
            <w:pPr>
              <w:rPr>
                <w:b/>
                <w:bCs/>
                <w:color w:val="222222"/>
                <w:sz w:val="20"/>
                <w:szCs w:val="20"/>
              </w:rPr>
            </w:pPr>
            <w:r w:rsidRPr="006C55F5">
              <w:rPr>
                <w:b/>
                <w:bCs/>
                <w:color w:val="222222"/>
                <w:sz w:val="20"/>
                <w:szCs w:val="20"/>
              </w:rPr>
              <w:t>Political orientation</w:t>
            </w:r>
          </w:p>
        </w:tc>
        <w:tc>
          <w:tcPr>
            <w:tcW w:w="2498" w:type="dxa"/>
            <w:tcBorders>
              <w:top w:val="nil"/>
              <w:left w:val="nil"/>
              <w:bottom w:val="single" w:sz="8" w:space="0" w:color="000000"/>
              <w:right w:val="nil"/>
            </w:tcBorders>
            <w:vAlign w:val="center"/>
            <w:hideMark/>
          </w:tcPr>
          <w:p w14:paraId="1300FC4E" w14:textId="77777777" w:rsidR="006C55F5" w:rsidRPr="006C55F5" w:rsidRDefault="006C55F5">
            <w:pPr>
              <w:rPr>
                <w:color w:val="222222"/>
                <w:sz w:val="20"/>
                <w:szCs w:val="20"/>
              </w:rPr>
            </w:pPr>
            <w:r w:rsidRPr="006C55F5">
              <w:rPr>
                <w:color w:val="222222"/>
                <w:sz w:val="20"/>
                <w:szCs w:val="20"/>
              </w:rPr>
              <w:t>Left</w:t>
            </w:r>
          </w:p>
        </w:tc>
        <w:tc>
          <w:tcPr>
            <w:tcW w:w="4133" w:type="dxa"/>
            <w:tcBorders>
              <w:top w:val="nil"/>
              <w:left w:val="nil"/>
              <w:bottom w:val="single" w:sz="8" w:space="0" w:color="000000"/>
              <w:right w:val="nil"/>
            </w:tcBorders>
            <w:vAlign w:val="center"/>
            <w:hideMark/>
          </w:tcPr>
          <w:p w14:paraId="27DC0278" w14:textId="77777777" w:rsidR="006C55F5" w:rsidRPr="006C55F5" w:rsidRDefault="006C55F5">
            <w:pPr>
              <w:rPr>
                <w:color w:val="222222"/>
                <w:sz w:val="20"/>
                <w:szCs w:val="20"/>
              </w:rPr>
            </w:pPr>
            <w:r w:rsidRPr="006C55F5">
              <w:rPr>
                <w:color w:val="222222"/>
                <w:sz w:val="20"/>
                <w:szCs w:val="20"/>
              </w:rPr>
              <w:t>Left-wing</w:t>
            </w:r>
          </w:p>
        </w:tc>
      </w:tr>
      <w:tr w:rsidR="006C55F5" w:rsidRPr="006C55F5" w14:paraId="02ECCC46" w14:textId="77777777" w:rsidTr="006C55F5">
        <w:trPr>
          <w:trHeight w:val="184"/>
        </w:trPr>
        <w:tc>
          <w:tcPr>
            <w:tcW w:w="2200" w:type="dxa"/>
            <w:vMerge/>
            <w:tcBorders>
              <w:top w:val="nil"/>
              <w:left w:val="nil"/>
              <w:bottom w:val="single" w:sz="8" w:space="0" w:color="000000"/>
              <w:right w:val="nil"/>
            </w:tcBorders>
            <w:vAlign w:val="center"/>
            <w:hideMark/>
          </w:tcPr>
          <w:p w14:paraId="403D65F6" w14:textId="77777777" w:rsidR="006C55F5" w:rsidRPr="006C55F5" w:rsidRDefault="006C55F5">
            <w:pPr>
              <w:textAlignment w:val="baseline"/>
              <w:rPr>
                <w:b/>
                <w:bCs/>
                <w:color w:val="222222"/>
                <w:sz w:val="20"/>
                <w:szCs w:val="20"/>
              </w:rPr>
            </w:pPr>
          </w:p>
        </w:tc>
        <w:tc>
          <w:tcPr>
            <w:tcW w:w="2498" w:type="dxa"/>
            <w:tcBorders>
              <w:top w:val="nil"/>
              <w:left w:val="nil"/>
              <w:bottom w:val="single" w:sz="8" w:space="0" w:color="000000"/>
              <w:right w:val="nil"/>
            </w:tcBorders>
            <w:vAlign w:val="center"/>
            <w:hideMark/>
          </w:tcPr>
          <w:p w14:paraId="0E7D6D28" w14:textId="77777777" w:rsidR="006C55F5" w:rsidRPr="006C55F5" w:rsidRDefault="006C55F5">
            <w:pPr>
              <w:textAlignment w:val="baseline"/>
              <w:rPr>
                <w:color w:val="222222"/>
                <w:sz w:val="20"/>
                <w:szCs w:val="20"/>
              </w:rPr>
            </w:pPr>
            <w:r w:rsidRPr="006C55F5">
              <w:rPr>
                <w:color w:val="222222"/>
                <w:sz w:val="20"/>
                <w:szCs w:val="20"/>
              </w:rPr>
              <w:t>Center</w:t>
            </w:r>
          </w:p>
        </w:tc>
        <w:tc>
          <w:tcPr>
            <w:tcW w:w="4133" w:type="dxa"/>
            <w:tcBorders>
              <w:top w:val="nil"/>
              <w:left w:val="nil"/>
              <w:bottom w:val="single" w:sz="8" w:space="0" w:color="000000"/>
              <w:right w:val="nil"/>
            </w:tcBorders>
            <w:vAlign w:val="center"/>
            <w:hideMark/>
          </w:tcPr>
          <w:p w14:paraId="7CD14263" w14:textId="77777777" w:rsidR="006C55F5" w:rsidRPr="006C55F5" w:rsidRDefault="006C55F5">
            <w:pPr>
              <w:textAlignment w:val="baseline"/>
              <w:rPr>
                <w:color w:val="222222"/>
                <w:sz w:val="20"/>
                <w:szCs w:val="20"/>
              </w:rPr>
            </w:pPr>
            <w:r w:rsidRPr="006C55F5">
              <w:rPr>
                <w:color w:val="222222"/>
                <w:sz w:val="20"/>
                <w:szCs w:val="20"/>
              </w:rPr>
              <w:t>Center</w:t>
            </w:r>
          </w:p>
        </w:tc>
      </w:tr>
      <w:tr w:rsidR="006C55F5" w:rsidRPr="006C55F5" w14:paraId="1C5E981E" w14:textId="77777777" w:rsidTr="006C55F5">
        <w:trPr>
          <w:trHeight w:val="184"/>
        </w:trPr>
        <w:tc>
          <w:tcPr>
            <w:tcW w:w="2200" w:type="dxa"/>
            <w:vMerge/>
            <w:tcBorders>
              <w:top w:val="nil"/>
              <w:left w:val="nil"/>
              <w:bottom w:val="single" w:sz="8" w:space="0" w:color="000000"/>
              <w:right w:val="nil"/>
            </w:tcBorders>
            <w:vAlign w:val="center"/>
            <w:hideMark/>
          </w:tcPr>
          <w:p w14:paraId="51655A18" w14:textId="77777777" w:rsidR="006C55F5" w:rsidRPr="006C55F5" w:rsidRDefault="006C55F5">
            <w:pPr>
              <w:textAlignment w:val="baseline"/>
              <w:rPr>
                <w:b/>
                <w:bCs/>
                <w:color w:val="222222"/>
                <w:sz w:val="20"/>
                <w:szCs w:val="20"/>
              </w:rPr>
            </w:pPr>
          </w:p>
        </w:tc>
        <w:tc>
          <w:tcPr>
            <w:tcW w:w="2498" w:type="dxa"/>
            <w:tcBorders>
              <w:top w:val="nil"/>
              <w:left w:val="nil"/>
              <w:bottom w:val="single" w:sz="8" w:space="0" w:color="000000"/>
              <w:right w:val="nil"/>
            </w:tcBorders>
            <w:vAlign w:val="center"/>
            <w:hideMark/>
          </w:tcPr>
          <w:p w14:paraId="383E1B32" w14:textId="77777777" w:rsidR="006C55F5" w:rsidRPr="006C55F5" w:rsidRDefault="006C55F5">
            <w:pPr>
              <w:textAlignment w:val="baseline"/>
              <w:rPr>
                <w:color w:val="222222"/>
                <w:sz w:val="20"/>
                <w:szCs w:val="20"/>
              </w:rPr>
            </w:pPr>
            <w:r w:rsidRPr="006C55F5">
              <w:rPr>
                <w:color w:val="222222"/>
                <w:sz w:val="20"/>
                <w:szCs w:val="20"/>
              </w:rPr>
              <w:t>Right</w:t>
            </w:r>
          </w:p>
        </w:tc>
        <w:tc>
          <w:tcPr>
            <w:tcW w:w="4133" w:type="dxa"/>
            <w:tcBorders>
              <w:top w:val="nil"/>
              <w:left w:val="nil"/>
              <w:bottom w:val="single" w:sz="8" w:space="0" w:color="000000"/>
              <w:right w:val="nil"/>
            </w:tcBorders>
            <w:vAlign w:val="center"/>
            <w:hideMark/>
          </w:tcPr>
          <w:p w14:paraId="41A61ACA" w14:textId="77777777" w:rsidR="006C55F5" w:rsidRPr="006C55F5" w:rsidRDefault="006C55F5">
            <w:pPr>
              <w:textAlignment w:val="baseline"/>
              <w:rPr>
                <w:color w:val="222222"/>
                <w:sz w:val="20"/>
                <w:szCs w:val="20"/>
              </w:rPr>
            </w:pPr>
            <w:r w:rsidRPr="006C55F5">
              <w:rPr>
                <w:color w:val="222222"/>
                <w:sz w:val="20"/>
                <w:szCs w:val="20"/>
              </w:rPr>
              <w:t>Right-wing</w:t>
            </w:r>
          </w:p>
        </w:tc>
      </w:tr>
      <w:tr w:rsidR="006C55F5" w:rsidRPr="006C55F5" w14:paraId="5367130D" w14:textId="77777777" w:rsidTr="006C55F5">
        <w:trPr>
          <w:trHeight w:val="184"/>
        </w:trPr>
        <w:tc>
          <w:tcPr>
            <w:tcW w:w="2200" w:type="dxa"/>
            <w:vMerge/>
            <w:tcBorders>
              <w:top w:val="nil"/>
              <w:left w:val="nil"/>
              <w:bottom w:val="single" w:sz="8" w:space="0" w:color="000000"/>
              <w:right w:val="nil"/>
            </w:tcBorders>
            <w:vAlign w:val="center"/>
            <w:hideMark/>
          </w:tcPr>
          <w:p w14:paraId="73FE7D7A" w14:textId="77777777" w:rsidR="006C55F5" w:rsidRPr="006C55F5" w:rsidRDefault="006C55F5">
            <w:pPr>
              <w:textAlignment w:val="baseline"/>
              <w:rPr>
                <w:b/>
                <w:bCs/>
                <w:color w:val="222222"/>
                <w:sz w:val="20"/>
                <w:szCs w:val="20"/>
              </w:rPr>
            </w:pPr>
          </w:p>
        </w:tc>
        <w:tc>
          <w:tcPr>
            <w:tcW w:w="2498" w:type="dxa"/>
            <w:tcBorders>
              <w:top w:val="nil"/>
              <w:left w:val="nil"/>
              <w:bottom w:val="single" w:sz="8" w:space="0" w:color="000000"/>
              <w:right w:val="nil"/>
            </w:tcBorders>
            <w:vAlign w:val="center"/>
            <w:hideMark/>
          </w:tcPr>
          <w:p w14:paraId="0520B593" w14:textId="77777777" w:rsidR="006C55F5" w:rsidRPr="006C55F5" w:rsidRDefault="006C55F5">
            <w:pPr>
              <w:textAlignment w:val="baseline"/>
              <w:rPr>
                <w:color w:val="222222"/>
                <w:sz w:val="20"/>
                <w:szCs w:val="20"/>
              </w:rPr>
            </w:pPr>
            <w:r w:rsidRPr="006C55F5">
              <w:rPr>
                <w:color w:val="222222"/>
                <w:sz w:val="20"/>
                <w:szCs w:val="20"/>
              </w:rPr>
              <w:t>Politically disinterested</w:t>
            </w:r>
          </w:p>
        </w:tc>
        <w:tc>
          <w:tcPr>
            <w:tcW w:w="4133" w:type="dxa"/>
            <w:tcBorders>
              <w:top w:val="nil"/>
              <w:left w:val="nil"/>
              <w:bottom w:val="single" w:sz="8" w:space="0" w:color="000000"/>
              <w:right w:val="nil"/>
            </w:tcBorders>
            <w:vAlign w:val="center"/>
            <w:hideMark/>
          </w:tcPr>
          <w:p w14:paraId="52E26C71" w14:textId="77777777" w:rsidR="006C55F5" w:rsidRPr="006C55F5" w:rsidRDefault="006C55F5">
            <w:pPr>
              <w:textAlignment w:val="baseline"/>
              <w:rPr>
                <w:color w:val="222222"/>
                <w:sz w:val="20"/>
                <w:szCs w:val="20"/>
              </w:rPr>
            </w:pPr>
            <w:r w:rsidRPr="006C55F5">
              <w:rPr>
                <w:color w:val="222222"/>
                <w:sz w:val="20"/>
                <w:szCs w:val="20"/>
              </w:rPr>
              <w:t>Disinterested</w:t>
            </w:r>
          </w:p>
        </w:tc>
      </w:tr>
      <w:tr w:rsidR="006C55F5" w:rsidRPr="006C55F5" w14:paraId="7DA60993" w14:textId="77777777" w:rsidTr="006C55F5">
        <w:trPr>
          <w:trHeight w:val="362"/>
        </w:trPr>
        <w:tc>
          <w:tcPr>
            <w:tcW w:w="2200" w:type="dxa"/>
            <w:vMerge w:val="restart"/>
            <w:tcBorders>
              <w:top w:val="nil"/>
              <w:left w:val="nil"/>
              <w:bottom w:val="single" w:sz="12" w:space="0" w:color="000000"/>
              <w:right w:val="nil"/>
            </w:tcBorders>
            <w:hideMark/>
          </w:tcPr>
          <w:p w14:paraId="3452B80F" w14:textId="77777777" w:rsidR="006C55F5" w:rsidRPr="006C55F5" w:rsidRDefault="006C55F5">
            <w:pPr>
              <w:textAlignment w:val="baseline"/>
              <w:rPr>
                <w:b/>
                <w:bCs/>
                <w:color w:val="222222"/>
                <w:sz w:val="20"/>
                <w:szCs w:val="20"/>
              </w:rPr>
            </w:pPr>
            <w:r w:rsidRPr="006C55F5">
              <w:rPr>
                <w:b/>
                <w:bCs/>
                <w:color w:val="222222"/>
                <w:sz w:val="20"/>
                <w:szCs w:val="20"/>
              </w:rPr>
              <w:t>Value orientation</w:t>
            </w:r>
          </w:p>
        </w:tc>
        <w:tc>
          <w:tcPr>
            <w:tcW w:w="2498" w:type="dxa"/>
            <w:tcBorders>
              <w:top w:val="nil"/>
              <w:left w:val="nil"/>
              <w:bottom w:val="single" w:sz="8" w:space="0" w:color="000000"/>
              <w:right w:val="nil"/>
            </w:tcBorders>
            <w:vAlign w:val="center"/>
            <w:hideMark/>
          </w:tcPr>
          <w:p w14:paraId="646BE539" w14:textId="77777777" w:rsidR="006C55F5" w:rsidRPr="006C55F5" w:rsidRDefault="006C55F5">
            <w:pPr>
              <w:textAlignment w:val="baseline"/>
              <w:rPr>
                <w:color w:val="222222"/>
                <w:sz w:val="20"/>
                <w:szCs w:val="20"/>
              </w:rPr>
            </w:pPr>
            <w:r w:rsidRPr="006C55F5">
              <w:rPr>
                <w:color w:val="222222"/>
                <w:sz w:val="20"/>
                <w:szCs w:val="20"/>
              </w:rPr>
              <w:t>Self-transcendence</w:t>
            </w:r>
          </w:p>
        </w:tc>
        <w:tc>
          <w:tcPr>
            <w:tcW w:w="4133" w:type="dxa"/>
            <w:tcBorders>
              <w:top w:val="nil"/>
              <w:left w:val="nil"/>
              <w:bottom w:val="single" w:sz="8" w:space="0" w:color="000000"/>
              <w:right w:val="nil"/>
            </w:tcBorders>
            <w:vAlign w:val="center"/>
            <w:hideMark/>
          </w:tcPr>
          <w:p w14:paraId="1A45AA61" w14:textId="77777777" w:rsidR="006C55F5" w:rsidRPr="006C55F5" w:rsidRDefault="006C55F5">
            <w:pPr>
              <w:textAlignment w:val="baseline"/>
              <w:rPr>
                <w:color w:val="222222"/>
                <w:sz w:val="20"/>
                <w:szCs w:val="20"/>
              </w:rPr>
            </w:pPr>
            <w:r w:rsidRPr="006C55F5">
              <w:rPr>
                <w:color w:val="222222"/>
                <w:sz w:val="20"/>
                <w:szCs w:val="20"/>
              </w:rPr>
              <w:t>Being tolerant and helping the people around you</w:t>
            </w:r>
          </w:p>
        </w:tc>
      </w:tr>
      <w:tr w:rsidR="006C55F5" w:rsidRPr="006C55F5" w14:paraId="08154980" w14:textId="77777777" w:rsidTr="006C55F5">
        <w:trPr>
          <w:trHeight w:val="362"/>
        </w:trPr>
        <w:tc>
          <w:tcPr>
            <w:tcW w:w="2200" w:type="dxa"/>
            <w:vMerge/>
            <w:tcBorders>
              <w:top w:val="nil"/>
              <w:left w:val="nil"/>
              <w:bottom w:val="single" w:sz="12" w:space="0" w:color="000000"/>
              <w:right w:val="nil"/>
            </w:tcBorders>
            <w:vAlign w:val="center"/>
            <w:hideMark/>
          </w:tcPr>
          <w:p w14:paraId="65CA5166" w14:textId="77777777" w:rsidR="006C55F5" w:rsidRPr="006C55F5" w:rsidRDefault="006C55F5">
            <w:pPr>
              <w:textAlignment w:val="baseline"/>
              <w:rPr>
                <w:b/>
                <w:bCs/>
                <w:color w:val="222222"/>
                <w:sz w:val="20"/>
                <w:szCs w:val="20"/>
              </w:rPr>
            </w:pPr>
          </w:p>
        </w:tc>
        <w:tc>
          <w:tcPr>
            <w:tcW w:w="2498" w:type="dxa"/>
            <w:tcBorders>
              <w:top w:val="nil"/>
              <w:left w:val="nil"/>
              <w:bottom w:val="single" w:sz="8" w:space="0" w:color="000000"/>
              <w:right w:val="nil"/>
            </w:tcBorders>
            <w:vAlign w:val="center"/>
            <w:hideMark/>
          </w:tcPr>
          <w:p w14:paraId="1DA19FC8" w14:textId="77777777" w:rsidR="006C55F5" w:rsidRPr="006C55F5" w:rsidRDefault="006C55F5">
            <w:pPr>
              <w:textAlignment w:val="baseline"/>
              <w:rPr>
                <w:color w:val="222222"/>
                <w:sz w:val="20"/>
                <w:szCs w:val="20"/>
              </w:rPr>
            </w:pPr>
            <w:r w:rsidRPr="006C55F5">
              <w:rPr>
                <w:color w:val="222222"/>
                <w:sz w:val="20"/>
                <w:szCs w:val="20"/>
              </w:rPr>
              <w:t>Conservation</w:t>
            </w:r>
          </w:p>
        </w:tc>
        <w:tc>
          <w:tcPr>
            <w:tcW w:w="4133" w:type="dxa"/>
            <w:tcBorders>
              <w:top w:val="nil"/>
              <w:left w:val="nil"/>
              <w:bottom w:val="single" w:sz="8" w:space="0" w:color="000000"/>
              <w:right w:val="nil"/>
            </w:tcBorders>
            <w:vAlign w:val="center"/>
            <w:hideMark/>
          </w:tcPr>
          <w:p w14:paraId="5C7B7A72" w14:textId="77777777" w:rsidR="006C55F5" w:rsidRPr="006C55F5" w:rsidRDefault="006C55F5">
            <w:pPr>
              <w:textAlignment w:val="baseline"/>
              <w:rPr>
                <w:color w:val="222222"/>
                <w:sz w:val="20"/>
                <w:szCs w:val="20"/>
              </w:rPr>
            </w:pPr>
            <w:r w:rsidRPr="006C55F5">
              <w:rPr>
                <w:color w:val="222222"/>
                <w:sz w:val="20"/>
                <w:szCs w:val="20"/>
              </w:rPr>
              <w:t>Feeling safe, adapting to others, and respecting traditions</w:t>
            </w:r>
          </w:p>
        </w:tc>
      </w:tr>
      <w:tr w:rsidR="006C55F5" w:rsidRPr="006C55F5" w14:paraId="00AC465C" w14:textId="77777777" w:rsidTr="006C55F5">
        <w:trPr>
          <w:trHeight w:val="362"/>
        </w:trPr>
        <w:tc>
          <w:tcPr>
            <w:tcW w:w="2200" w:type="dxa"/>
            <w:vMerge/>
            <w:tcBorders>
              <w:top w:val="nil"/>
              <w:left w:val="nil"/>
              <w:bottom w:val="single" w:sz="12" w:space="0" w:color="000000"/>
              <w:right w:val="nil"/>
            </w:tcBorders>
            <w:vAlign w:val="center"/>
            <w:hideMark/>
          </w:tcPr>
          <w:p w14:paraId="33B15E0F" w14:textId="77777777" w:rsidR="006C55F5" w:rsidRPr="006C55F5" w:rsidRDefault="006C55F5">
            <w:pPr>
              <w:textAlignment w:val="baseline"/>
              <w:rPr>
                <w:b/>
                <w:bCs/>
                <w:color w:val="222222"/>
                <w:sz w:val="20"/>
                <w:szCs w:val="20"/>
              </w:rPr>
            </w:pPr>
          </w:p>
        </w:tc>
        <w:tc>
          <w:tcPr>
            <w:tcW w:w="2498" w:type="dxa"/>
            <w:tcBorders>
              <w:top w:val="nil"/>
              <w:left w:val="nil"/>
              <w:bottom w:val="single" w:sz="8" w:space="0" w:color="000000"/>
              <w:right w:val="nil"/>
            </w:tcBorders>
            <w:vAlign w:val="center"/>
            <w:hideMark/>
          </w:tcPr>
          <w:p w14:paraId="367245E2" w14:textId="77777777" w:rsidR="006C55F5" w:rsidRPr="006C55F5" w:rsidRDefault="006C55F5">
            <w:pPr>
              <w:textAlignment w:val="baseline"/>
              <w:rPr>
                <w:color w:val="222222"/>
                <w:sz w:val="20"/>
                <w:szCs w:val="20"/>
              </w:rPr>
            </w:pPr>
            <w:r w:rsidRPr="006C55F5">
              <w:rPr>
                <w:color w:val="222222"/>
                <w:sz w:val="20"/>
                <w:szCs w:val="20"/>
              </w:rPr>
              <w:t>Self-improvement</w:t>
            </w:r>
          </w:p>
        </w:tc>
        <w:tc>
          <w:tcPr>
            <w:tcW w:w="4133" w:type="dxa"/>
            <w:tcBorders>
              <w:top w:val="nil"/>
              <w:left w:val="nil"/>
              <w:bottom w:val="single" w:sz="8" w:space="0" w:color="000000"/>
              <w:right w:val="nil"/>
            </w:tcBorders>
            <w:vAlign w:val="center"/>
            <w:hideMark/>
          </w:tcPr>
          <w:p w14:paraId="58EFC02C" w14:textId="77777777" w:rsidR="006C55F5" w:rsidRPr="006C55F5" w:rsidRDefault="006C55F5">
            <w:pPr>
              <w:textAlignment w:val="baseline"/>
              <w:rPr>
                <w:color w:val="222222"/>
                <w:sz w:val="20"/>
                <w:szCs w:val="20"/>
              </w:rPr>
            </w:pPr>
            <w:r w:rsidRPr="006C55F5">
              <w:rPr>
                <w:color w:val="222222"/>
                <w:sz w:val="20"/>
                <w:szCs w:val="20"/>
              </w:rPr>
              <w:t>Achieving personal success and being in charge</w:t>
            </w:r>
          </w:p>
        </w:tc>
      </w:tr>
      <w:tr w:rsidR="006C55F5" w:rsidRPr="006C55F5" w14:paraId="7AB8F004" w14:textId="77777777" w:rsidTr="006C55F5">
        <w:trPr>
          <w:trHeight w:val="362"/>
        </w:trPr>
        <w:tc>
          <w:tcPr>
            <w:tcW w:w="2200" w:type="dxa"/>
            <w:vMerge/>
            <w:tcBorders>
              <w:top w:val="nil"/>
              <w:left w:val="nil"/>
              <w:bottom w:val="single" w:sz="12" w:space="0" w:color="000000"/>
              <w:right w:val="nil"/>
            </w:tcBorders>
            <w:vAlign w:val="center"/>
            <w:hideMark/>
          </w:tcPr>
          <w:p w14:paraId="6C13D9E3" w14:textId="77777777" w:rsidR="006C55F5" w:rsidRPr="006C55F5" w:rsidRDefault="006C55F5">
            <w:pPr>
              <w:textAlignment w:val="baseline"/>
              <w:rPr>
                <w:b/>
                <w:bCs/>
                <w:color w:val="222222"/>
                <w:sz w:val="20"/>
                <w:szCs w:val="20"/>
              </w:rPr>
            </w:pPr>
          </w:p>
        </w:tc>
        <w:tc>
          <w:tcPr>
            <w:tcW w:w="2498" w:type="dxa"/>
            <w:tcBorders>
              <w:top w:val="nil"/>
              <w:left w:val="nil"/>
              <w:bottom w:val="single" w:sz="12" w:space="0" w:color="000000"/>
              <w:right w:val="nil"/>
            </w:tcBorders>
            <w:vAlign w:val="center"/>
            <w:hideMark/>
          </w:tcPr>
          <w:p w14:paraId="509AC896" w14:textId="77777777" w:rsidR="006C55F5" w:rsidRPr="006C55F5" w:rsidRDefault="006C55F5">
            <w:pPr>
              <w:textAlignment w:val="baseline"/>
              <w:rPr>
                <w:color w:val="222222"/>
                <w:sz w:val="20"/>
                <w:szCs w:val="20"/>
              </w:rPr>
            </w:pPr>
            <w:r w:rsidRPr="006C55F5">
              <w:rPr>
                <w:color w:val="222222"/>
                <w:sz w:val="20"/>
                <w:szCs w:val="20"/>
              </w:rPr>
              <w:t>Openness to change</w:t>
            </w:r>
          </w:p>
        </w:tc>
        <w:tc>
          <w:tcPr>
            <w:tcW w:w="4133" w:type="dxa"/>
            <w:tcBorders>
              <w:top w:val="nil"/>
              <w:left w:val="nil"/>
              <w:bottom w:val="single" w:sz="12" w:space="0" w:color="000000"/>
              <w:right w:val="nil"/>
            </w:tcBorders>
            <w:vAlign w:val="center"/>
            <w:hideMark/>
          </w:tcPr>
          <w:p w14:paraId="5D0DEFE4" w14:textId="77777777" w:rsidR="006C55F5" w:rsidRPr="006C55F5" w:rsidRDefault="006C55F5">
            <w:pPr>
              <w:textAlignment w:val="baseline"/>
              <w:rPr>
                <w:color w:val="222222"/>
                <w:sz w:val="20"/>
                <w:szCs w:val="20"/>
              </w:rPr>
            </w:pPr>
            <w:r w:rsidRPr="006C55F5">
              <w:rPr>
                <w:color w:val="222222"/>
                <w:sz w:val="20"/>
                <w:szCs w:val="20"/>
              </w:rPr>
              <w:t>Making your own decisions and leading a fun and adventurous life.</w:t>
            </w:r>
          </w:p>
        </w:tc>
      </w:tr>
    </w:tbl>
    <w:p w14:paraId="47AD953C" w14:textId="77777777" w:rsidR="006C55F5" w:rsidRDefault="006C55F5">
      <w:pPr>
        <w:spacing w:after="200" w:line="276" w:lineRule="auto"/>
        <w:jc w:val="both"/>
      </w:pPr>
    </w:p>
    <w:p w14:paraId="7314324A" w14:textId="51455303" w:rsidR="00F4048E" w:rsidRDefault="00EC4298">
      <w:pPr>
        <w:spacing w:after="200" w:line="276" w:lineRule="auto"/>
        <w:jc w:val="both"/>
      </w:pPr>
      <w:r>
        <w:t>Vignettes capture socioeconomic position through two dimensions: educational attainment and income level. Education is operationalized at three levels: completing primary school (low), completing secondary school (medium), and obtaining a university degree (high). Income is likewise varied across three levels reflecting the Chilean wage distribution: $500,000 (</w:t>
      </w:r>
      <w:r w:rsidR="0006771B">
        <w:t>close to minimum income</w:t>
      </w:r>
      <w:r>
        <w:t>), $910,000 (medium, approximately the national median), and $4,100,000 (</w:t>
      </w:r>
      <w:r w:rsidR="0006771B">
        <w:t>mean 10</w:t>
      </w:r>
      <w:r w:rsidR="0006771B" w:rsidRPr="0006771B">
        <w:rPr>
          <w:vertAlign w:val="superscript"/>
        </w:rPr>
        <w:t>th</w:t>
      </w:r>
      <w:r w:rsidR="0006771B">
        <w:t xml:space="preserve"> decile</w:t>
      </w:r>
      <w:r>
        <w:t>) Chilean pesos per month. Together, these dimensions enable the assessment of how vertical socioeconomic distinctions shape cohesive expectations among individuals occupying different positions in the social hierarchy.</w:t>
      </w:r>
    </w:p>
    <w:p w14:paraId="68DA3372" w14:textId="6B626B34" w:rsidR="00F4048E" w:rsidRDefault="005A1A08">
      <w:pPr>
        <w:spacing w:after="200" w:line="276" w:lineRule="auto"/>
        <w:jc w:val="both"/>
      </w:pPr>
      <w:r>
        <w:lastRenderedPageBreak/>
        <w:t xml:space="preserve">Sociocultural position is represented through migration background and religious affiliation. Migration background is varied across three levels: no migration background (born in Chile of Chilean parents), second-generation migrant (born in Chile of Peruvian parents), and first-generation migrant (born in Venezuela, came to Chile). These levels reflect the two most prominent migrant groups in contemporary Chile and allow for the assessment of ethnic and national origin as sources of social differentiation. Religious affiliation </w:t>
      </w:r>
      <w:r w:rsidR="00EC4298">
        <w:t>is divided into</w:t>
      </w:r>
      <w:r>
        <w:t xml:space="preserve"> four categories: Catholic, Evangelical, Jewish, and non-religious. This variation captures both the dominant confessional cleavages in Chilean society and the growing secular segment of the population, allowing for an examination of how religious identity shapes patterns of trust and social distance.</w:t>
      </w:r>
    </w:p>
    <w:p w14:paraId="15F49247" w14:textId="79EC9ABC" w:rsidR="00F4048E" w:rsidRDefault="005A1A08">
      <w:pPr>
        <w:spacing w:after="200" w:line="276" w:lineRule="auto"/>
        <w:jc w:val="both"/>
      </w:pPr>
      <w:r>
        <w:t xml:space="preserve">Value and ideological positions are </w:t>
      </w:r>
      <w:r w:rsidR="00504D45">
        <w:t>operationalized</w:t>
      </w:r>
      <w:r>
        <w:t xml:space="preserve"> through two further dimensions. Political orientation is varied across four levels: left-wing, </w:t>
      </w:r>
      <w:r w:rsidR="00504D45">
        <w:t>center</w:t>
      </w:r>
      <w:r>
        <w:t xml:space="preserve">, right-wing, and politically disinterested, reflecting the main positions along the left-right spectrum that structures political identity in Chile. Value orientation draws on basic human values </w:t>
      </w:r>
      <w:r w:rsidR="00953419">
        <w:t xml:space="preserve">perspective </w:t>
      </w:r>
      <w:r w:rsidR="006F5EA1">
        <w:fldChar w:fldCharType="begin"/>
      </w:r>
      <w:r w:rsidR="006F5EA1">
        <w:instrText xml:space="preserve"> ADDIN ZOTERO_ITEM CSL_CITATION {"citationID":"qOXOcalr","properties":{"unsorted":false,"formattedCitation":"(Schwartz, 1992)","plainCitation":"(Schwartz, 1992)","noteIndex":0},"citationItems":[{"id":19001,"uris":["http://zotero.org/users/5414506/items/9ICT3U38"],"itemData":{"id":19001,"type":"chapter","citation-key":"schwartz_universals_1992","container-title":"Advances in Experimental Social Psychology","DOI":"10.1016/S0065-2601(08)60281-6","ISBN":"978-0-12-015225-4","language":"en","page":"1-65","publisher":"Elsevier","source":"DOI.org (Crossref)","title":"Universals in the Content and Structure of Values: Theoretical Advances and Empirical Tests in 20 Countries","title-short":"Universals in the Content and Structure of Values","URL":"https://linkinghub.elsevier.com/retrieve/pii/S0065260108602816","volume":"25","author":[{"family":"Schwartz","given":"Shalom H."}],"accessed":{"date-parts":[["2025",1,8]]},"issued":{"date-parts":[["1992"]]}}}],"schema":"https://github.com/citation-style-language/schema/raw/master/csl-citation.json"} </w:instrText>
      </w:r>
      <w:r w:rsidR="006F5EA1">
        <w:fldChar w:fldCharType="separate"/>
      </w:r>
      <w:r w:rsidR="006F5EA1" w:rsidRPr="006F5EA1">
        <w:t>(Schwartz, 1992)</w:t>
      </w:r>
      <w:r w:rsidR="006F5EA1">
        <w:fldChar w:fldCharType="end"/>
      </w:r>
      <w:r w:rsidR="00B02867">
        <w:t xml:space="preserve"> </w:t>
      </w:r>
      <w:r w:rsidR="0023469B">
        <w:t xml:space="preserve"> </w:t>
      </w:r>
      <w:r>
        <w:t>and is varied across four higher-order orientations: self-transcendence (being tolerant and helping others), conservation (feeling safe, adapting to others, and respecting traditions), self-enhancement (achieving personal success and being in charge), and openness to change (making one's own decisions and leading a fun and adventurous life). These dimensions enable the examination of whether value similarity or ideological alignment drives cohesive expectations, and whether certain value profiles are perceived as more trustworthy or cooperative than others.</w:t>
      </w:r>
    </w:p>
    <w:p w14:paraId="629C7CEA" w14:textId="77777777" w:rsidR="00F4048E" w:rsidRDefault="005A1A08">
      <w:pPr>
        <w:spacing w:after="200" w:line="276" w:lineRule="auto"/>
        <w:jc w:val="both"/>
      </w:pPr>
      <w:r>
        <w:t xml:space="preserve">In addition to these substantive dimensions, each vignette also includes sociodemographic characteristics — binary sex (male/female), age group, and employment status — which serve to increase the realism and plausibility of the vignette persons rather than as focal predictors of interest. An example vignette reads as follows: </w:t>
      </w:r>
      <w:r>
        <w:rPr>
          <w:i/>
          <w:iCs/>
        </w:rPr>
        <w:t>"Person A is male and 45 years old. He was born in Venezuela, came to Chile, and is Catholic. Person A completed secondary education, is employed full-time, and has a monthly income of $4,100,000 at his disposal. He considers himself politically left-wing. For Person A, it is important to make his own decisions and lead a fun and adventurous life."</w:t>
      </w:r>
    </w:p>
    <w:p w14:paraId="28711605" w14:textId="34791511" w:rsidR="00F4048E" w:rsidRDefault="005A1A08">
      <w:pPr>
        <w:pStyle w:val="Heading2"/>
      </w:pPr>
      <w:r>
        <w:t xml:space="preserve">3.3 </w:t>
      </w:r>
      <w:r w:rsidR="00F85651">
        <w:t>Outcome variable</w:t>
      </w:r>
    </w:p>
    <w:p w14:paraId="15667EB5" w14:textId="238556A2" w:rsidR="00F4048E" w:rsidRDefault="005A1A08">
      <w:pPr>
        <w:spacing w:after="200" w:line="276" w:lineRule="auto"/>
        <w:jc w:val="both"/>
      </w:pPr>
      <w:r>
        <w:t xml:space="preserve">This study focuses on </w:t>
      </w:r>
      <w:r w:rsidR="00660655" w:rsidRPr="00660655">
        <w:t>positive interactional expectations</w:t>
      </w:r>
      <w:r w:rsidR="00660655">
        <w:t xml:space="preserve">, operationalized by the likelihood of </w:t>
      </w:r>
      <w:r>
        <w:t xml:space="preserve">getting along with the vignette person. Respondents were asked, </w:t>
      </w:r>
      <w:r>
        <w:rPr>
          <w:i/>
          <w:iCs/>
        </w:rPr>
        <w:t>"Imagine you meet person [ID] through your circle of acquaintances. How likely is it that you will get along with person [ID]?"</w:t>
      </w:r>
      <w:r>
        <w:t xml:space="preserve"> Responses were recorded on an 11-point scale ranging from 0 ("</w:t>
      </w:r>
      <w:r>
        <w:rPr>
          <w:i/>
          <w:iCs/>
        </w:rPr>
        <w:t>Not likely at all</w:t>
      </w:r>
      <w:r>
        <w:t>") to 10 ("</w:t>
      </w:r>
      <w:r>
        <w:rPr>
          <w:i/>
          <w:iCs/>
        </w:rPr>
        <w:t>Absolutely likely</w:t>
      </w:r>
      <w:r>
        <w:t xml:space="preserve">"). In the analytical sample, the outcome has a mean of </w:t>
      </w:r>
      <w:r w:rsidR="00E86B34">
        <w:t>6.2</w:t>
      </w:r>
      <w:r w:rsidR="00B50A73">
        <w:t xml:space="preserve">, median of 6.0 and standard deviation of </w:t>
      </w:r>
      <w:r w:rsidR="00B50A73" w:rsidRPr="00B50A73">
        <w:t>2.7</w:t>
      </w:r>
      <w:r>
        <w:t>.</w:t>
      </w:r>
    </w:p>
    <w:p w14:paraId="1817A4C5" w14:textId="45D43919" w:rsidR="00F4048E" w:rsidRDefault="005A1A08">
      <w:pPr>
        <w:spacing w:after="200" w:line="276" w:lineRule="auto"/>
        <w:jc w:val="both"/>
      </w:pPr>
      <w:r>
        <w:t xml:space="preserve">Conceptually, this item captures what may be </w:t>
      </w:r>
      <w:r w:rsidR="00B966A0">
        <w:t>termed as</w:t>
      </w:r>
      <w:r>
        <w:t xml:space="preserve"> a </w:t>
      </w:r>
      <w:r w:rsidR="006E2890" w:rsidRPr="00E13F7F">
        <w:rPr>
          <w:i/>
          <w:iCs/>
        </w:rPr>
        <w:t>positive interactional expectation</w:t>
      </w:r>
      <w:r w:rsidR="002E2367">
        <w:t>, understood</w:t>
      </w:r>
      <w:r>
        <w:t xml:space="preserve"> a positive interpersonal orientation toward an unknown other that functions as a precondition for voluntary social association. While closely related to social trust, this formulation </w:t>
      </w:r>
      <w:r w:rsidR="00681061">
        <w:lastRenderedPageBreak/>
        <w:t>omits</w:t>
      </w:r>
      <w:r>
        <w:t xml:space="preserve"> the explicit risk dimension foregrounded in rational-choice accounts of trust (Coleman, 1990), focusing instead on the </w:t>
      </w:r>
      <w:r w:rsidR="00785ED2">
        <w:t>effective</w:t>
      </w:r>
      <w:r>
        <w:t xml:space="preserve"> and anticipatory component of social cohesion — the willingness to engage with and form ties with others across social boundaries. The terms </w:t>
      </w:r>
      <w:r>
        <w:rPr>
          <w:i/>
          <w:iCs/>
        </w:rPr>
        <w:t>get along</w:t>
      </w:r>
      <w:r>
        <w:t xml:space="preserve"> and </w:t>
      </w:r>
      <w:r w:rsidR="007C0AA7" w:rsidRPr="007C0AA7">
        <w:rPr>
          <w:i/>
          <w:iCs/>
        </w:rPr>
        <w:t>positive interactional expectations</w:t>
      </w:r>
      <w:r w:rsidR="00B84547">
        <w:rPr>
          <w:i/>
          <w:iCs/>
        </w:rPr>
        <w:t xml:space="preserve"> </w:t>
      </w:r>
      <w:r>
        <w:t>are used interchangeably throughout.</w:t>
      </w:r>
    </w:p>
    <w:p w14:paraId="5E18EA30" w14:textId="77777777" w:rsidR="00F4048E" w:rsidRDefault="005A1A08">
      <w:pPr>
        <w:pStyle w:val="Heading2"/>
      </w:pPr>
      <w:r>
        <w:t>3.4 Empirical Strategy</w:t>
      </w:r>
    </w:p>
    <w:p w14:paraId="7CDD1E5B" w14:textId="5CAE4238" w:rsidR="00F4048E" w:rsidRDefault="005A1A08">
      <w:pPr>
        <w:spacing w:after="200" w:line="276" w:lineRule="auto"/>
        <w:jc w:val="both"/>
      </w:pPr>
      <w:r>
        <w:t xml:space="preserve">The nested structure of the data — vignette evaluations (Level 1) clustered within respondents (Level 2) — requires an analytical approach that accounts for the non-independence of observations. Respondents evaluate multiple vignettes, and their ratings are likely to be more similar to one another than to those of other respondents, due to stable individual-level dispositions such as general levels of trust or openness. Multilevel linear models (MLM) are therefore employed throughout, estimated using the </w:t>
      </w:r>
      <w:r>
        <w:rPr>
          <w:i/>
          <w:iCs/>
        </w:rPr>
        <w:t>lme4</w:t>
      </w:r>
      <w:r>
        <w:t xml:space="preserve"> package in R</w:t>
      </w:r>
      <w:r w:rsidR="00916E6A">
        <w:t xml:space="preserve"> </w:t>
      </w:r>
      <w:r w:rsidR="00916E6A">
        <w:fldChar w:fldCharType="begin"/>
      </w:r>
      <w:r w:rsidR="00916E6A">
        <w:instrText xml:space="preserve"> ADDIN ZOTERO_ITEM CSL_CITATION {"citationID":"m131FXpX","properties":{"unsorted":false,"formattedCitation":"(Bates et al., 2015)","plainCitation":"(Bates et al., 2015)","noteIndex":0},"citationItems":[{"id":2286,"uris":["http://zotero.org/users/5414506/items/WQ7E8KGJ"],"itemData":{"id":2286,"type":"article-journal","citation-key":"bates_fitting_2015","container-title":"Journal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916E6A">
        <w:fldChar w:fldCharType="separate"/>
      </w:r>
      <w:r w:rsidR="00916E6A" w:rsidRPr="00916E6A">
        <w:t>(Bates et al., 2015)</w:t>
      </w:r>
      <w:r w:rsidR="00916E6A">
        <w:fldChar w:fldCharType="end"/>
      </w:r>
      <w:r>
        <w:t>.</w:t>
      </w:r>
    </w:p>
    <w:p w14:paraId="5134C222" w14:textId="33433D11" w:rsidR="00347A46" w:rsidRDefault="00347A46">
      <w:pPr>
        <w:spacing w:after="200" w:line="276" w:lineRule="auto"/>
        <w:jc w:val="both"/>
      </w:pPr>
      <w:r w:rsidRPr="00347A46">
        <w:t xml:space="preserve">The analysis proceeds in two steps. First, a set of models is estimated with only vignette-level characteristics as predictors at Level 1 (within respondents), yielding estimates of the average effect of each vignette attribute on friendship willingness across the full sample. These models include a random intercept for each respondent, allowing the baseline level of the outcome to vary across individuals, and random slopes for vignette-level predictors, allowing the effect of vignette characteristics to vary across respondents. The intraclass correlation coefficient (ICC) of the null model is 0.559, indicating that approximately 56% of the total variance in </w:t>
      </w:r>
      <w:r w:rsidR="00A0046C">
        <w:t xml:space="preserve">getting along </w:t>
      </w:r>
      <w:r w:rsidRPr="00347A46">
        <w:t xml:space="preserve">is attributable to differences between respondents rather than variation across vignettes, which confirms that individuals cluster strongly in their responses and that a multilevel specification is </w:t>
      </w:r>
      <w:r w:rsidR="0001028A">
        <w:t>appropriate</w:t>
      </w:r>
      <w:r w:rsidRPr="00347A46">
        <w:t>.</w:t>
      </w:r>
    </w:p>
    <w:p w14:paraId="13E0B3D8" w14:textId="455B0DFF" w:rsidR="00F4048E" w:rsidRDefault="005A1A08">
      <w:pPr>
        <w:spacing w:after="200" w:line="276" w:lineRule="auto"/>
        <w:jc w:val="both"/>
      </w:pPr>
      <w:r>
        <w:t>Second, cross-level interaction models are estimated to test the homophily hypothesis — the expectation that respondents evaluate vignette persons more positively when those persons share their own social characteristics. Cross-level interactions are specified between respondent-level characteristics (e.g., respondent income, political orientation, value profile) and the corresponding vignette-level dimensions. The general form of the combined model is:</w:t>
      </w:r>
    </w:p>
    <w:p w14:paraId="2E6023F6" w14:textId="63F56D6E" w:rsidR="00F4048E" w:rsidRDefault="005A1A08">
      <w:pPr>
        <w:spacing w:before="160" w:after="160"/>
        <w:jc w:val="center"/>
      </w:pPr>
      <w:proofErr w:type="spellStart"/>
      <w:r>
        <w:rPr>
          <w:i/>
          <w:iCs/>
        </w:rPr>
        <w:t>Y</w:t>
      </w:r>
      <w:r>
        <w:rPr>
          <w:sz w:val="18"/>
          <w:szCs w:val="18"/>
          <w:vertAlign w:val="subscript"/>
        </w:rPr>
        <w:t>ij</w:t>
      </w:r>
      <w:proofErr w:type="spellEnd"/>
      <w:r>
        <w:t xml:space="preserve"> = γ</w:t>
      </w:r>
      <w:r>
        <w:rPr>
          <w:sz w:val="18"/>
          <w:szCs w:val="18"/>
          <w:vertAlign w:val="subscript"/>
        </w:rPr>
        <w:t>00</w:t>
      </w:r>
      <w:r>
        <w:t xml:space="preserve"> + γ</w:t>
      </w:r>
      <w:r>
        <w:rPr>
          <w:sz w:val="18"/>
          <w:szCs w:val="18"/>
          <w:vertAlign w:val="subscript"/>
        </w:rPr>
        <w:t>01</w:t>
      </w:r>
      <w:r>
        <w:rPr>
          <w:i/>
          <w:iCs/>
        </w:rPr>
        <w:t>RespChar</w:t>
      </w:r>
      <w:r>
        <w:rPr>
          <w:sz w:val="18"/>
          <w:szCs w:val="18"/>
          <w:vertAlign w:val="subscript"/>
        </w:rPr>
        <w:t>j</w:t>
      </w:r>
      <w:r>
        <w:t xml:space="preserve"> + γ</w:t>
      </w:r>
      <w:r>
        <w:rPr>
          <w:sz w:val="18"/>
          <w:szCs w:val="18"/>
          <w:vertAlign w:val="subscript"/>
        </w:rPr>
        <w:t>10</w:t>
      </w:r>
      <w:r>
        <w:rPr>
          <w:i/>
          <w:iCs/>
        </w:rPr>
        <w:t>VigChar</w:t>
      </w:r>
      <w:r>
        <w:rPr>
          <w:sz w:val="18"/>
          <w:szCs w:val="18"/>
          <w:vertAlign w:val="subscript"/>
        </w:rPr>
        <w:t>ij</w:t>
      </w:r>
      <w:r>
        <w:t xml:space="preserve"> + γ</w:t>
      </w:r>
      <w:r>
        <w:rPr>
          <w:sz w:val="18"/>
          <w:szCs w:val="18"/>
          <w:vertAlign w:val="subscript"/>
        </w:rPr>
        <w:t>11</w:t>
      </w:r>
      <w:r>
        <w:rPr>
          <w:i/>
          <w:iCs/>
        </w:rPr>
        <w:t>(</w:t>
      </w:r>
      <w:proofErr w:type="spellStart"/>
      <w:r>
        <w:rPr>
          <w:i/>
          <w:iCs/>
        </w:rPr>
        <w:t>RespChar</w:t>
      </w:r>
      <w:r>
        <w:rPr>
          <w:sz w:val="18"/>
          <w:szCs w:val="18"/>
          <w:vertAlign w:val="subscript"/>
        </w:rPr>
        <w:t>j</w:t>
      </w:r>
      <w:proofErr w:type="spellEnd"/>
      <w:r>
        <w:rPr>
          <w:i/>
          <w:iCs/>
        </w:rPr>
        <w:t xml:space="preserve"> × </w:t>
      </w:r>
      <w:proofErr w:type="spellStart"/>
      <w:r>
        <w:rPr>
          <w:i/>
          <w:iCs/>
        </w:rPr>
        <w:t>VigChar</w:t>
      </w:r>
      <w:r>
        <w:rPr>
          <w:sz w:val="18"/>
          <w:szCs w:val="18"/>
          <w:vertAlign w:val="subscript"/>
        </w:rPr>
        <w:t>ij</w:t>
      </w:r>
      <w:proofErr w:type="spellEnd"/>
      <w:r>
        <w:t>) + u</w:t>
      </w:r>
      <w:r>
        <w:rPr>
          <w:sz w:val="18"/>
          <w:szCs w:val="18"/>
          <w:vertAlign w:val="subscript"/>
        </w:rPr>
        <w:t>0j</w:t>
      </w:r>
      <w:r>
        <w:t xml:space="preserve"> + u</w:t>
      </w:r>
      <w:r>
        <w:rPr>
          <w:sz w:val="18"/>
          <w:szCs w:val="18"/>
          <w:vertAlign w:val="subscript"/>
        </w:rPr>
        <w:t>1j</w:t>
      </w:r>
      <w:r>
        <w:rPr>
          <w:i/>
          <w:iCs/>
        </w:rPr>
        <w:t>VigChar</w:t>
      </w:r>
      <w:r>
        <w:rPr>
          <w:sz w:val="18"/>
          <w:szCs w:val="18"/>
          <w:vertAlign w:val="subscript"/>
        </w:rPr>
        <w:t>ij</w:t>
      </w:r>
      <w:r>
        <w:t xml:space="preserve"> + </w:t>
      </w:r>
      <w:proofErr w:type="spellStart"/>
      <w:r>
        <w:t>r</w:t>
      </w:r>
      <w:r>
        <w:rPr>
          <w:sz w:val="18"/>
          <w:szCs w:val="18"/>
          <w:vertAlign w:val="subscript"/>
        </w:rPr>
        <w:t>ij</w:t>
      </w:r>
      <w:proofErr w:type="spellEnd"/>
      <w:r w:rsidR="00BE5E6A">
        <w:rPr>
          <w:sz w:val="18"/>
          <w:szCs w:val="18"/>
          <w:vertAlign w:val="subscript"/>
        </w:rPr>
        <w:t xml:space="preserve">    </w:t>
      </w:r>
    </w:p>
    <w:p w14:paraId="39505A93" w14:textId="30D6BBF0" w:rsidR="00F4048E" w:rsidRDefault="005A1A08">
      <w:pPr>
        <w:spacing w:before="160" w:after="200" w:line="276" w:lineRule="auto"/>
        <w:jc w:val="both"/>
      </w:pPr>
      <w:r>
        <w:t xml:space="preserve">where </w:t>
      </w:r>
      <w:proofErr w:type="spellStart"/>
      <w:r>
        <w:t>Y</w:t>
      </w:r>
      <w:r>
        <w:rPr>
          <w:sz w:val="18"/>
          <w:szCs w:val="18"/>
          <w:vertAlign w:val="subscript"/>
        </w:rPr>
        <w:t>ij</w:t>
      </w:r>
      <w:proofErr w:type="spellEnd"/>
      <w:r>
        <w:t xml:space="preserve"> is the </w:t>
      </w:r>
      <w:r w:rsidR="00AB3328" w:rsidRPr="00AB3328">
        <w:t>interactional expectations</w:t>
      </w:r>
      <w:r w:rsidR="00303FDF">
        <w:t xml:space="preserve"> </w:t>
      </w:r>
      <w:r>
        <w:t xml:space="preserve">rating given by respondent </w:t>
      </w:r>
      <w:r>
        <w:rPr>
          <w:i/>
          <w:iCs/>
        </w:rPr>
        <w:t>j</w:t>
      </w:r>
      <w:r>
        <w:t xml:space="preserve"> to vignette </w:t>
      </w:r>
      <w:proofErr w:type="spellStart"/>
      <w:r>
        <w:rPr>
          <w:i/>
          <w:iCs/>
        </w:rPr>
        <w:t>i</w:t>
      </w:r>
      <w:proofErr w:type="spellEnd"/>
      <w:r>
        <w:t>; γ</w:t>
      </w:r>
      <w:r>
        <w:rPr>
          <w:sz w:val="18"/>
          <w:szCs w:val="18"/>
          <w:vertAlign w:val="subscript"/>
        </w:rPr>
        <w:t>00</w:t>
      </w:r>
      <w:r>
        <w:t xml:space="preserve"> is the grand mean intercept; γ</w:t>
      </w:r>
      <w:r>
        <w:rPr>
          <w:sz w:val="18"/>
          <w:szCs w:val="18"/>
          <w:vertAlign w:val="subscript"/>
        </w:rPr>
        <w:t>01</w:t>
      </w:r>
      <w:r>
        <w:t xml:space="preserve"> and γ</w:t>
      </w:r>
      <w:r>
        <w:rPr>
          <w:sz w:val="18"/>
          <w:szCs w:val="18"/>
          <w:vertAlign w:val="subscript"/>
        </w:rPr>
        <w:t>10</w:t>
      </w:r>
      <w:r>
        <w:t xml:space="preserve"> are the fixed effects of respondent- and vignette-level characteristics, respectively; γ</w:t>
      </w:r>
      <w:r>
        <w:rPr>
          <w:sz w:val="18"/>
          <w:szCs w:val="18"/>
          <w:vertAlign w:val="subscript"/>
        </w:rPr>
        <w:t>11</w:t>
      </w:r>
      <w:r>
        <w:t xml:space="preserve"> is the cross-level interaction coefficient, capturing homophily; u</w:t>
      </w:r>
      <w:r>
        <w:rPr>
          <w:sz w:val="18"/>
          <w:szCs w:val="18"/>
          <w:vertAlign w:val="subscript"/>
        </w:rPr>
        <w:t>0j</w:t>
      </w:r>
      <w:r>
        <w:t xml:space="preserve"> and u</w:t>
      </w:r>
      <w:r>
        <w:rPr>
          <w:sz w:val="18"/>
          <w:szCs w:val="18"/>
          <w:vertAlign w:val="subscript"/>
        </w:rPr>
        <w:t>1j</w:t>
      </w:r>
      <w:r>
        <w:t xml:space="preserve"> are the random intercept and random slope for respondent </w:t>
      </w:r>
      <w:r>
        <w:rPr>
          <w:i/>
          <w:iCs/>
        </w:rPr>
        <w:t>j</w:t>
      </w:r>
      <w:r>
        <w:t xml:space="preserve">, respectively; and </w:t>
      </w:r>
      <w:proofErr w:type="spellStart"/>
      <w:r>
        <w:t>r</w:t>
      </w:r>
      <w:r>
        <w:rPr>
          <w:sz w:val="18"/>
          <w:szCs w:val="18"/>
          <w:vertAlign w:val="subscript"/>
        </w:rPr>
        <w:t>ij</w:t>
      </w:r>
      <w:proofErr w:type="spellEnd"/>
      <w:r>
        <w:t xml:space="preserve"> is the Level-1 residual. A statistically significant and positive γ</w:t>
      </w:r>
      <w:r>
        <w:rPr>
          <w:sz w:val="18"/>
          <w:szCs w:val="18"/>
          <w:vertAlign w:val="subscript"/>
        </w:rPr>
        <w:t>11</w:t>
      </w:r>
      <w:r>
        <w:t xml:space="preserve"> would indicate that respondents rate vignette persons more </w:t>
      </w:r>
      <w:r w:rsidR="00213976">
        <w:t>favorably when they share the same characteristic,</w:t>
      </w:r>
      <w:r>
        <w:t xml:space="preserve"> consistent with a homophily effect.</w:t>
      </w:r>
    </w:p>
    <w:sectPr w:rsidR="00F4048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D41C" w14:textId="77777777" w:rsidR="0007369A" w:rsidRDefault="0007369A" w:rsidP="00C00F59">
      <w:r>
        <w:separator/>
      </w:r>
    </w:p>
  </w:endnote>
  <w:endnote w:type="continuationSeparator" w:id="0">
    <w:p w14:paraId="438B4063" w14:textId="77777777" w:rsidR="0007369A" w:rsidRDefault="0007369A" w:rsidP="00C00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B2CA" w14:textId="77777777" w:rsidR="0007369A" w:rsidRDefault="0007369A" w:rsidP="00C00F59">
      <w:r>
        <w:separator/>
      </w:r>
    </w:p>
  </w:footnote>
  <w:footnote w:type="continuationSeparator" w:id="0">
    <w:p w14:paraId="3CE46E00" w14:textId="77777777" w:rsidR="0007369A" w:rsidRDefault="0007369A" w:rsidP="00C00F59">
      <w:r>
        <w:continuationSeparator/>
      </w:r>
    </w:p>
  </w:footnote>
  <w:footnote w:id="1">
    <w:p w14:paraId="33907EB8" w14:textId="5B03833D" w:rsidR="00C00F59" w:rsidRPr="008D58F1" w:rsidRDefault="00C00F59">
      <w:pPr>
        <w:pStyle w:val="FootnoteText"/>
      </w:pPr>
      <w:r>
        <w:rPr>
          <w:rStyle w:val="FootnoteReference"/>
        </w:rPr>
        <w:footnoteRef/>
      </w:r>
      <w:r>
        <w:t xml:space="preserve"> </w:t>
      </w:r>
      <w:r w:rsidR="00FC25A4" w:rsidRPr="008D58F1">
        <w:t>I</w:t>
      </w:r>
      <w:r w:rsidR="00FC25A4">
        <w:t xml:space="preserve"> found no evidence of systematic missingness based on socioeconomic and demographic characteristics of the respondents. This suggest that </w:t>
      </w:r>
      <w:r w:rsidR="00AF26F3">
        <w:t>missingness</w:t>
      </w:r>
      <w:r w:rsidR="00FC25A4">
        <w:t xml:space="preserve"> is likely random</w:t>
      </w:r>
      <w:r w:rsidR="00AF26F3">
        <w:t>ly distributed across the sample.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07BF7"/>
    <w:multiLevelType w:val="hybridMultilevel"/>
    <w:tmpl w:val="24B6D48E"/>
    <w:lvl w:ilvl="0" w:tplc="064262E4">
      <w:start w:val="1"/>
      <w:numFmt w:val="bullet"/>
      <w:lvlText w:val="●"/>
      <w:lvlJc w:val="left"/>
      <w:pPr>
        <w:ind w:left="720" w:hanging="360"/>
      </w:pPr>
    </w:lvl>
    <w:lvl w:ilvl="1" w:tplc="5888C0B4">
      <w:start w:val="1"/>
      <w:numFmt w:val="bullet"/>
      <w:lvlText w:val="○"/>
      <w:lvlJc w:val="left"/>
      <w:pPr>
        <w:ind w:left="1440" w:hanging="360"/>
      </w:pPr>
    </w:lvl>
    <w:lvl w:ilvl="2" w:tplc="2E7CB904">
      <w:start w:val="1"/>
      <w:numFmt w:val="bullet"/>
      <w:lvlText w:val="■"/>
      <w:lvlJc w:val="left"/>
      <w:pPr>
        <w:ind w:left="2160" w:hanging="360"/>
      </w:pPr>
    </w:lvl>
    <w:lvl w:ilvl="3" w:tplc="4A0CFDEE">
      <w:start w:val="1"/>
      <w:numFmt w:val="bullet"/>
      <w:lvlText w:val="●"/>
      <w:lvlJc w:val="left"/>
      <w:pPr>
        <w:ind w:left="2880" w:hanging="360"/>
      </w:pPr>
    </w:lvl>
    <w:lvl w:ilvl="4" w:tplc="2E2EE26C">
      <w:start w:val="1"/>
      <w:numFmt w:val="bullet"/>
      <w:lvlText w:val="○"/>
      <w:lvlJc w:val="left"/>
      <w:pPr>
        <w:ind w:left="3600" w:hanging="360"/>
      </w:pPr>
    </w:lvl>
    <w:lvl w:ilvl="5" w:tplc="0F0C879A">
      <w:start w:val="1"/>
      <w:numFmt w:val="bullet"/>
      <w:lvlText w:val="■"/>
      <w:lvlJc w:val="left"/>
      <w:pPr>
        <w:ind w:left="4320" w:hanging="360"/>
      </w:pPr>
    </w:lvl>
    <w:lvl w:ilvl="6" w:tplc="C020306C">
      <w:start w:val="1"/>
      <w:numFmt w:val="bullet"/>
      <w:lvlText w:val="●"/>
      <w:lvlJc w:val="left"/>
      <w:pPr>
        <w:ind w:left="5040" w:hanging="360"/>
      </w:pPr>
    </w:lvl>
    <w:lvl w:ilvl="7" w:tplc="E8F6BEB6">
      <w:start w:val="1"/>
      <w:numFmt w:val="bullet"/>
      <w:lvlText w:val="●"/>
      <w:lvlJc w:val="left"/>
      <w:pPr>
        <w:ind w:left="5760" w:hanging="360"/>
      </w:pPr>
    </w:lvl>
    <w:lvl w:ilvl="8" w:tplc="D3282658">
      <w:start w:val="1"/>
      <w:numFmt w:val="bullet"/>
      <w:lvlText w:val="●"/>
      <w:lvlJc w:val="left"/>
      <w:pPr>
        <w:ind w:left="6480" w:hanging="360"/>
      </w:pPr>
    </w:lvl>
  </w:abstractNum>
  <w:num w:numId="1" w16cid:durableId="1030836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Y0NLIwNzY1NDYzMTJR0lEKTi0uzszPAykwrgUAQ2bL1ywAAAA="/>
  </w:docVars>
  <w:rsids>
    <w:rsidRoot w:val="00F4048E"/>
    <w:rsid w:val="0001028A"/>
    <w:rsid w:val="00021128"/>
    <w:rsid w:val="00023874"/>
    <w:rsid w:val="0006771B"/>
    <w:rsid w:val="0007369A"/>
    <w:rsid w:val="000B50FD"/>
    <w:rsid w:val="000B5EEA"/>
    <w:rsid w:val="000D03CC"/>
    <w:rsid w:val="00146BCD"/>
    <w:rsid w:val="001C5879"/>
    <w:rsid w:val="00213976"/>
    <w:rsid w:val="00221BF1"/>
    <w:rsid w:val="0022687C"/>
    <w:rsid w:val="0023469B"/>
    <w:rsid w:val="002E2367"/>
    <w:rsid w:val="00303FDF"/>
    <w:rsid w:val="0033319B"/>
    <w:rsid w:val="00347A46"/>
    <w:rsid w:val="003D4284"/>
    <w:rsid w:val="00411D60"/>
    <w:rsid w:val="00417FB6"/>
    <w:rsid w:val="0046445B"/>
    <w:rsid w:val="004F6098"/>
    <w:rsid w:val="00504D45"/>
    <w:rsid w:val="00544E17"/>
    <w:rsid w:val="005702CA"/>
    <w:rsid w:val="005A1A08"/>
    <w:rsid w:val="005B22DA"/>
    <w:rsid w:val="005D702F"/>
    <w:rsid w:val="00602D2D"/>
    <w:rsid w:val="00656B8A"/>
    <w:rsid w:val="00660655"/>
    <w:rsid w:val="00681061"/>
    <w:rsid w:val="006C36AF"/>
    <w:rsid w:val="006C55F5"/>
    <w:rsid w:val="006E2890"/>
    <w:rsid w:val="006F0C93"/>
    <w:rsid w:val="006F5EA1"/>
    <w:rsid w:val="00711CE1"/>
    <w:rsid w:val="0071668A"/>
    <w:rsid w:val="0073669C"/>
    <w:rsid w:val="00785ED2"/>
    <w:rsid w:val="007B6FC8"/>
    <w:rsid w:val="007C0AA7"/>
    <w:rsid w:val="007F1B8A"/>
    <w:rsid w:val="00852A83"/>
    <w:rsid w:val="00853719"/>
    <w:rsid w:val="00885A14"/>
    <w:rsid w:val="008B4ADC"/>
    <w:rsid w:val="008B7EF7"/>
    <w:rsid w:val="008C2AC3"/>
    <w:rsid w:val="008D58F1"/>
    <w:rsid w:val="008E4A83"/>
    <w:rsid w:val="00905E0C"/>
    <w:rsid w:val="00916E6A"/>
    <w:rsid w:val="00953419"/>
    <w:rsid w:val="009757C7"/>
    <w:rsid w:val="00975F9D"/>
    <w:rsid w:val="009B25C7"/>
    <w:rsid w:val="00A0046C"/>
    <w:rsid w:val="00A30A7E"/>
    <w:rsid w:val="00A3351D"/>
    <w:rsid w:val="00A463FD"/>
    <w:rsid w:val="00A51C2C"/>
    <w:rsid w:val="00A76552"/>
    <w:rsid w:val="00A856BC"/>
    <w:rsid w:val="00AB3328"/>
    <w:rsid w:val="00AE45B6"/>
    <w:rsid w:val="00AF26F3"/>
    <w:rsid w:val="00B02867"/>
    <w:rsid w:val="00B17193"/>
    <w:rsid w:val="00B36118"/>
    <w:rsid w:val="00B50A73"/>
    <w:rsid w:val="00B802F2"/>
    <w:rsid w:val="00B84547"/>
    <w:rsid w:val="00B966A0"/>
    <w:rsid w:val="00BB30EC"/>
    <w:rsid w:val="00BC3031"/>
    <w:rsid w:val="00BD3DBC"/>
    <w:rsid w:val="00BD57C7"/>
    <w:rsid w:val="00BE5E6A"/>
    <w:rsid w:val="00BE663B"/>
    <w:rsid w:val="00BF6B5A"/>
    <w:rsid w:val="00C00F59"/>
    <w:rsid w:val="00C46D59"/>
    <w:rsid w:val="00C61995"/>
    <w:rsid w:val="00C80B95"/>
    <w:rsid w:val="00CB762F"/>
    <w:rsid w:val="00D02067"/>
    <w:rsid w:val="00DA30AE"/>
    <w:rsid w:val="00DC432E"/>
    <w:rsid w:val="00DC5103"/>
    <w:rsid w:val="00DF6DB7"/>
    <w:rsid w:val="00E13F7F"/>
    <w:rsid w:val="00E14503"/>
    <w:rsid w:val="00E50144"/>
    <w:rsid w:val="00E52C68"/>
    <w:rsid w:val="00E53501"/>
    <w:rsid w:val="00E75DD9"/>
    <w:rsid w:val="00E86B34"/>
    <w:rsid w:val="00E908DE"/>
    <w:rsid w:val="00EA313D"/>
    <w:rsid w:val="00EA6CB0"/>
    <w:rsid w:val="00EC2AE9"/>
    <w:rsid w:val="00EC4298"/>
    <w:rsid w:val="00F3164A"/>
    <w:rsid w:val="00F4048E"/>
    <w:rsid w:val="00F55082"/>
    <w:rsid w:val="00F85651"/>
    <w:rsid w:val="00FB3E95"/>
    <w:rsid w:val="00FB784C"/>
    <w:rsid w:val="00FC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304A"/>
  <w15:docId w15:val="{A58A0C68-BC86-4C61-9023-7BDD2E5F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6"/>
      <w:szCs w:val="26"/>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200" w:after="10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F550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C3EA21-7FCD-4B41-BC69-DAED7D12A48F}">
  <we:reference id="WA200010453" version="1.0.0.1" store="Omex" storeType="OMEX"/>
  <we:alternateReferences>
    <we:reference id="WA200010453" version="1.0.0.1" store="WA200010453" storeType="OMEX"/>
  </we:alternateReferences>
  <we:properties>
    <we:property name="claude.fileId" value="&quot;dd434816-4ab8-4bfe-a545-b3b8b53e913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2235B-530B-42C5-A29A-E74FDE947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2950</Words>
  <Characters>18293</Characters>
  <Application>Microsoft Office Word</Application>
  <DocSecurity>0</DocSecurity>
  <Lines>257</Lines>
  <Paragraphs>36</Paragraphs>
  <ScaleCrop>false</ScaleCrop>
  <Company/>
  <LinksUpToDate>false</LinksUpToDate>
  <CharactersWithSpaces>21207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César Iturra Sanhueza</cp:lastModifiedBy>
  <cp:revision>126</cp:revision>
  <dcterms:created xsi:type="dcterms:W3CDTF">2026-05-15T09:24:00Z</dcterms:created>
  <dcterms:modified xsi:type="dcterms:W3CDTF">2026-05-23T15:21:00Z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82f2ad67-6fd4-4d59-9342-adc2c31bfc0e</vt:lpwstr>
  </property>
  <property fmtid="{D5CDD505-2E9C-101B-9397-08002B2CF9AE}" pid="3" name="ZOTERO_PREF_1">
    <vt:lpwstr>&lt;data data-version="3" zotero-version="9.0.3"&gt;&lt;session id="clyx5sLH"/&gt;&lt;style id="http://www.zotero.org/styles/apa" locale="en-US" hasBibliography="1" bibliographyStyleHasBeenSet="0"/&gt;&lt;prefs&gt;&lt;pref name="fieldType" value="Field"/&gt;&lt;/prefs&gt;&lt;/data&gt;</vt:lpwstr>
  </property>
</Properties>
</file>