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336" w:type="dxa"/>
        <w:tblCellMar>
          <w:left w:w="0" w:type="dxa"/>
          <w:right w:w="0" w:type="dxa"/>
        </w:tblCellMar>
        <w:tblLook w:val="04A0" w:firstRow="1" w:lastRow="0" w:firstColumn="1" w:lastColumn="0" w:noHBand="0" w:noVBand="1"/>
      </w:tblPr>
      <w:tblGrid>
        <w:gridCol w:w="5752"/>
        <w:gridCol w:w="5584"/>
      </w:tblGrid>
      <w:tr w:rsidR="00D16258" w:rsidRPr="00224A68" w14:paraId="40E69316" w14:textId="77777777" w:rsidTr="00855A1A">
        <w:trPr>
          <w:trHeight w:val="393"/>
          <w:tblHeader/>
        </w:trPr>
        <w:tc>
          <w:tcPr>
            <w:tcW w:w="5752" w:type="dxa"/>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6CBB14B2" w14:textId="77777777" w:rsidR="00D16258" w:rsidRPr="00224A68" w:rsidRDefault="00D16258" w:rsidP="00D16258">
            <w:pPr>
              <w:spacing w:line="240" w:lineRule="auto"/>
            </w:pPr>
            <w:r w:rsidRPr="00224A68">
              <w:t>Comment</w:t>
            </w:r>
          </w:p>
        </w:tc>
        <w:tc>
          <w:tcPr>
            <w:tcW w:w="5584" w:type="dxa"/>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6015D704" w14:textId="77777777" w:rsidR="00D16258" w:rsidRPr="00224A68" w:rsidRDefault="00D16258" w:rsidP="00D16258">
            <w:pPr>
              <w:spacing w:line="240" w:lineRule="auto"/>
            </w:pPr>
            <w:r w:rsidRPr="00224A68">
              <w:t>Author reply</w:t>
            </w:r>
          </w:p>
        </w:tc>
      </w:tr>
      <w:tr w:rsidR="00D16258" w:rsidRPr="00224A68" w14:paraId="58BDA80A" w14:textId="77777777" w:rsidTr="00855A1A">
        <w:trPr>
          <w:trHeight w:val="1288"/>
        </w:trPr>
        <w:tc>
          <w:tcPr>
            <w:tcW w:w="5752" w:type="dxa"/>
            <w:tcBorders>
              <w:top w:val="single" w:sz="6" w:space="0" w:color="auto"/>
              <w:left w:val="single" w:sz="6" w:space="0" w:color="auto"/>
              <w:bottom w:val="single" w:sz="6" w:space="0" w:color="auto"/>
              <w:right w:val="single" w:sz="6" w:space="0" w:color="auto"/>
            </w:tcBorders>
            <w:tcMar>
              <w:top w:w="180" w:type="dxa"/>
              <w:left w:w="210" w:type="dxa"/>
              <w:bottom w:w="180" w:type="dxa"/>
              <w:right w:w="210" w:type="dxa"/>
            </w:tcMar>
            <w:hideMark/>
          </w:tcPr>
          <w:p w14:paraId="68A59CA4" w14:textId="77777777" w:rsidR="00D16258" w:rsidRPr="00224A68" w:rsidRDefault="00D16258" w:rsidP="00D16258">
            <w:pPr>
              <w:spacing w:after="0" w:line="240" w:lineRule="auto"/>
              <w:rPr>
                <w:sz w:val="20"/>
                <w:szCs w:val="20"/>
              </w:rPr>
            </w:pPr>
            <w:r w:rsidRPr="00224A68">
              <w:rPr>
                <w:sz w:val="20"/>
                <w:szCs w:val="20"/>
              </w:rPr>
              <w:t>Major — contribution</w:t>
            </w:r>
            <w:r w:rsidRPr="00224A68">
              <w:rPr>
                <w:sz w:val="20"/>
                <w:szCs w:val="20"/>
              </w:rPr>
              <w:br/>
              <w:t>The draft reads largely as a literature review rather than a theoretical argument with a clear original contribution. The reader finishes Section 2.4 without a crisp answer to what this paper adds beyond existing work. The closing paragraph of 2.4.4 remains descriptive rather than stating what the paper does differently.</w:t>
            </w:r>
          </w:p>
        </w:tc>
        <w:tc>
          <w:tcPr>
            <w:tcW w:w="5584" w:type="dxa"/>
            <w:tcBorders>
              <w:top w:val="single" w:sz="6" w:space="0" w:color="auto"/>
              <w:left w:val="single" w:sz="6" w:space="0" w:color="auto"/>
              <w:bottom w:val="single" w:sz="6" w:space="0" w:color="auto"/>
              <w:right w:val="single" w:sz="6" w:space="0" w:color="auto"/>
            </w:tcBorders>
            <w:tcMar>
              <w:top w:w="180" w:type="dxa"/>
              <w:left w:w="210" w:type="dxa"/>
              <w:bottom w:w="180" w:type="dxa"/>
              <w:right w:w="210" w:type="dxa"/>
            </w:tcMar>
            <w:hideMark/>
          </w:tcPr>
          <w:p w14:paraId="34771DC4" w14:textId="77777777" w:rsidR="00D16258" w:rsidRPr="00224A68" w:rsidRDefault="00D16258" w:rsidP="00D16258">
            <w:pPr>
              <w:spacing w:after="0" w:line="240" w:lineRule="auto"/>
              <w:rPr>
                <w:sz w:val="20"/>
                <w:szCs w:val="20"/>
              </w:rPr>
            </w:pPr>
          </w:p>
        </w:tc>
      </w:tr>
      <w:tr w:rsidR="00D16258" w:rsidRPr="00224A68" w14:paraId="4C1AE79B" w14:textId="77777777" w:rsidTr="00855A1A">
        <w:trPr>
          <w:trHeight w:val="1494"/>
        </w:trPr>
        <w:tc>
          <w:tcPr>
            <w:tcW w:w="5752" w:type="dxa"/>
            <w:tcBorders>
              <w:top w:val="single" w:sz="6" w:space="0" w:color="auto"/>
              <w:left w:val="single" w:sz="6" w:space="0" w:color="auto"/>
              <w:bottom w:val="single" w:sz="6" w:space="0" w:color="auto"/>
              <w:right w:val="single" w:sz="6" w:space="0" w:color="auto"/>
            </w:tcBorders>
            <w:tcMar>
              <w:top w:w="180" w:type="dxa"/>
              <w:left w:w="210" w:type="dxa"/>
              <w:bottom w:w="180" w:type="dxa"/>
              <w:right w:w="210" w:type="dxa"/>
            </w:tcMar>
            <w:hideMark/>
          </w:tcPr>
          <w:p w14:paraId="7EE47E8A" w14:textId="77777777" w:rsidR="00D16258" w:rsidRPr="00224A68" w:rsidRDefault="00D16258" w:rsidP="00D16258">
            <w:pPr>
              <w:spacing w:after="0" w:line="240" w:lineRule="auto"/>
              <w:rPr>
                <w:sz w:val="20"/>
                <w:szCs w:val="20"/>
              </w:rPr>
            </w:pPr>
            <w:r w:rsidRPr="00224A68">
              <w:rPr>
                <w:sz w:val="20"/>
                <w:szCs w:val="20"/>
              </w:rPr>
              <w:t>Major — conceptual architecture</w:t>
            </w:r>
            <w:r w:rsidRPr="00224A68">
              <w:rPr>
                <w:sz w:val="20"/>
                <w:szCs w:val="20"/>
              </w:rPr>
              <w:br/>
              <w:t>The logic justifying why values and political ideology are grouped as "subjective dispositions" while migration and religion are "sociocultural" is not consistently sustained. Migration has both objective and subjective dimensions, and religion is arguably as subjective as ideology. The distinction needs a sharper theoretical defense.</w:t>
            </w:r>
          </w:p>
        </w:tc>
        <w:tc>
          <w:tcPr>
            <w:tcW w:w="5584" w:type="dxa"/>
            <w:tcBorders>
              <w:top w:val="single" w:sz="6" w:space="0" w:color="auto"/>
              <w:left w:val="single" w:sz="6" w:space="0" w:color="auto"/>
              <w:bottom w:val="single" w:sz="6" w:space="0" w:color="auto"/>
              <w:right w:val="single" w:sz="6" w:space="0" w:color="auto"/>
            </w:tcBorders>
            <w:tcMar>
              <w:top w:w="180" w:type="dxa"/>
              <w:left w:w="210" w:type="dxa"/>
              <w:bottom w:w="180" w:type="dxa"/>
              <w:right w:w="210" w:type="dxa"/>
            </w:tcMar>
            <w:hideMark/>
          </w:tcPr>
          <w:p w14:paraId="1ED77E74" w14:textId="77777777" w:rsidR="00D16258" w:rsidRPr="00224A68" w:rsidRDefault="00D16258" w:rsidP="00D16258">
            <w:pPr>
              <w:spacing w:after="0" w:line="240" w:lineRule="auto"/>
              <w:rPr>
                <w:sz w:val="20"/>
                <w:szCs w:val="20"/>
              </w:rPr>
            </w:pPr>
          </w:p>
        </w:tc>
      </w:tr>
      <w:tr w:rsidR="00D16258" w:rsidRPr="00224A68" w14:paraId="49331621" w14:textId="77777777" w:rsidTr="00855A1A">
        <w:trPr>
          <w:trHeight w:val="1279"/>
        </w:trPr>
        <w:tc>
          <w:tcPr>
            <w:tcW w:w="5752" w:type="dxa"/>
            <w:tcBorders>
              <w:top w:val="single" w:sz="6" w:space="0" w:color="auto"/>
              <w:left w:val="single" w:sz="6" w:space="0" w:color="auto"/>
              <w:bottom w:val="single" w:sz="6" w:space="0" w:color="auto"/>
              <w:right w:val="single" w:sz="6" w:space="0" w:color="auto"/>
            </w:tcBorders>
            <w:tcMar>
              <w:top w:w="180" w:type="dxa"/>
              <w:left w:w="210" w:type="dxa"/>
              <w:bottom w:w="180" w:type="dxa"/>
              <w:right w:w="210" w:type="dxa"/>
            </w:tcMar>
            <w:hideMark/>
          </w:tcPr>
          <w:p w14:paraId="3F33F961" w14:textId="77777777" w:rsidR="00D16258" w:rsidRPr="00224A68" w:rsidRDefault="00D16258" w:rsidP="00D16258">
            <w:pPr>
              <w:spacing w:after="0" w:line="240" w:lineRule="auto"/>
              <w:rPr>
                <w:sz w:val="20"/>
                <w:szCs w:val="20"/>
              </w:rPr>
            </w:pPr>
            <w:r w:rsidRPr="00224A68">
              <w:rPr>
                <w:sz w:val="20"/>
                <w:szCs w:val="20"/>
              </w:rPr>
              <w:t>Major — micro-to-macro link</w:t>
            </w:r>
            <w:r w:rsidRPr="00224A68">
              <w:rPr>
                <w:sz w:val="20"/>
                <w:szCs w:val="20"/>
              </w:rPr>
              <w:br/>
              <w:t>The aggregation logic — how individual-level expectations produce or constitute cohesion at the societal level — is never made explicit. This is the micro-to-macro link that makes the research question sociologically significant, and reviewers will press on it. At least one paragraph theorizing this connection is needed.</w:t>
            </w:r>
          </w:p>
        </w:tc>
        <w:tc>
          <w:tcPr>
            <w:tcW w:w="5584" w:type="dxa"/>
            <w:tcBorders>
              <w:top w:val="single" w:sz="6" w:space="0" w:color="auto"/>
              <w:left w:val="single" w:sz="6" w:space="0" w:color="auto"/>
              <w:bottom w:val="single" w:sz="6" w:space="0" w:color="auto"/>
              <w:right w:val="single" w:sz="6" w:space="0" w:color="auto"/>
            </w:tcBorders>
            <w:tcMar>
              <w:top w:w="180" w:type="dxa"/>
              <w:left w:w="210" w:type="dxa"/>
              <w:bottom w:w="180" w:type="dxa"/>
              <w:right w:w="210" w:type="dxa"/>
            </w:tcMar>
            <w:hideMark/>
          </w:tcPr>
          <w:p w14:paraId="47F2D06F" w14:textId="77777777" w:rsidR="00D16258" w:rsidRPr="00224A68" w:rsidRDefault="00D16258" w:rsidP="00D16258">
            <w:pPr>
              <w:spacing w:after="0" w:line="240" w:lineRule="auto"/>
              <w:rPr>
                <w:sz w:val="20"/>
                <w:szCs w:val="20"/>
              </w:rPr>
            </w:pPr>
          </w:p>
        </w:tc>
      </w:tr>
      <w:tr w:rsidR="00D16258" w:rsidRPr="00224A68" w14:paraId="5AF0F363" w14:textId="77777777" w:rsidTr="00855A1A">
        <w:trPr>
          <w:trHeight w:val="1701"/>
        </w:trPr>
        <w:tc>
          <w:tcPr>
            <w:tcW w:w="5752" w:type="dxa"/>
            <w:tcBorders>
              <w:top w:val="single" w:sz="6" w:space="0" w:color="auto"/>
              <w:left w:val="single" w:sz="6" w:space="0" w:color="auto"/>
              <w:bottom w:val="single" w:sz="6" w:space="0" w:color="auto"/>
              <w:right w:val="single" w:sz="6" w:space="0" w:color="auto"/>
            </w:tcBorders>
            <w:tcMar>
              <w:top w:w="180" w:type="dxa"/>
              <w:left w:w="210" w:type="dxa"/>
              <w:bottom w:w="180" w:type="dxa"/>
              <w:right w:w="210" w:type="dxa"/>
            </w:tcMar>
            <w:hideMark/>
          </w:tcPr>
          <w:p w14:paraId="47E4C7BB" w14:textId="77777777" w:rsidR="00D16258" w:rsidRPr="00224A68" w:rsidRDefault="00D16258" w:rsidP="00D16258">
            <w:pPr>
              <w:spacing w:after="0" w:line="240" w:lineRule="auto"/>
              <w:rPr>
                <w:sz w:val="20"/>
                <w:szCs w:val="20"/>
              </w:rPr>
            </w:pPr>
            <w:r w:rsidRPr="00224A68">
              <w:rPr>
                <w:sz w:val="20"/>
                <w:szCs w:val="20"/>
              </w:rPr>
              <w:t>Major — Section 2.2</w:t>
            </w:r>
            <w:r w:rsidRPr="00224A68">
              <w:rPr>
                <w:sz w:val="20"/>
                <w:szCs w:val="20"/>
              </w:rPr>
              <w:br/>
              <w:t>Section 2.2 covers macro-level conditions but its connection to the paper's micro-level argument is left implicit. It needs a framing passage that: (1) acknowledges existing research treats micro mechanisms as a black box; (2) argues macro conditions only affect cohesion insofar as they shape individual expectations; (3) positions the section explicitly as establishing context, not as a parallel literature review.</w:t>
            </w:r>
          </w:p>
        </w:tc>
        <w:tc>
          <w:tcPr>
            <w:tcW w:w="5584" w:type="dxa"/>
            <w:tcBorders>
              <w:top w:val="single" w:sz="6" w:space="0" w:color="auto"/>
              <w:left w:val="single" w:sz="6" w:space="0" w:color="auto"/>
              <w:bottom w:val="single" w:sz="6" w:space="0" w:color="auto"/>
              <w:right w:val="single" w:sz="6" w:space="0" w:color="auto"/>
            </w:tcBorders>
            <w:tcMar>
              <w:top w:w="180" w:type="dxa"/>
              <w:left w:w="210" w:type="dxa"/>
              <w:bottom w:w="180" w:type="dxa"/>
              <w:right w:w="210" w:type="dxa"/>
            </w:tcMar>
            <w:hideMark/>
          </w:tcPr>
          <w:p w14:paraId="2ECF1F4F" w14:textId="77777777" w:rsidR="00D16258" w:rsidRPr="00224A68" w:rsidRDefault="00D16258" w:rsidP="00D16258">
            <w:pPr>
              <w:spacing w:after="0" w:line="240" w:lineRule="auto"/>
              <w:rPr>
                <w:sz w:val="20"/>
                <w:szCs w:val="20"/>
              </w:rPr>
            </w:pPr>
          </w:p>
        </w:tc>
      </w:tr>
      <w:tr w:rsidR="00D16258" w:rsidRPr="00224A68" w14:paraId="074B2CE5" w14:textId="77777777" w:rsidTr="00855A1A">
        <w:trPr>
          <w:trHeight w:val="1288"/>
        </w:trPr>
        <w:tc>
          <w:tcPr>
            <w:tcW w:w="5752" w:type="dxa"/>
            <w:tcBorders>
              <w:top w:val="single" w:sz="6" w:space="0" w:color="auto"/>
              <w:left w:val="single" w:sz="6" w:space="0" w:color="auto"/>
              <w:bottom w:val="single" w:sz="6" w:space="0" w:color="auto"/>
              <w:right w:val="single" w:sz="6" w:space="0" w:color="auto"/>
            </w:tcBorders>
            <w:tcMar>
              <w:top w:w="180" w:type="dxa"/>
              <w:left w:w="210" w:type="dxa"/>
              <w:bottom w:w="180" w:type="dxa"/>
              <w:right w:w="210" w:type="dxa"/>
            </w:tcMar>
            <w:hideMark/>
          </w:tcPr>
          <w:p w14:paraId="68B60710" w14:textId="77777777" w:rsidR="00D16258" w:rsidRPr="00224A68" w:rsidRDefault="00D16258" w:rsidP="00D16258">
            <w:pPr>
              <w:spacing w:after="0" w:line="240" w:lineRule="auto"/>
              <w:rPr>
                <w:sz w:val="20"/>
                <w:szCs w:val="20"/>
              </w:rPr>
            </w:pPr>
            <w:r w:rsidRPr="00224A68">
              <w:rPr>
                <w:sz w:val="20"/>
                <w:szCs w:val="20"/>
              </w:rPr>
              <w:t>Major — diversity sub-section</w:t>
            </w:r>
            <w:r w:rsidRPr="00224A68">
              <w:rPr>
                <w:sz w:val="20"/>
                <w:szCs w:val="20"/>
              </w:rPr>
              <w:br/>
              <w:t>The diversity section does not arrive at a clear theoretical position. Concluding that diversity is "more nuanced than originally expected" is already the field consensus since Dinesen et al. (2020). The paper should take a clearer stance on which mechanisms are most relevant for its specific design, rather than cataloguing the debate.</w:t>
            </w:r>
          </w:p>
        </w:tc>
        <w:tc>
          <w:tcPr>
            <w:tcW w:w="5584" w:type="dxa"/>
            <w:tcBorders>
              <w:top w:val="single" w:sz="6" w:space="0" w:color="auto"/>
              <w:left w:val="single" w:sz="6" w:space="0" w:color="auto"/>
              <w:bottom w:val="single" w:sz="6" w:space="0" w:color="auto"/>
              <w:right w:val="single" w:sz="6" w:space="0" w:color="auto"/>
            </w:tcBorders>
            <w:tcMar>
              <w:top w:w="180" w:type="dxa"/>
              <w:left w:w="210" w:type="dxa"/>
              <w:bottom w:w="180" w:type="dxa"/>
              <w:right w:w="210" w:type="dxa"/>
            </w:tcMar>
            <w:hideMark/>
          </w:tcPr>
          <w:p w14:paraId="2A39D272" w14:textId="77777777" w:rsidR="00D16258" w:rsidRPr="00224A68" w:rsidRDefault="00D16258" w:rsidP="00D16258">
            <w:pPr>
              <w:spacing w:after="0" w:line="240" w:lineRule="auto"/>
              <w:rPr>
                <w:sz w:val="20"/>
                <w:szCs w:val="20"/>
              </w:rPr>
            </w:pPr>
          </w:p>
        </w:tc>
      </w:tr>
      <w:tr w:rsidR="00D16258" w:rsidRPr="00224A68" w14:paraId="5BC37069" w14:textId="77777777" w:rsidTr="00855A1A">
        <w:trPr>
          <w:trHeight w:val="1061"/>
        </w:trPr>
        <w:tc>
          <w:tcPr>
            <w:tcW w:w="5752" w:type="dxa"/>
            <w:tcBorders>
              <w:top w:val="single" w:sz="6" w:space="0" w:color="auto"/>
              <w:left w:val="single" w:sz="6" w:space="0" w:color="auto"/>
              <w:bottom w:val="single" w:sz="6" w:space="0" w:color="auto"/>
              <w:right w:val="single" w:sz="6" w:space="0" w:color="auto"/>
            </w:tcBorders>
            <w:tcMar>
              <w:top w:w="180" w:type="dxa"/>
              <w:left w:w="210" w:type="dxa"/>
              <w:bottom w:w="180" w:type="dxa"/>
              <w:right w:w="210" w:type="dxa"/>
            </w:tcMar>
            <w:hideMark/>
          </w:tcPr>
          <w:p w14:paraId="6A05F99F" w14:textId="77777777" w:rsidR="00D16258" w:rsidRPr="00224A68" w:rsidRDefault="00D16258" w:rsidP="00D16258">
            <w:pPr>
              <w:spacing w:after="0" w:line="240" w:lineRule="auto"/>
              <w:rPr>
                <w:sz w:val="20"/>
                <w:szCs w:val="20"/>
              </w:rPr>
            </w:pPr>
            <w:r w:rsidRPr="00224A68">
              <w:rPr>
                <w:sz w:val="20"/>
                <w:szCs w:val="20"/>
              </w:rPr>
              <w:t>Major — hypotheses</w:t>
            </w:r>
            <w:r w:rsidRPr="00224A68">
              <w:rPr>
                <w:sz w:val="20"/>
                <w:szCs w:val="20"/>
              </w:rPr>
              <w:br/>
              <w:t>H1 states that higher-SES people are "more cohesive," but cohesion is a collective property, not an individual one. The hypothesis presumably means something like "expected to be more trustworthy interaction partners" — the imprecision needs correcting.</w:t>
            </w:r>
          </w:p>
        </w:tc>
        <w:tc>
          <w:tcPr>
            <w:tcW w:w="5584" w:type="dxa"/>
            <w:tcBorders>
              <w:top w:val="single" w:sz="6" w:space="0" w:color="auto"/>
              <w:left w:val="single" w:sz="6" w:space="0" w:color="auto"/>
              <w:bottom w:val="single" w:sz="6" w:space="0" w:color="auto"/>
              <w:right w:val="single" w:sz="6" w:space="0" w:color="auto"/>
            </w:tcBorders>
            <w:tcMar>
              <w:top w:w="180" w:type="dxa"/>
              <w:left w:w="210" w:type="dxa"/>
              <w:bottom w:w="180" w:type="dxa"/>
              <w:right w:w="210" w:type="dxa"/>
            </w:tcMar>
            <w:hideMark/>
          </w:tcPr>
          <w:p w14:paraId="02463DF4" w14:textId="77777777" w:rsidR="00D16258" w:rsidRPr="00224A68" w:rsidRDefault="00D16258" w:rsidP="00D16258">
            <w:pPr>
              <w:spacing w:after="0" w:line="240" w:lineRule="auto"/>
              <w:rPr>
                <w:sz w:val="20"/>
                <w:szCs w:val="20"/>
              </w:rPr>
            </w:pPr>
          </w:p>
        </w:tc>
      </w:tr>
      <w:tr w:rsidR="00D16258" w:rsidRPr="00224A68" w14:paraId="3A880E68" w14:textId="77777777" w:rsidTr="00855A1A">
        <w:trPr>
          <w:trHeight w:val="1071"/>
        </w:trPr>
        <w:tc>
          <w:tcPr>
            <w:tcW w:w="5752" w:type="dxa"/>
            <w:tcBorders>
              <w:top w:val="single" w:sz="6" w:space="0" w:color="auto"/>
              <w:left w:val="single" w:sz="6" w:space="0" w:color="auto"/>
              <w:bottom w:val="single" w:sz="6" w:space="0" w:color="auto"/>
              <w:right w:val="single" w:sz="6" w:space="0" w:color="auto"/>
            </w:tcBorders>
            <w:tcMar>
              <w:top w:w="180" w:type="dxa"/>
              <w:left w:w="210" w:type="dxa"/>
              <w:bottom w:w="180" w:type="dxa"/>
              <w:right w:w="210" w:type="dxa"/>
            </w:tcMar>
            <w:hideMark/>
          </w:tcPr>
          <w:p w14:paraId="73BC63E1" w14:textId="77777777" w:rsidR="00D16258" w:rsidRPr="00224A68" w:rsidRDefault="00D16258" w:rsidP="00D16258">
            <w:pPr>
              <w:spacing w:after="0" w:line="240" w:lineRule="auto"/>
              <w:rPr>
                <w:sz w:val="20"/>
                <w:szCs w:val="20"/>
              </w:rPr>
            </w:pPr>
            <w:r w:rsidRPr="00224A68">
              <w:rPr>
                <w:sz w:val="20"/>
                <w:szCs w:val="20"/>
              </w:rPr>
              <w:lastRenderedPageBreak/>
              <w:t>Major — hypotheses</w:t>
            </w:r>
            <w:r w:rsidRPr="00224A68">
              <w:rPr>
                <w:sz w:val="20"/>
                <w:szCs w:val="20"/>
              </w:rPr>
              <w:br/>
              <w:t>H2a — that religious people are more trustworthy than non-religious ones — is stated without directional theoretical justification. The text in 2.4.2 discusses religion through symbolic threat and normative fit, which would predict the opposite for minority religions.</w:t>
            </w:r>
          </w:p>
        </w:tc>
        <w:tc>
          <w:tcPr>
            <w:tcW w:w="5584" w:type="dxa"/>
            <w:tcBorders>
              <w:top w:val="single" w:sz="6" w:space="0" w:color="auto"/>
              <w:left w:val="single" w:sz="6" w:space="0" w:color="auto"/>
              <w:bottom w:val="single" w:sz="6" w:space="0" w:color="auto"/>
              <w:right w:val="single" w:sz="6" w:space="0" w:color="auto"/>
            </w:tcBorders>
            <w:tcMar>
              <w:top w:w="180" w:type="dxa"/>
              <w:left w:w="210" w:type="dxa"/>
              <w:bottom w:w="180" w:type="dxa"/>
              <w:right w:w="210" w:type="dxa"/>
            </w:tcMar>
            <w:hideMark/>
          </w:tcPr>
          <w:p w14:paraId="1D50A9A0" w14:textId="77777777" w:rsidR="00D16258" w:rsidRPr="00224A68" w:rsidRDefault="00D16258" w:rsidP="00D16258">
            <w:pPr>
              <w:spacing w:after="0" w:line="240" w:lineRule="auto"/>
              <w:rPr>
                <w:sz w:val="20"/>
                <w:szCs w:val="20"/>
              </w:rPr>
            </w:pPr>
          </w:p>
        </w:tc>
      </w:tr>
      <w:tr w:rsidR="00D16258" w:rsidRPr="00224A68" w14:paraId="1D9A5D41" w14:textId="77777777" w:rsidTr="00855A1A">
        <w:trPr>
          <w:trHeight w:val="1061"/>
        </w:trPr>
        <w:tc>
          <w:tcPr>
            <w:tcW w:w="5752" w:type="dxa"/>
            <w:tcBorders>
              <w:top w:val="single" w:sz="6" w:space="0" w:color="auto"/>
              <w:left w:val="single" w:sz="6" w:space="0" w:color="auto"/>
              <w:bottom w:val="single" w:sz="6" w:space="0" w:color="auto"/>
              <w:right w:val="single" w:sz="6" w:space="0" w:color="auto"/>
            </w:tcBorders>
            <w:tcMar>
              <w:top w:w="180" w:type="dxa"/>
              <w:left w:w="210" w:type="dxa"/>
              <w:bottom w:w="180" w:type="dxa"/>
              <w:right w:w="210" w:type="dxa"/>
            </w:tcMar>
            <w:hideMark/>
          </w:tcPr>
          <w:p w14:paraId="109D76DD" w14:textId="77777777" w:rsidR="00D16258" w:rsidRPr="00224A68" w:rsidRDefault="00D16258" w:rsidP="00D16258">
            <w:pPr>
              <w:spacing w:after="0" w:line="240" w:lineRule="auto"/>
              <w:rPr>
                <w:sz w:val="20"/>
                <w:szCs w:val="20"/>
              </w:rPr>
            </w:pPr>
            <w:r w:rsidRPr="00224A68">
              <w:rPr>
                <w:sz w:val="20"/>
                <w:szCs w:val="20"/>
              </w:rPr>
              <w:t>Major — hypotheses</w:t>
            </w:r>
            <w:r w:rsidRPr="00224A68">
              <w:rPr>
                <w:sz w:val="20"/>
                <w:szCs w:val="20"/>
              </w:rPr>
              <w:br/>
              <w:t>H3 on political moderation sits in tension with the social identity and political distance framework developed in 2.4.3, which predicts similarity effects rather than a moderation premium. This tension needs to be resolved explicitly.</w:t>
            </w:r>
          </w:p>
        </w:tc>
        <w:tc>
          <w:tcPr>
            <w:tcW w:w="5584" w:type="dxa"/>
            <w:tcBorders>
              <w:top w:val="single" w:sz="6" w:space="0" w:color="auto"/>
              <w:left w:val="single" w:sz="6" w:space="0" w:color="auto"/>
              <w:bottom w:val="single" w:sz="6" w:space="0" w:color="auto"/>
              <w:right w:val="single" w:sz="6" w:space="0" w:color="auto"/>
            </w:tcBorders>
            <w:tcMar>
              <w:top w:w="180" w:type="dxa"/>
              <w:left w:w="210" w:type="dxa"/>
              <w:bottom w:w="180" w:type="dxa"/>
              <w:right w:w="210" w:type="dxa"/>
            </w:tcMar>
            <w:hideMark/>
          </w:tcPr>
          <w:p w14:paraId="03E5AFEA" w14:textId="77777777" w:rsidR="00D16258" w:rsidRPr="00224A68" w:rsidRDefault="00D16258" w:rsidP="00D16258">
            <w:pPr>
              <w:spacing w:after="0" w:line="240" w:lineRule="auto"/>
              <w:rPr>
                <w:sz w:val="20"/>
                <w:szCs w:val="20"/>
              </w:rPr>
            </w:pPr>
          </w:p>
        </w:tc>
      </w:tr>
      <w:tr w:rsidR="00D16258" w:rsidRPr="00224A68" w14:paraId="67B1F0A2" w14:textId="77777777" w:rsidTr="00855A1A">
        <w:trPr>
          <w:trHeight w:val="646"/>
        </w:trPr>
        <w:tc>
          <w:tcPr>
            <w:tcW w:w="5752" w:type="dxa"/>
            <w:tcBorders>
              <w:top w:val="single" w:sz="6" w:space="0" w:color="auto"/>
              <w:left w:val="single" w:sz="6" w:space="0" w:color="auto"/>
              <w:bottom w:val="single" w:sz="6" w:space="0" w:color="auto"/>
              <w:right w:val="single" w:sz="6" w:space="0" w:color="auto"/>
            </w:tcBorders>
            <w:tcMar>
              <w:top w:w="180" w:type="dxa"/>
              <w:left w:w="210" w:type="dxa"/>
              <w:bottom w:w="180" w:type="dxa"/>
              <w:right w:w="210" w:type="dxa"/>
            </w:tcMar>
            <w:hideMark/>
          </w:tcPr>
          <w:p w14:paraId="45F857C3" w14:textId="77777777" w:rsidR="00D16258" w:rsidRPr="00224A68" w:rsidRDefault="00D16258" w:rsidP="00D16258">
            <w:pPr>
              <w:spacing w:after="0" w:line="240" w:lineRule="auto"/>
              <w:rPr>
                <w:sz w:val="20"/>
                <w:szCs w:val="20"/>
              </w:rPr>
            </w:pPr>
            <w:r w:rsidRPr="00224A68">
              <w:rPr>
                <w:sz w:val="20"/>
                <w:szCs w:val="20"/>
              </w:rPr>
              <w:t>Minor — prose</w:t>
            </w:r>
            <w:r w:rsidRPr="00224A68">
              <w:rPr>
                <w:sz w:val="20"/>
                <w:szCs w:val="20"/>
              </w:rPr>
              <w:br/>
              <w:t>Several paragraphs in 2.4.2 are verbose and could be condensed without loss of content.</w:t>
            </w:r>
          </w:p>
        </w:tc>
        <w:tc>
          <w:tcPr>
            <w:tcW w:w="5584" w:type="dxa"/>
            <w:tcBorders>
              <w:top w:val="single" w:sz="6" w:space="0" w:color="auto"/>
              <w:left w:val="single" w:sz="6" w:space="0" w:color="auto"/>
              <w:bottom w:val="single" w:sz="6" w:space="0" w:color="auto"/>
              <w:right w:val="single" w:sz="6" w:space="0" w:color="auto"/>
            </w:tcBorders>
            <w:tcMar>
              <w:top w:w="180" w:type="dxa"/>
              <w:left w:w="210" w:type="dxa"/>
              <w:bottom w:w="180" w:type="dxa"/>
              <w:right w:w="210" w:type="dxa"/>
            </w:tcMar>
            <w:hideMark/>
          </w:tcPr>
          <w:p w14:paraId="634BA2D0" w14:textId="77777777" w:rsidR="00D16258" w:rsidRPr="00224A68" w:rsidRDefault="00D16258" w:rsidP="00D16258">
            <w:pPr>
              <w:spacing w:after="0" w:line="240" w:lineRule="auto"/>
              <w:rPr>
                <w:sz w:val="20"/>
                <w:szCs w:val="20"/>
              </w:rPr>
            </w:pPr>
          </w:p>
        </w:tc>
      </w:tr>
      <w:tr w:rsidR="00D16258" w:rsidRPr="00224A68" w14:paraId="3FA41F40" w14:textId="77777777" w:rsidTr="00855A1A">
        <w:trPr>
          <w:trHeight w:val="844"/>
        </w:trPr>
        <w:tc>
          <w:tcPr>
            <w:tcW w:w="5752" w:type="dxa"/>
            <w:tcBorders>
              <w:top w:val="single" w:sz="6" w:space="0" w:color="auto"/>
              <w:left w:val="single" w:sz="6" w:space="0" w:color="auto"/>
              <w:bottom w:val="single" w:sz="6" w:space="0" w:color="auto"/>
              <w:right w:val="single" w:sz="6" w:space="0" w:color="auto"/>
            </w:tcBorders>
            <w:tcMar>
              <w:top w:w="180" w:type="dxa"/>
              <w:left w:w="210" w:type="dxa"/>
              <w:bottom w:w="180" w:type="dxa"/>
              <w:right w:w="210" w:type="dxa"/>
            </w:tcMar>
            <w:hideMark/>
          </w:tcPr>
          <w:p w14:paraId="30696659" w14:textId="77777777" w:rsidR="00D16258" w:rsidRPr="00224A68" w:rsidRDefault="00D16258" w:rsidP="00D16258">
            <w:pPr>
              <w:spacing w:after="0" w:line="240" w:lineRule="auto"/>
              <w:rPr>
                <w:sz w:val="20"/>
                <w:szCs w:val="20"/>
              </w:rPr>
            </w:pPr>
            <w:r w:rsidRPr="00224A68">
              <w:rPr>
                <w:sz w:val="20"/>
                <w:szCs w:val="20"/>
              </w:rPr>
              <w:t>Minor — self-citation</w:t>
            </w:r>
            <w:r w:rsidRPr="00224A68">
              <w:rPr>
                <w:sz w:val="20"/>
                <w:szCs w:val="20"/>
              </w:rPr>
              <w:br/>
              <w:t>Forward citations to work dated 2025–2026 appear to be the author's own ongoing work. Self-citation should be handled consistently and transparently throughout the manuscript.</w:t>
            </w:r>
          </w:p>
        </w:tc>
        <w:tc>
          <w:tcPr>
            <w:tcW w:w="5584" w:type="dxa"/>
            <w:tcBorders>
              <w:top w:val="single" w:sz="6" w:space="0" w:color="auto"/>
              <w:left w:val="single" w:sz="6" w:space="0" w:color="auto"/>
              <w:bottom w:val="single" w:sz="6" w:space="0" w:color="auto"/>
              <w:right w:val="single" w:sz="6" w:space="0" w:color="auto"/>
            </w:tcBorders>
            <w:tcMar>
              <w:top w:w="180" w:type="dxa"/>
              <w:left w:w="210" w:type="dxa"/>
              <w:bottom w:w="180" w:type="dxa"/>
              <w:right w:w="210" w:type="dxa"/>
            </w:tcMar>
            <w:hideMark/>
          </w:tcPr>
          <w:p w14:paraId="56882299" w14:textId="77777777" w:rsidR="00D16258" w:rsidRPr="00224A68" w:rsidRDefault="00D16258" w:rsidP="00D16258">
            <w:pPr>
              <w:spacing w:after="0" w:line="240" w:lineRule="auto"/>
              <w:rPr>
                <w:sz w:val="20"/>
                <w:szCs w:val="20"/>
              </w:rPr>
            </w:pPr>
          </w:p>
        </w:tc>
      </w:tr>
      <w:tr w:rsidR="00D16258" w:rsidRPr="00224A68" w14:paraId="0ADD2CD5" w14:textId="77777777" w:rsidTr="00855A1A">
        <w:trPr>
          <w:trHeight w:val="1071"/>
        </w:trPr>
        <w:tc>
          <w:tcPr>
            <w:tcW w:w="5752" w:type="dxa"/>
            <w:tcBorders>
              <w:top w:val="single" w:sz="6" w:space="0" w:color="auto"/>
              <w:left w:val="single" w:sz="6" w:space="0" w:color="auto"/>
              <w:bottom w:val="single" w:sz="6" w:space="0" w:color="auto"/>
              <w:right w:val="single" w:sz="6" w:space="0" w:color="auto"/>
            </w:tcBorders>
            <w:tcMar>
              <w:top w:w="180" w:type="dxa"/>
              <w:left w:w="210" w:type="dxa"/>
              <w:bottom w:w="180" w:type="dxa"/>
              <w:right w:w="210" w:type="dxa"/>
            </w:tcMar>
            <w:hideMark/>
          </w:tcPr>
          <w:p w14:paraId="164FA1A9" w14:textId="77777777" w:rsidR="00D16258" w:rsidRPr="00224A68" w:rsidRDefault="00D16258" w:rsidP="00D16258">
            <w:pPr>
              <w:spacing w:after="0" w:line="240" w:lineRule="auto"/>
              <w:rPr>
                <w:sz w:val="20"/>
                <w:szCs w:val="20"/>
              </w:rPr>
            </w:pPr>
            <w:r w:rsidRPr="00224A68">
              <w:rPr>
                <w:sz w:val="20"/>
                <w:szCs w:val="20"/>
              </w:rPr>
              <w:t>Minor — Section 2.3 transition</w:t>
            </w:r>
            <w:r w:rsidRPr="00224A68">
              <w:rPr>
                <w:sz w:val="20"/>
                <w:szCs w:val="20"/>
              </w:rPr>
              <w:br/>
              <w:t>The transition from Blau's structural parameters to subjective dispositions is abrupt. A short bridging argument would help the reader follow the logic from objective to subjective dimensions of social position.</w:t>
            </w:r>
          </w:p>
        </w:tc>
        <w:tc>
          <w:tcPr>
            <w:tcW w:w="5584" w:type="dxa"/>
            <w:tcBorders>
              <w:top w:val="single" w:sz="6" w:space="0" w:color="auto"/>
              <w:left w:val="single" w:sz="6" w:space="0" w:color="auto"/>
              <w:bottom w:val="single" w:sz="6" w:space="0" w:color="auto"/>
              <w:right w:val="single" w:sz="6" w:space="0" w:color="auto"/>
            </w:tcBorders>
            <w:tcMar>
              <w:top w:w="180" w:type="dxa"/>
              <w:left w:w="210" w:type="dxa"/>
              <w:bottom w:w="180" w:type="dxa"/>
              <w:right w:w="210" w:type="dxa"/>
            </w:tcMar>
            <w:hideMark/>
          </w:tcPr>
          <w:p w14:paraId="07F987D8" w14:textId="77777777" w:rsidR="00D16258" w:rsidRPr="00224A68" w:rsidRDefault="00D16258" w:rsidP="00D16258">
            <w:pPr>
              <w:spacing w:after="0" w:line="240" w:lineRule="auto"/>
              <w:rPr>
                <w:sz w:val="20"/>
                <w:szCs w:val="20"/>
              </w:rPr>
            </w:pPr>
          </w:p>
        </w:tc>
      </w:tr>
      <w:tr w:rsidR="00D16258" w:rsidRPr="00224A68" w14:paraId="39C44750" w14:textId="77777777" w:rsidTr="00855A1A">
        <w:trPr>
          <w:trHeight w:val="1061"/>
        </w:trPr>
        <w:tc>
          <w:tcPr>
            <w:tcW w:w="5752" w:type="dxa"/>
            <w:tcBorders>
              <w:top w:val="single" w:sz="6" w:space="0" w:color="auto"/>
              <w:left w:val="single" w:sz="6" w:space="0" w:color="auto"/>
              <w:bottom w:val="single" w:sz="6" w:space="0" w:color="auto"/>
              <w:right w:val="single" w:sz="6" w:space="0" w:color="auto"/>
            </w:tcBorders>
            <w:tcMar>
              <w:top w:w="180" w:type="dxa"/>
              <w:left w:w="210" w:type="dxa"/>
              <w:bottom w:w="180" w:type="dxa"/>
              <w:right w:w="210" w:type="dxa"/>
            </w:tcMar>
            <w:hideMark/>
          </w:tcPr>
          <w:p w14:paraId="620DA62B" w14:textId="77777777" w:rsidR="00D16258" w:rsidRPr="00224A68" w:rsidRDefault="00D16258" w:rsidP="00D16258">
            <w:pPr>
              <w:spacing w:after="0" w:line="240" w:lineRule="auto"/>
              <w:rPr>
                <w:sz w:val="20"/>
                <w:szCs w:val="20"/>
              </w:rPr>
            </w:pPr>
            <w:r w:rsidRPr="00224A68">
              <w:rPr>
                <w:sz w:val="20"/>
                <w:szCs w:val="20"/>
              </w:rPr>
              <w:t>Figure — arrow types</w:t>
            </w:r>
            <w:r w:rsidRPr="00224A68">
              <w:rPr>
                <w:sz w:val="20"/>
                <w:szCs w:val="20"/>
              </w:rPr>
              <w:br/>
              <w:t xml:space="preserve">Three distinct relationships are conflated: </w:t>
            </w:r>
            <w:proofErr w:type="spellStart"/>
            <w:r w:rsidRPr="00224A68">
              <w:rPr>
                <w:sz w:val="20"/>
                <w:szCs w:val="20"/>
              </w:rPr>
              <w:t>macro→macro</w:t>
            </w:r>
            <w:proofErr w:type="spellEnd"/>
            <w:r w:rsidRPr="00224A68">
              <w:rPr>
                <w:sz w:val="20"/>
                <w:szCs w:val="20"/>
              </w:rPr>
              <w:t xml:space="preserve"> (reduced form), </w:t>
            </w:r>
            <w:proofErr w:type="spellStart"/>
            <w:r w:rsidRPr="00224A68">
              <w:rPr>
                <w:sz w:val="20"/>
                <w:szCs w:val="20"/>
              </w:rPr>
              <w:t>macro→micro</w:t>
            </w:r>
            <w:proofErr w:type="spellEnd"/>
            <w:r w:rsidRPr="00224A68">
              <w:rPr>
                <w:sz w:val="20"/>
                <w:szCs w:val="20"/>
              </w:rPr>
              <w:t xml:space="preserve"> (structural conditioning), and </w:t>
            </w:r>
            <w:proofErr w:type="spellStart"/>
            <w:r w:rsidRPr="00224A68">
              <w:rPr>
                <w:sz w:val="20"/>
                <w:szCs w:val="20"/>
              </w:rPr>
              <w:t>micro→micro</w:t>
            </w:r>
            <w:proofErr w:type="spellEnd"/>
            <w:r w:rsidRPr="00224A68">
              <w:rPr>
                <w:sz w:val="20"/>
                <w:szCs w:val="20"/>
              </w:rPr>
              <w:t xml:space="preserve"> (the paper's empirical contribution). These need to be distinguished either in the figure or in its caption.</w:t>
            </w:r>
          </w:p>
        </w:tc>
        <w:tc>
          <w:tcPr>
            <w:tcW w:w="5584" w:type="dxa"/>
            <w:tcBorders>
              <w:top w:val="single" w:sz="6" w:space="0" w:color="auto"/>
              <w:left w:val="single" w:sz="6" w:space="0" w:color="auto"/>
              <w:bottom w:val="single" w:sz="6" w:space="0" w:color="auto"/>
              <w:right w:val="single" w:sz="6" w:space="0" w:color="auto"/>
            </w:tcBorders>
            <w:tcMar>
              <w:top w:w="180" w:type="dxa"/>
              <w:left w:w="210" w:type="dxa"/>
              <w:bottom w:w="180" w:type="dxa"/>
              <w:right w:w="210" w:type="dxa"/>
            </w:tcMar>
            <w:hideMark/>
          </w:tcPr>
          <w:p w14:paraId="40ACA1B4" w14:textId="77777777" w:rsidR="00D16258" w:rsidRPr="00224A68" w:rsidRDefault="00D16258" w:rsidP="00D16258">
            <w:pPr>
              <w:spacing w:after="0" w:line="240" w:lineRule="auto"/>
              <w:rPr>
                <w:sz w:val="20"/>
                <w:szCs w:val="20"/>
              </w:rPr>
            </w:pPr>
          </w:p>
        </w:tc>
      </w:tr>
      <w:tr w:rsidR="00D16258" w:rsidRPr="00224A68" w14:paraId="31D89CA0" w14:textId="77777777" w:rsidTr="00855A1A">
        <w:trPr>
          <w:trHeight w:val="1071"/>
        </w:trPr>
        <w:tc>
          <w:tcPr>
            <w:tcW w:w="5752" w:type="dxa"/>
            <w:tcBorders>
              <w:top w:val="single" w:sz="6" w:space="0" w:color="auto"/>
              <w:left w:val="single" w:sz="6" w:space="0" w:color="auto"/>
              <w:bottom w:val="single" w:sz="6" w:space="0" w:color="auto"/>
              <w:right w:val="single" w:sz="6" w:space="0" w:color="auto"/>
            </w:tcBorders>
            <w:tcMar>
              <w:top w:w="180" w:type="dxa"/>
              <w:left w:w="210" w:type="dxa"/>
              <w:bottom w:w="180" w:type="dxa"/>
              <w:right w:w="210" w:type="dxa"/>
            </w:tcMar>
            <w:hideMark/>
          </w:tcPr>
          <w:p w14:paraId="39F0A87F" w14:textId="77777777" w:rsidR="00D16258" w:rsidRPr="00224A68" w:rsidRDefault="00D16258" w:rsidP="00D16258">
            <w:pPr>
              <w:spacing w:after="0" w:line="240" w:lineRule="auto"/>
              <w:rPr>
                <w:sz w:val="20"/>
                <w:szCs w:val="20"/>
              </w:rPr>
            </w:pPr>
            <w:r w:rsidRPr="00224A68">
              <w:rPr>
                <w:sz w:val="20"/>
                <w:szCs w:val="20"/>
              </w:rPr>
              <w:t>Figure — aggregation arrow</w:t>
            </w:r>
            <w:r w:rsidRPr="00224A68">
              <w:rPr>
                <w:sz w:val="20"/>
                <w:szCs w:val="20"/>
              </w:rPr>
              <w:br/>
              <w:t>The arrow from Attitudes and Behaviors to Social Cohesion should be labeled as "aggregation" or "constitution" rather than a plain causal arrow, since individual trust and cooperation are partly definitional components of cohesion, not merely causes of it.</w:t>
            </w:r>
          </w:p>
        </w:tc>
        <w:tc>
          <w:tcPr>
            <w:tcW w:w="5584" w:type="dxa"/>
            <w:tcBorders>
              <w:top w:val="single" w:sz="6" w:space="0" w:color="auto"/>
              <w:left w:val="single" w:sz="6" w:space="0" w:color="auto"/>
              <w:bottom w:val="single" w:sz="6" w:space="0" w:color="auto"/>
              <w:right w:val="single" w:sz="6" w:space="0" w:color="auto"/>
            </w:tcBorders>
            <w:tcMar>
              <w:top w:w="180" w:type="dxa"/>
              <w:left w:w="210" w:type="dxa"/>
              <w:bottom w:w="180" w:type="dxa"/>
              <w:right w:w="210" w:type="dxa"/>
            </w:tcMar>
            <w:hideMark/>
          </w:tcPr>
          <w:p w14:paraId="607CE135" w14:textId="77777777" w:rsidR="00D16258" w:rsidRPr="00224A68" w:rsidRDefault="00D16258" w:rsidP="00D16258">
            <w:pPr>
              <w:spacing w:after="0" w:line="240" w:lineRule="auto"/>
              <w:rPr>
                <w:sz w:val="20"/>
                <w:szCs w:val="20"/>
              </w:rPr>
            </w:pPr>
          </w:p>
        </w:tc>
      </w:tr>
      <w:tr w:rsidR="00D16258" w:rsidRPr="00224A68" w14:paraId="4D307BA0" w14:textId="77777777" w:rsidTr="00855A1A">
        <w:trPr>
          <w:trHeight w:val="1279"/>
        </w:trPr>
        <w:tc>
          <w:tcPr>
            <w:tcW w:w="5752" w:type="dxa"/>
            <w:tcBorders>
              <w:top w:val="single" w:sz="6" w:space="0" w:color="auto"/>
              <w:left w:val="single" w:sz="6" w:space="0" w:color="auto"/>
              <w:bottom w:val="single" w:sz="6" w:space="0" w:color="auto"/>
              <w:right w:val="single" w:sz="6" w:space="0" w:color="auto"/>
            </w:tcBorders>
            <w:tcMar>
              <w:top w:w="180" w:type="dxa"/>
              <w:left w:w="210" w:type="dxa"/>
              <w:bottom w:w="180" w:type="dxa"/>
              <w:right w:w="210" w:type="dxa"/>
            </w:tcMar>
            <w:hideMark/>
          </w:tcPr>
          <w:p w14:paraId="5DFD6EF4" w14:textId="77777777" w:rsidR="00D16258" w:rsidRPr="00224A68" w:rsidRDefault="00D16258" w:rsidP="00D16258">
            <w:pPr>
              <w:spacing w:after="0" w:line="240" w:lineRule="auto"/>
              <w:rPr>
                <w:sz w:val="20"/>
                <w:szCs w:val="20"/>
              </w:rPr>
            </w:pPr>
            <w:r w:rsidRPr="00224A68">
              <w:rPr>
                <w:sz w:val="20"/>
                <w:szCs w:val="20"/>
              </w:rPr>
              <w:t>Hypothesis placement</w:t>
            </w:r>
            <w:r w:rsidRPr="00224A68">
              <w:rPr>
                <w:sz w:val="20"/>
                <w:szCs w:val="20"/>
              </w:rPr>
              <w:br/>
              <w:t>Keeping hypotheses at the end is recommended, given that H4 cuts across all sub-sections and depends on the full theoretical argument. However, each hypothesis should include a short sentence connecting it back to the relevant mechanism, and a transitional paragraph before the list should summarize the overall theoretical logic.</w:t>
            </w:r>
          </w:p>
        </w:tc>
        <w:tc>
          <w:tcPr>
            <w:tcW w:w="5584" w:type="dxa"/>
            <w:tcBorders>
              <w:top w:val="single" w:sz="6" w:space="0" w:color="auto"/>
              <w:left w:val="single" w:sz="6" w:space="0" w:color="auto"/>
              <w:bottom w:val="single" w:sz="6" w:space="0" w:color="auto"/>
              <w:right w:val="single" w:sz="6" w:space="0" w:color="auto"/>
            </w:tcBorders>
            <w:tcMar>
              <w:top w:w="180" w:type="dxa"/>
              <w:left w:w="210" w:type="dxa"/>
              <w:bottom w:w="180" w:type="dxa"/>
              <w:right w:w="210" w:type="dxa"/>
            </w:tcMar>
            <w:hideMark/>
          </w:tcPr>
          <w:p w14:paraId="5E9675C2" w14:textId="77777777" w:rsidR="00D16258" w:rsidRPr="00224A68" w:rsidRDefault="00D16258" w:rsidP="00D16258">
            <w:pPr>
              <w:spacing w:after="0" w:line="240" w:lineRule="auto"/>
              <w:rPr>
                <w:sz w:val="20"/>
                <w:szCs w:val="20"/>
              </w:rPr>
            </w:pPr>
          </w:p>
        </w:tc>
      </w:tr>
    </w:tbl>
    <w:p w14:paraId="63DF57DD" w14:textId="526D22C2" w:rsidR="00747521" w:rsidRPr="00224A68" w:rsidRDefault="00747521" w:rsidP="00224A68"/>
    <w:sectPr w:rsidR="00747521" w:rsidRPr="00224A68" w:rsidSect="00D16258">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4EA"/>
    <w:rsid w:val="00044CA4"/>
    <w:rsid w:val="000811FA"/>
    <w:rsid w:val="000E72A0"/>
    <w:rsid w:val="000F06DB"/>
    <w:rsid w:val="00124AEB"/>
    <w:rsid w:val="001D05C4"/>
    <w:rsid w:val="001F4360"/>
    <w:rsid w:val="00224A68"/>
    <w:rsid w:val="004B7BBA"/>
    <w:rsid w:val="0051059B"/>
    <w:rsid w:val="0069053F"/>
    <w:rsid w:val="006D6D0F"/>
    <w:rsid w:val="007420D2"/>
    <w:rsid w:val="00747521"/>
    <w:rsid w:val="00855A1A"/>
    <w:rsid w:val="0087018B"/>
    <w:rsid w:val="009D6084"/>
    <w:rsid w:val="00D16258"/>
    <w:rsid w:val="00EA1DBF"/>
    <w:rsid w:val="00FF3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25AAF"/>
  <w15:chartTrackingRefBased/>
  <w15:docId w15:val="{A27C871E-BF44-4CA4-B56D-42D1DA701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4E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F34E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F34E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F34E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F34E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F34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4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4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4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4E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F34E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F34E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F34E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F34E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F34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4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4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4EA"/>
    <w:rPr>
      <w:rFonts w:eastAsiaTheme="majorEastAsia" w:cstheme="majorBidi"/>
      <w:color w:val="272727" w:themeColor="text1" w:themeTint="D8"/>
    </w:rPr>
  </w:style>
  <w:style w:type="paragraph" w:styleId="Title">
    <w:name w:val="Title"/>
    <w:basedOn w:val="Normal"/>
    <w:next w:val="Normal"/>
    <w:link w:val="TitleChar"/>
    <w:uiPriority w:val="10"/>
    <w:qFormat/>
    <w:rsid w:val="00FF3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4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4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4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4EA"/>
    <w:pPr>
      <w:spacing w:before="160"/>
      <w:jc w:val="center"/>
    </w:pPr>
    <w:rPr>
      <w:i/>
      <w:iCs/>
      <w:color w:val="404040" w:themeColor="text1" w:themeTint="BF"/>
    </w:rPr>
  </w:style>
  <w:style w:type="character" w:customStyle="1" w:styleId="QuoteChar">
    <w:name w:val="Quote Char"/>
    <w:basedOn w:val="DefaultParagraphFont"/>
    <w:link w:val="Quote"/>
    <w:uiPriority w:val="29"/>
    <w:rsid w:val="00FF34EA"/>
    <w:rPr>
      <w:i/>
      <w:iCs/>
      <w:color w:val="404040" w:themeColor="text1" w:themeTint="BF"/>
    </w:rPr>
  </w:style>
  <w:style w:type="paragraph" w:styleId="ListParagraph">
    <w:name w:val="List Paragraph"/>
    <w:basedOn w:val="Normal"/>
    <w:uiPriority w:val="34"/>
    <w:qFormat/>
    <w:rsid w:val="00FF34EA"/>
    <w:pPr>
      <w:ind w:left="720"/>
      <w:contextualSpacing/>
    </w:pPr>
  </w:style>
  <w:style w:type="character" w:styleId="IntenseEmphasis">
    <w:name w:val="Intense Emphasis"/>
    <w:basedOn w:val="DefaultParagraphFont"/>
    <w:uiPriority w:val="21"/>
    <w:qFormat/>
    <w:rsid w:val="00FF34EA"/>
    <w:rPr>
      <w:i/>
      <w:iCs/>
      <w:color w:val="2E74B5" w:themeColor="accent1" w:themeShade="BF"/>
    </w:rPr>
  </w:style>
  <w:style w:type="paragraph" w:styleId="IntenseQuote">
    <w:name w:val="Intense Quote"/>
    <w:basedOn w:val="Normal"/>
    <w:next w:val="Normal"/>
    <w:link w:val="IntenseQuoteChar"/>
    <w:uiPriority w:val="30"/>
    <w:qFormat/>
    <w:rsid w:val="00FF34E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F34EA"/>
    <w:rPr>
      <w:i/>
      <w:iCs/>
      <w:color w:val="2E74B5" w:themeColor="accent1" w:themeShade="BF"/>
    </w:rPr>
  </w:style>
  <w:style w:type="character" w:styleId="IntenseReference">
    <w:name w:val="Intense Reference"/>
    <w:basedOn w:val="DefaultParagraphFont"/>
    <w:uiPriority w:val="32"/>
    <w:qFormat/>
    <w:rsid w:val="00FF34E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622</Words>
  <Characters>3550</Characters>
  <Application>Microsoft Office Word</Application>
  <DocSecurity>0</DocSecurity>
  <Lines>29</Lines>
  <Paragraphs>8</Paragraphs>
  <ScaleCrop>false</ScaleCrop>
  <Company/>
  <LinksUpToDate>false</LinksUpToDate>
  <CharactersWithSpaces>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César Iturra Sanhueza</dc:creator>
  <cp:keywords/>
  <dc:description/>
  <cp:lastModifiedBy>Julio César Iturra Sanhueza</cp:lastModifiedBy>
  <cp:revision>8</cp:revision>
  <dcterms:created xsi:type="dcterms:W3CDTF">2026-05-15T14:52:00Z</dcterms:created>
  <dcterms:modified xsi:type="dcterms:W3CDTF">2026-05-18T08:26:00Z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6897f38a-7bd5-44e6-9849-5e6bdb013af5</vt:lpwstr>
  </property>
</Properties>
</file>