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7AEEAE" w14:textId="57C8B530" w:rsidR="005332D8" w:rsidRPr="005332D8" w:rsidRDefault="005332D8" w:rsidP="002779FE">
      <w:pPr>
        <w:jc w:val="left"/>
        <w:rPr>
          <w:rFonts w:eastAsia="Times New Roman" w:cs="Times New Roman"/>
          <w:b/>
          <w:bCs/>
          <w:sz w:val="36"/>
          <w:szCs w:val="36"/>
        </w:rPr>
      </w:pPr>
      <w:r w:rsidRPr="005332D8">
        <w:rPr>
          <w:rFonts w:eastAsia="Times New Roman" w:cs="Times New Roman"/>
          <w:b/>
          <w:bCs/>
          <w:sz w:val="36"/>
          <w:szCs w:val="36"/>
        </w:rPr>
        <w:t xml:space="preserve">More Diverse, More Skeptical? How Changes in </w:t>
      </w:r>
      <w:r w:rsidR="0056101C">
        <w:rPr>
          <w:rFonts w:eastAsia="Times New Roman" w:cs="Times New Roman"/>
          <w:b/>
          <w:bCs/>
          <w:sz w:val="36"/>
          <w:szCs w:val="36"/>
        </w:rPr>
        <w:t xml:space="preserve">Class-based </w:t>
      </w:r>
      <w:r w:rsidRPr="005332D8">
        <w:rPr>
          <w:rFonts w:eastAsia="Times New Roman" w:cs="Times New Roman"/>
          <w:b/>
          <w:bCs/>
          <w:sz w:val="36"/>
          <w:szCs w:val="36"/>
        </w:rPr>
        <w:t xml:space="preserve">Network </w:t>
      </w:r>
      <w:r w:rsidR="007B72DB">
        <w:rPr>
          <w:rFonts w:eastAsia="Times New Roman" w:cs="Times New Roman"/>
          <w:b/>
          <w:bCs/>
          <w:sz w:val="36"/>
          <w:szCs w:val="36"/>
        </w:rPr>
        <w:t>Diversity</w:t>
      </w:r>
      <w:r w:rsidRPr="005332D8">
        <w:rPr>
          <w:rFonts w:eastAsia="Times New Roman" w:cs="Times New Roman"/>
          <w:b/>
          <w:bCs/>
          <w:sz w:val="36"/>
          <w:szCs w:val="36"/>
        </w:rPr>
        <w:t xml:space="preserve"> Shape </w:t>
      </w:r>
      <w:r w:rsidR="006C5C2D" w:rsidRPr="006C5C2D">
        <w:rPr>
          <w:rFonts w:eastAsia="Times New Roman" w:cs="Times New Roman"/>
          <w:b/>
          <w:bCs/>
          <w:sz w:val="36"/>
          <w:szCs w:val="36"/>
        </w:rPr>
        <w:t>Public Support</w:t>
      </w:r>
      <w:r w:rsidR="006C5C2D">
        <w:rPr>
          <w:rFonts w:eastAsia="Times New Roman" w:cs="Times New Roman"/>
          <w:b/>
          <w:bCs/>
          <w:sz w:val="36"/>
          <w:szCs w:val="36"/>
        </w:rPr>
        <w:t xml:space="preserve"> </w:t>
      </w:r>
      <w:r w:rsidRPr="005332D8">
        <w:rPr>
          <w:rFonts w:eastAsia="Times New Roman" w:cs="Times New Roman"/>
          <w:b/>
          <w:bCs/>
          <w:sz w:val="36"/>
          <w:szCs w:val="36"/>
        </w:rPr>
        <w:t xml:space="preserve">for Commodified </w:t>
      </w:r>
      <w:r w:rsidR="00CD647C" w:rsidRPr="00CD647C">
        <w:rPr>
          <w:rFonts w:eastAsia="Times New Roman" w:cs="Times New Roman"/>
          <w:b/>
          <w:bCs/>
          <w:sz w:val="36"/>
          <w:szCs w:val="36"/>
        </w:rPr>
        <w:t>Welfare</w:t>
      </w:r>
      <w:r w:rsidR="009570C9">
        <w:rPr>
          <w:rFonts w:eastAsia="Times New Roman" w:cs="Times New Roman"/>
          <w:b/>
          <w:bCs/>
          <w:sz w:val="36"/>
          <w:szCs w:val="36"/>
        </w:rPr>
        <w:t xml:space="preserve"> Services</w:t>
      </w:r>
      <w:r w:rsidR="00E34981">
        <w:rPr>
          <w:rFonts w:eastAsia="Times New Roman" w:cs="Times New Roman"/>
          <w:b/>
          <w:bCs/>
          <w:sz w:val="36"/>
          <w:szCs w:val="36"/>
        </w:rPr>
        <w:t xml:space="preserve">: </w:t>
      </w:r>
      <w:r w:rsidR="00E34981" w:rsidRPr="00E34981">
        <w:rPr>
          <w:rFonts w:eastAsia="Times New Roman" w:cs="Times New Roman"/>
          <w:b/>
          <w:bCs/>
          <w:sz w:val="36"/>
          <w:szCs w:val="36"/>
        </w:rPr>
        <w:t xml:space="preserve">Longitudinal Evidence from Chile </w:t>
      </w:r>
    </w:p>
    <w:p w14:paraId="3D47F693" w14:textId="0A6BC540" w:rsidR="0024062D" w:rsidRDefault="0024062D" w:rsidP="002779FE">
      <w:pPr>
        <w:ind w:left="1440" w:hanging="1440"/>
        <w:jc w:val="center"/>
      </w:pPr>
      <w:r w:rsidRPr="002779FE">
        <w:t>Julio Iturra-Sanhueza</w:t>
      </w:r>
    </w:p>
    <w:p w14:paraId="039C4BA4" w14:textId="10A9E194" w:rsidR="00955E47" w:rsidRDefault="00955E47" w:rsidP="00955E47">
      <w:r w:rsidRPr="00955E47">
        <w:t xml:space="preserve">Articles submitted to </w:t>
      </w:r>
      <w:r w:rsidRPr="005F2736">
        <w:rPr>
          <w:highlight w:val="yellow"/>
        </w:rPr>
        <w:t xml:space="preserve">Social Forces </w:t>
      </w:r>
      <w:r w:rsidRPr="00955E47">
        <w:t>may not exceed 10,000 words (including text, endnotes, and references), and may not contain more than 10 tables and figure panels.</w:t>
      </w:r>
      <w:r w:rsidR="00AF6E9B">
        <w:t xml:space="preserve"> </w:t>
      </w:r>
      <w:r w:rsidR="00C30796">
        <w:t xml:space="preserve"> </w:t>
      </w:r>
    </w:p>
    <w:p w14:paraId="08E2C3A0" w14:textId="3E8778A6" w:rsidR="00032C41" w:rsidRDefault="00032C41" w:rsidP="00955E47">
      <w:r>
        <w:t xml:space="preserve">Word count: </w:t>
      </w:r>
      <w:r>
        <w:fldChar w:fldCharType="begin"/>
      </w:r>
      <w:r>
        <w:instrText xml:space="preserve"> NUMWORDS </w:instrText>
      </w:r>
      <w:r>
        <w:fldChar w:fldCharType="separate"/>
      </w:r>
      <w:r w:rsidR="000332A3">
        <w:rPr>
          <w:noProof/>
        </w:rPr>
        <w:t>8540</w:t>
      </w:r>
      <w:r>
        <w:fldChar w:fldCharType="end"/>
      </w:r>
    </w:p>
    <w:p w14:paraId="1C6A9A42" w14:textId="3B8BA1C1" w:rsidR="00637850" w:rsidRPr="00955E47" w:rsidRDefault="00637850" w:rsidP="00637850">
      <w:pPr>
        <w:spacing w:line="360" w:lineRule="auto"/>
      </w:pPr>
      <w:r>
        <w:br w:type="page"/>
      </w:r>
    </w:p>
    <w:p w14:paraId="15237403" w14:textId="32DD06D3" w:rsidR="002632A2" w:rsidRPr="00D84938" w:rsidRDefault="00606669">
      <w:pPr>
        <w:pStyle w:val="Heading1"/>
      </w:pPr>
      <w:r w:rsidRPr="00D84938">
        <w:lastRenderedPageBreak/>
        <w:t xml:space="preserve">Introduction </w:t>
      </w:r>
    </w:p>
    <w:p w14:paraId="1B4DBF81" w14:textId="01575467" w:rsidR="005403DF" w:rsidRDefault="00C11E6F" w:rsidP="00300FC8">
      <w:bookmarkStart w:id="0" w:name="_296y4t4natck"/>
      <w:bookmarkEnd w:id="0"/>
      <w:r>
        <w:t>The recent</w:t>
      </w:r>
      <w:r w:rsidR="005403DF" w:rsidRPr="005403DF">
        <w:t xml:space="preserve"> </w:t>
      </w:r>
      <w:r w:rsidR="00DA3119">
        <w:t>rise of income inequality</w:t>
      </w:r>
      <w:r w:rsidR="005403DF" w:rsidRPr="005403DF">
        <w:t xml:space="preserve"> in contemporary societies </w:t>
      </w:r>
      <w:r w:rsidR="00CC1765">
        <w:t>has</w:t>
      </w:r>
      <w:r w:rsidR="005403DF" w:rsidRPr="005403DF">
        <w:t xml:space="preserve"> drawn attention to how </w:t>
      </w:r>
      <w:r w:rsidR="00DA3119">
        <w:t>it</w:t>
      </w:r>
      <w:r w:rsidR="005403DF" w:rsidRPr="005403DF">
        <w:t xml:space="preserve"> </w:t>
      </w:r>
      <w:r w:rsidR="00DA3119">
        <w:t xml:space="preserve">affects </w:t>
      </w:r>
      <w:r w:rsidR="00F70D43">
        <w:t xml:space="preserve">social relations and </w:t>
      </w:r>
      <w:r w:rsidR="005403DF" w:rsidRPr="005403DF">
        <w:t xml:space="preserve">networks, as well as their relationship with </w:t>
      </w:r>
      <w:r w:rsidR="008E05C5">
        <w:t>attitudes toward inequality</w:t>
      </w:r>
      <w:r w:rsidR="005403DF" w:rsidRPr="005403DF">
        <w:t xml:space="preserve"> </w:t>
      </w:r>
      <w:r w:rsidR="00240D3B">
        <w:fldChar w:fldCharType="begin"/>
      </w:r>
      <w:r w:rsidR="0018509A">
        <w:instrText xml:space="preserve"> ADDIN ZOTERO_ITEM CSL_CITATION {"citationID":"5BxItyaM","properties":{"formattedCitation":"(Iturra-Sanhueza, 2025; Lindh and Andersson, 2024)","plainCitation":"(Iturra-Sanhueza, 2025; Lindh and Andersson, 2024)","noteIndex":0},"citationItems":[{"id":21170,"uris":["http://zotero.org/users/5414506/items/X2PAJEX7"],"itemData":{"id":21170,"type":"article-journal","container-title":"European Economic Review","DOI":"10.1093/esr/jcaf048","title":"Class-based network segregation, Economic Inequality, and Redistributive Preferences across societies","author":[{"family":"Iturra-Sanhueza","given":"Julio"}],"issued":{"date-parts":[["2025"]]},"citation-key":"iturra-sanhueza_class-based_2025"}},{"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240D3B">
        <w:fldChar w:fldCharType="separate"/>
      </w:r>
      <w:r w:rsidR="0018509A" w:rsidRPr="0018509A">
        <w:rPr>
          <w:rFonts w:cs="Times New Roman"/>
        </w:rPr>
        <w:t>(Iturra-Sanhueza, 2025; Lindh and Andersson, 2024)</w:t>
      </w:r>
      <w:r w:rsidR="00240D3B">
        <w:fldChar w:fldCharType="end"/>
      </w:r>
      <w:r w:rsidR="005403DF" w:rsidRPr="005403DF">
        <w:t xml:space="preserve">. </w:t>
      </w:r>
      <w:r w:rsidR="002261F2">
        <w:t>In addition</w:t>
      </w:r>
      <w:r w:rsidR="00EA28F3">
        <w:t xml:space="preserve"> to</w:t>
      </w:r>
      <w:r w:rsidR="005403DF" w:rsidRPr="005403DF">
        <w:t xml:space="preserve"> class positions—</w:t>
      </w:r>
      <w:r w:rsidR="008F2F35">
        <w:t>defined</w:t>
      </w:r>
      <w:r w:rsidR="005403DF" w:rsidRPr="005403DF">
        <w:t xml:space="preserve"> as </w:t>
      </w:r>
      <w:r w:rsidR="00003154">
        <w:t xml:space="preserve">the structural </w:t>
      </w:r>
      <w:r w:rsidR="008F2F35">
        <w:t xml:space="preserve">positions in the </w:t>
      </w:r>
      <w:r w:rsidR="005403DF" w:rsidRPr="005403DF">
        <w:t>labor market and authority within production units</w:t>
      </w:r>
      <w:r w:rsidR="00003154">
        <w:t xml:space="preserve">, usually </w:t>
      </w:r>
      <w:r w:rsidR="00F808F7">
        <w:t>studied</w:t>
      </w:r>
      <w:r w:rsidR="00003154">
        <w:t xml:space="preserve"> through occupations</w:t>
      </w:r>
      <w:r w:rsidR="005403DF" w:rsidRPr="005403DF">
        <w:t xml:space="preserve"> —the role of class-based social networks in preference formation has gained increasing </w:t>
      </w:r>
      <w:r w:rsidR="00C15F7D">
        <w:t>attention</w:t>
      </w:r>
      <w:r w:rsidR="005403DF" w:rsidRPr="005403DF">
        <w:t xml:space="preserve"> </w:t>
      </w:r>
      <w:r w:rsidR="001B739B">
        <w:fldChar w:fldCharType="begin"/>
      </w:r>
      <w:r w:rsidR="001B739B">
        <w:instrText xml:space="preserve"> ADDIN ZOTERO_ITEM CSL_CITATION {"citationID":"nc7wfyVM","properties":{"formattedCitation":"(Otero and Mendoza, 2023)","plainCitation":"(Otero and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1B739B">
        <w:fldChar w:fldCharType="separate"/>
      </w:r>
      <w:r w:rsidR="001B739B" w:rsidRPr="001B739B">
        <w:rPr>
          <w:rFonts w:cs="Times New Roman"/>
        </w:rPr>
        <w:t>(Otero and Mendoza, 2023)</w:t>
      </w:r>
      <w:r w:rsidR="001B739B">
        <w:fldChar w:fldCharType="end"/>
      </w:r>
      <w:r w:rsidR="005403DF" w:rsidRPr="005403DF">
        <w:t xml:space="preserve">. </w:t>
      </w:r>
      <w:r w:rsidR="000D265B">
        <w:t>These studies argue that</w:t>
      </w:r>
      <w:r w:rsidR="005403DF" w:rsidRPr="005403DF">
        <w:t xml:space="preserve"> </w:t>
      </w:r>
      <w:r w:rsidR="00CE2E35">
        <w:t xml:space="preserve">social influence plays a role in shaping attitudes </w:t>
      </w:r>
      <w:r w:rsidR="00D56FC2" w:rsidRPr="005403DF">
        <w:t>by exposing individuals to the information and experiences of others</w:t>
      </w:r>
      <w:r w:rsidR="005403DF" w:rsidRPr="005403DF">
        <w:t xml:space="preserve"> (Lindh, Andersson, &amp; Völker, 2021). </w:t>
      </w:r>
      <w:r w:rsidR="009D106B">
        <w:t>P</w:t>
      </w:r>
      <w:r w:rsidR="005403DF" w:rsidRPr="005403DF">
        <w:t xml:space="preserve">rior research </w:t>
      </w:r>
      <w:r w:rsidR="00AC4770">
        <w:t>shows</w:t>
      </w:r>
      <w:r w:rsidR="005403DF" w:rsidRPr="005403DF">
        <w:t xml:space="preserve"> that class profiles—understood as ties to specific occupational-class positions—can either heighten or diminish </w:t>
      </w:r>
      <w:r w:rsidR="00A67A86">
        <w:t>attitudes towards inequality</w:t>
      </w:r>
      <w:r w:rsidR="005403DF" w:rsidRPr="005403DF">
        <w:t xml:space="preserve">, depending on the class position of the network tie (Cobo-Arroyo, 2022; Lindh et al., 2021). </w:t>
      </w:r>
      <w:r w:rsidR="002B4ED4">
        <w:t xml:space="preserve">Similar </w:t>
      </w:r>
      <w:r w:rsidR="00FA2567">
        <w:t xml:space="preserve">evidence suggests </w:t>
      </w:r>
      <w:r w:rsidR="006E2D62">
        <w:t xml:space="preserve">that </w:t>
      </w:r>
      <w:r w:rsidR="003923CE">
        <w:t xml:space="preserve">simultaneous </w:t>
      </w:r>
      <w:r w:rsidR="006E2D62">
        <w:t>exposure to</w:t>
      </w:r>
      <w:r w:rsidR="005403DF" w:rsidRPr="005403DF">
        <w:t xml:space="preserve"> </w:t>
      </w:r>
      <w:r w:rsidR="006D2688">
        <w:t>different</w:t>
      </w:r>
      <w:r w:rsidR="0019644B">
        <w:t xml:space="preserve"> </w:t>
      </w:r>
      <w:r w:rsidR="005403DF" w:rsidRPr="005403DF">
        <w:t xml:space="preserve">class positions </w:t>
      </w:r>
      <w:r w:rsidR="00F12E3C">
        <w:t xml:space="preserve">through </w:t>
      </w:r>
      <w:r w:rsidR="005403DF" w:rsidRPr="005403DF">
        <w:t xml:space="preserve">network </w:t>
      </w:r>
      <w:r w:rsidR="00AD5B18">
        <w:t xml:space="preserve">ties </w:t>
      </w:r>
      <w:r w:rsidR="005403DF" w:rsidRPr="005403DF">
        <w:t xml:space="preserve">is </w:t>
      </w:r>
      <w:r w:rsidR="00905596">
        <w:t xml:space="preserve">linked </w:t>
      </w:r>
      <w:r w:rsidR="00905596" w:rsidRPr="005403DF">
        <w:t>to</w:t>
      </w:r>
      <w:r w:rsidR="005403DF" w:rsidRPr="005403DF">
        <w:t xml:space="preserve"> more skeptical views of economic inequality (Otero &amp; Mendoza, 2023; Paskov &amp; Weisstanner, 2022).</w:t>
      </w:r>
      <w:r w:rsidR="00A05BED">
        <w:t xml:space="preserve"> </w:t>
      </w:r>
      <w:r w:rsidR="001F767C">
        <w:t>N</w:t>
      </w:r>
      <w:r w:rsidR="005403DF" w:rsidRPr="005403DF">
        <w:t xml:space="preserve">etwork </w:t>
      </w:r>
      <w:r w:rsidR="005403DF" w:rsidRPr="00764078">
        <w:rPr>
          <w:i/>
          <w:iCs/>
        </w:rPr>
        <w:t>diversity</w:t>
      </w:r>
      <w:r w:rsidR="005403DF" w:rsidRPr="005403DF">
        <w:t xml:space="preserve">—defined as the extent to which individuals maintain ties across different occupational classes—provides a broader window through which individuals learn about others’ living conditions and experiences of economic inequality (Mijs &amp; Usmani, 2024). </w:t>
      </w:r>
      <w:r w:rsidR="0027714B" w:rsidRPr="005403DF">
        <w:t xml:space="preserve">Despite recent efforts to address this link from a longitudinal perspective (Plaza, Beck, Iturra-Sanhueza, Otero, &amp; Muñoz, 2026), </w:t>
      </w:r>
      <w:r w:rsidR="004C0F29" w:rsidRPr="005403DF">
        <w:t xml:space="preserve">a key research gap </w:t>
      </w:r>
      <w:r w:rsidR="00B53044">
        <w:t>is still</w:t>
      </w:r>
      <w:r w:rsidR="004C0F29" w:rsidRPr="005403DF">
        <w:t xml:space="preserve"> the longitudinal relationship between </w:t>
      </w:r>
      <w:r w:rsidR="00B53044">
        <w:t xml:space="preserve">social </w:t>
      </w:r>
      <w:r w:rsidR="004C0F29" w:rsidRPr="005403DF">
        <w:t xml:space="preserve">networks </w:t>
      </w:r>
      <w:r w:rsidR="00B53044">
        <w:t>and the justification of economic inequality</w:t>
      </w:r>
      <w:r w:rsidR="0014781D">
        <w:t xml:space="preserve">. </w:t>
      </w:r>
      <w:r w:rsidR="0014781D">
        <w:t>T</w:t>
      </w:r>
      <w:r w:rsidR="0014781D" w:rsidRPr="005403DF">
        <w:t xml:space="preserve">he present study examines </w:t>
      </w:r>
      <w:r w:rsidR="006F2C79">
        <w:t>t</w:t>
      </w:r>
      <w:r w:rsidR="0014781D" w:rsidRPr="005403DF">
        <w:t xml:space="preserve">he </w:t>
      </w:r>
      <w:r w:rsidR="0014781D" w:rsidRPr="009D106B">
        <w:rPr>
          <w:i/>
          <w:iCs/>
        </w:rPr>
        <w:t>market skepticism hypothesis</w:t>
      </w:r>
      <w:r w:rsidR="0014781D" w:rsidRPr="005403DF">
        <w:t>, which posits that class-based network diversity may reduce the justification of the commodified distribution of welfare services over time (Castillo, Iturra, &amp; Carrasco, 2025; Immergut &amp; Schneider, 2020; Lindh, 2015).</w:t>
      </w:r>
      <w:r w:rsidR="0014781D">
        <w:t xml:space="preserve"> </w:t>
      </w:r>
      <w:r w:rsidR="0041132C">
        <w:t xml:space="preserve">This may be particularly the case because the legitimization of economic inequality is often anchored in social networks, where localized “referential structures”—rooted in others’ lived experiences—provide concrete </w:t>
      </w:r>
      <w:r w:rsidR="0041132C">
        <w:t xml:space="preserve">empirical </w:t>
      </w:r>
      <w:r w:rsidR="0041132C">
        <w:t>benchmarks of fairness</w:t>
      </w:r>
      <w:r w:rsidR="0041132C">
        <w:t xml:space="preserve"> </w:t>
      </w:r>
      <w:r w:rsidR="00D13CB9" w:rsidRPr="00D13CB9">
        <w:t>(Shepelak &amp; Alwin, 1986).</w:t>
      </w:r>
    </w:p>
    <w:p w14:paraId="53C6629A" w14:textId="731DEA58" w:rsidR="005F1740" w:rsidRDefault="000312F5" w:rsidP="00300FC8">
      <w:r>
        <w:t>Recent</w:t>
      </w:r>
      <w:r w:rsidR="009838BD">
        <w:t xml:space="preserve"> s</w:t>
      </w:r>
      <w:r w:rsidR="79064136">
        <w:t xml:space="preserve">tudies have argued that theories of class-based attitude formation have mainly relied on cross-sectional </w:t>
      </w:r>
      <w:r w:rsidR="0099472C">
        <w:t>evidence</w:t>
      </w:r>
      <w:r w:rsidR="00E32A25">
        <w:t>,</w:t>
      </w:r>
      <w:r w:rsidR="00407E3B">
        <w:t xml:space="preserve"> </w:t>
      </w:r>
      <w:r w:rsidR="00E92513">
        <w:t xml:space="preserve">and </w:t>
      </w:r>
      <w:r w:rsidR="0099472C">
        <w:t xml:space="preserve">only a few </w:t>
      </w:r>
      <w:r w:rsidR="00382D00">
        <w:t xml:space="preserve">efforts have addressed </w:t>
      </w:r>
      <w:r w:rsidR="00D81896">
        <w:t xml:space="preserve">the </w:t>
      </w:r>
      <w:r w:rsidR="00A66F01">
        <w:t>class-attitude</w:t>
      </w:r>
      <w:r w:rsidR="00D81896">
        <w:t xml:space="preserve"> link</w:t>
      </w:r>
      <w:r w:rsidR="00382D00">
        <w:t xml:space="preserve"> </w:t>
      </w:r>
      <w:r w:rsidR="009838BD">
        <w:t>longitudinally</w:t>
      </w:r>
      <w:r w:rsidR="79064136">
        <w:t>.</w:t>
      </w:r>
      <w:r w:rsidR="00641A73">
        <w:t xml:space="preserve"> </w:t>
      </w:r>
      <w:r w:rsidR="79064136">
        <w:t>The relevance of this clai</w:t>
      </w:r>
      <w:r w:rsidR="00583533">
        <w:t xml:space="preserve">m </w:t>
      </w:r>
      <w:r w:rsidR="0045036F">
        <w:t>emphasizes</w:t>
      </w:r>
      <w:r w:rsidR="79064136">
        <w:t xml:space="preserve"> the role of “class experiences” – understood as the socialization processes linked to individual experiences within the class structure across the life course (Ares, 2020; Helgason &amp; Rehm, 2024; Langsæther, Evans, &amp; O’Grady, 2022). </w:t>
      </w:r>
      <w:r w:rsidR="00741C8F">
        <w:t>They show that p</w:t>
      </w:r>
      <w:r w:rsidR="79064136">
        <w:t xml:space="preserve">reference formation is neither completely shaped by the class of destination nor origin, </w:t>
      </w:r>
      <w:r w:rsidR="00587022">
        <w:t>where</w:t>
      </w:r>
      <w:r w:rsidR="79064136">
        <w:t xml:space="preserve"> those immobile in their class positions are much more aligned with class-based interests than the </w:t>
      </w:r>
      <w:commentRangeStart w:id="1"/>
      <w:r w:rsidR="79064136">
        <w:t>mobile</w:t>
      </w:r>
      <w:commentRangeEnd w:id="1"/>
      <w:r w:rsidR="00975052">
        <w:rPr>
          <w:rStyle w:val="CommentReference"/>
        </w:rPr>
        <w:commentReference w:id="1"/>
      </w:r>
      <w:r w:rsidR="79064136">
        <w:t xml:space="preserve">. A </w:t>
      </w:r>
      <w:r w:rsidR="00B301F2">
        <w:t>compelling</w:t>
      </w:r>
      <w:r w:rsidR="79064136">
        <w:t xml:space="preserve"> argument is that mobile individuals are exposed to more diverse “class experiences” through changes in their interpersonal networks, </w:t>
      </w:r>
      <w:r w:rsidR="00D25C9E">
        <w:t>which</w:t>
      </w:r>
      <w:r w:rsidR="79064136">
        <w:t xml:space="preserve"> </w:t>
      </w:r>
      <w:r w:rsidR="00D25C9E">
        <w:t>provide</w:t>
      </w:r>
      <w:r w:rsidR="79064136">
        <w:t xml:space="preserve"> varied </w:t>
      </w:r>
      <w:r w:rsidR="004F3655">
        <w:t xml:space="preserve">socializing experiences </w:t>
      </w:r>
      <w:r w:rsidR="79064136">
        <w:t xml:space="preserve">as they navigate different positions throughout </w:t>
      </w:r>
      <w:r w:rsidR="002069F8">
        <w:t>the</w:t>
      </w:r>
      <w:r w:rsidR="79064136">
        <w:t xml:space="preserve"> </w:t>
      </w:r>
      <w:r w:rsidR="004F3655">
        <w:t xml:space="preserve">life course </w:t>
      </w:r>
      <w:r w:rsidR="79064136">
        <w:t xml:space="preserve">(Ares, 2020; Helgason &amp; Rehm, 2023, 2024). </w:t>
      </w:r>
      <w:r w:rsidR="008310FF">
        <w:t xml:space="preserve">Thus, it is unclear whether networks play an additional role in the process when accounting for individual mobility </w:t>
      </w:r>
      <w:r w:rsidR="00414971">
        <w:fldChar w:fldCharType="begin"/>
      </w:r>
      <w:r w:rsidR="00414971">
        <w:instrText xml:space="preserve"> ADDIN ZOTERO_ITEM CSL_CITATION {"citationID":"Xeyrpg7R","properties":{"formattedCitation":"(Ares and Van Ditmars, 2025)","plainCitation":"(Ares and Van Ditmars, 2025)","noteIndex":0},"citationItems":[{"id":20901,"uris":["http://zotero.org/users/5414506/items/MY2BCYCT"],"itemData":{"id":20901,"type":"article-journal","container-title":"West European Politics","DOI":"10.1080/01402382.2024.2415845","ISSN":"0140-2382, 1743-9655","issue":"4","journalAbbreviation":"West European Politics","language":"en","page":"951-976","source":"DOI.org (Crossref)","title":"A life course approach to political preference formation across social classes","volume":"48","author":[{"family":"Ares","given":"Macarena"},{"family":"Van Ditmars","given":"Mathilde M."}],"issued":{"date-parts":[["2025",6,7]]},"citation-key":"ares_life_2025"}}],"schema":"https://github.com/citation-style-language/schema/raw/master/csl-citation.json"} </w:instrText>
      </w:r>
      <w:r w:rsidR="00414971">
        <w:fldChar w:fldCharType="separate"/>
      </w:r>
      <w:r w:rsidR="00414971" w:rsidRPr="79064136">
        <w:rPr>
          <w:rFonts w:cs="Times New Roman"/>
        </w:rPr>
        <w:t>(Ares and Van Ditmars, 2025)</w:t>
      </w:r>
      <w:r w:rsidR="00414971">
        <w:fldChar w:fldCharType="end"/>
      </w:r>
      <w:r w:rsidR="00414971">
        <w:t>.</w:t>
      </w:r>
      <w:commentRangeStart w:id="2"/>
      <w:commentRangeEnd w:id="2"/>
      <w:r w:rsidR="00414971">
        <w:rPr>
          <w:rStyle w:val="CommentReference"/>
        </w:rPr>
        <w:commentReference w:id="2"/>
      </w:r>
      <w:r w:rsidR="008310FF">
        <w:t xml:space="preserve"> The relevance of this claim requires </w:t>
      </w:r>
      <w:r w:rsidR="00BE126A">
        <w:t>scrutinizing</w:t>
      </w:r>
      <w:r w:rsidR="008310FF">
        <w:t xml:space="preserve"> whether </w:t>
      </w:r>
      <w:r w:rsidR="00414971" w:rsidRPr="00414971">
        <w:t xml:space="preserve">changes </w:t>
      </w:r>
      <w:r w:rsidR="008310FF">
        <w:t xml:space="preserve">in </w:t>
      </w:r>
      <w:r w:rsidR="00414971" w:rsidRPr="00414971">
        <w:t xml:space="preserve">social networks contribute to attitude formation, independently of the class experiences linked to the claimed </w:t>
      </w:r>
      <w:r w:rsidR="008310FF">
        <w:t>relationship with</w:t>
      </w:r>
      <w:r w:rsidR="00414971" w:rsidRPr="00414971">
        <w:t xml:space="preserve"> </w:t>
      </w:r>
      <w:r w:rsidR="008310FF">
        <w:t xml:space="preserve">social </w:t>
      </w:r>
      <w:r w:rsidR="00414971" w:rsidRPr="00414971">
        <w:t>mobility</w:t>
      </w:r>
      <w:r w:rsidR="007A20A6">
        <w:t xml:space="preserve"> </w:t>
      </w:r>
      <w:r w:rsidR="00414971" w:rsidRPr="00414971">
        <w:t xml:space="preserve">(Ares, 2020; Helgason &amp; Rehm, 2023, 2024). </w:t>
      </w:r>
      <w:r w:rsidR="00525795">
        <w:t>C</w:t>
      </w:r>
      <w:r w:rsidR="79064136">
        <w:t>lass-based network diversity represents cross-class embeddedness through ties with family, friends, and acquaintances</w:t>
      </w:r>
      <w:r w:rsidR="003B04FC">
        <w:t xml:space="preserve"> </w:t>
      </w:r>
      <w:r w:rsidR="003B04FC">
        <w:fldChar w:fldCharType="begin"/>
      </w:r>
      <w:r w:rsidR="003B04FC">
        <w:instrText xml:space="preserve"> ADDIN ZOTERO_ITEM CSL_CITATION {"citationID":"yqUIcalE","properties":{"formattedCitation":"(Paskov and Weisstanner, 2022)","plainCitation":"(Paskov and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3B04FC">
        <w:fldChar w:fldCharType="separate"/>
      </w:r>
      <w:r w:rsidR="003B04FC" w:rsidRPr="003B04FC">
        <w:rPr>
          <w:rFonts w:cs="Times New Roman"/>
        </w:rPr>
        <w:t>(Paskov and Weisstanner, 2022)</w:t>
      </w:r>
      <w:r w:rsidR="003B04FC">
        <w:fldChar w:fldCharType="end"/>
      </w:r>
      <w:r w:rsidR="79064136">
        <w:t xml:space="preserve">. These diverse connections provide access </w:t>
      </w:r>
      <w:r w:rsidR="00CB1D90">
        <w:t xml:space="preserve">and expose </w:t>
      </w:r>
      <w:r w:rsidR="00CB1D90" w:rsidRPr="00CB1D90">
        <w:t xml:space="preserve">individuals to a qualitative spectrum </w:t>
      </w:r>
      <w:r w:rsidR="00CB1D90">
        <w:t xml:space="preserve">of others’ </w:t>
      </w:r>
      <w:r w:rsidR="79064136">
        <w:t xml:space="preserve">class experiences. Thus, </w:t>
      </w:r>
      <w:r w:rsidR="79064136" w:rsidRPr="00746D0F">
        <w:rPr>
          <w:i/>
          <w:iCs/>
        </w:rPr>
        <w:t>diversity</w:t>
      </w:r>
      <w:r w:rsidR="79064136">
        <w:t xml:space="preserve"> rises</w:t>
      </w:r>
      <w:r w:rsidR="00CB1D90">
        <w:t xml:space="preserve"> in importance,</w:t>
      </w:r>
      <w:r w:rsidR="79064136">
        <w:t xml:space="preserve"> rather than the volume of </w:t>
      </w:r>
      <w:r w:rsidR="79064136">
        <w:lastRenderedPageBreak/>
        <w:t xml:space="preserve">information represented by network size (Contreras, Otero, Díaz, and Suárez, 2019; Plaza, Beck, Iturra-Sanhueza, Otero, and Muñoz, 2026), or the influence of single </w:t>
      </w:r>
      <w:r w:rsidR="004D1E83">
        <w:t>class-based network tie</w:t>
      </w:r>
      <w:r w:rsidR="00BD2A41">
        <w:t xml:space="preserve"> </w:t>
      </w:r>
      <w:r w:rsidR="79064136">
        <w:t xml:space="preserve">represented by network class profiles or average occupational status </w:t>
      </w:r>
      <w:r w:rsidR="00D90339">
        <w:t>of the network</w:t>
      </w:r>
      <w:r w:rsidR="00625225">
        <w:t xml:space="preserve"> </w:t>
      </w:r>
      <w:r w:rsidR="79064136">
        <w:t xml:space="preserve">(Cobo-Arroyo, 2022; Lindh, Andersson, and Völker, 2021). </w:t>
      </w:r>
    </w:p>
    <w:p w14:paraId="252D3DA2" w14:textId="4F1BC4C9" w:rsidR="001C0FDA" w:rsidRPr="009A271B" w:rsidRDefault="00B510BA">
      <w:r>
        <w:rPr>
          <w:highlight w:val="yellow"/>
        </w:rPr>
        <w:t>M</w:t>
      </w:r>
      <w:r w:rsidR="79064136" w:rsidRPr="79064136">
        <w:rPr>
          <w:highlight w:val="yellow"/>
        </w:rPr>
        <w:t xml:space="preserve">ost of the longitudinal studies on the class-attitude link have been focused on </w:t>
      </w:r>
      <w:r w:rsidR="002D4F0F">
        <w:rPr>
          <w:highlight w:val="yellow"/>
        </w:rPr>
        <w:t>Western</w:t>
      </w:r>
      <w:r w:rsidR="79064136" w:rsidRPr="79064136">
        <w:rPr>
          <w:highlight w:val="yellow"/>
        </w:rPr>
        <w:t xml:space="preserve"> industrialized democracies </w:t>
      </w:r>
      <w:r w:rsidR="00975052" w:rsidRPr="79064136">
        <w:rPr>
          <w:highlight w:val="yellow"/>
        </w:rPr>
        <w:fldChar w:fldCharType="begin"/>
      </w:r>
      <w:r w:rsidR="00E53B1A">
        <w:rPr>
          <w:highlight w:val="yellow"/>
        </w:rPr>
        <w:instrText xml:space="preserve"> ADDIN ZOTERO_ITEM CSL_CITATION {"citationID":"icYb22t2","properties":{"formattedCitation":"(Ares, 2020; Helgason and Rehm, 2024; Langs\\uc0\\u230{}ther, Evans, and O\\uc0\\u8217{}Grady, 2022)","plainCitation":"(Ares, 2020; Helgason and Rehm, 2024; Langsæther, Evans, and O’Grady, 2022)","noteIndex":0},"citationItems":[{"id":18469,"uris":["http://zotero.org/users/5414506/items/U3F22TQP"],"itemData":{"id":18469,"type":"article-journal","container-title":"West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975052" w:rsidRPr="79064136">
        <w:rPr>
          <w:highlight w:val="yellow"/>
        </w:rPr>
        <w:fldChar w:fldCharType="separate"/>
      </w:r>
      <w:r w:rsidR="79064136" w:rsidRPr="79064136">
        <w:rPr>
          <w:rFonts w:cs="Times New Roman"/>
        </w:rPr>
        <w:t>(Ares, 2020; Helgason and Rehm, 2024; Langsæther, Evans, and O’Grady, 2022)</w:t>
      </w:r>
      <w:r w:rsidR="00975052" w:rsidRPr="79064136">
        <w:rPr>
          <w:highlight w:val="yellow"/>
        </w:rPr>
        <w:fldChar w:fldCharType="end"/>
      </w:r>
      <w:r w:rsidR="79064136" w:rsidRPr="79064136">
        <w:rPr>
          <w:highlight w:val="yellow"/>
        </w:rPr>
        <w:t>.</w:t>
      </w:r>
      <w:r w:rsidR="79064136">
        <w:t xml:space="preserve"> </w:t>
      </w:r>
      <w:r w:rsidR="0058749D">
        <w:t>T</w:t>
      </w:r>
      <w:commentRangeStart w:id="3"/>
      <w:r w:rsidR="00C25F04">
        <w:rPr>
          <w:highlight w:val="yellow"/>
        </w:rPr>
        <w:t xml:space="preserve">here is a scarcity of </w:t>
      </w:r>
      <w:r w:rsidR="001478CC" w:rsidRPr="79064136">
        <w:rPr>
          <w:highlight w:val="yellow"/>
        </w:rPr>
        <w:t xml:space="preserve">longitudinal studies </w:t>
      </w:r>
      <w:r w:rsidR="00C25F04">
        <w:rPr>
          <w:highlight w:val="yellow"/>
        </w:rPr>
        <w:t xml:space="preserve">linking </w:t>
      </w:r>
      <w:r w:rsidR="00F61B1F">
        <w:rPr>
          <w:highlight w:val="yellow"/>
        </w:rPr>
        <w:t xml:space="preserve">changes in </w:t>
      </w:r>
      <w:r w:rsidR="00C25F04">
        <w:rPr>
          <w:highlight w:val="yellow"/>
        </w:rPr>
        <w:t xml:space="preserve">socioeconomic positions </w:t>
      </w:r>
      <w:r w:rsidR="008C4EB1">
        <w:rPr>
          <w:highlight w:val="yellow"/>
        </w:rPr>
        <w:fldChar w:fldCharType="begin"/>
      </w:r>
      <w:r w:rsidR="008C4EB1">
        <w:rPr>
          <w:highlight w:val="yellow"/>
        </w:rPr>
        <w:instrText xml:space="preserve"> ADDIN ZOTERO_ITEM CSL_CITATION {"citationID":"mp4qfXMm","properties":{"formattedCitation":"(Castillo, Laffert, Carrasco, and Iturra-Sanhueza, 2025)","plainCitation":"(Castillo, Laffert, Carrasco, and Iturra-Sanhueza, 2025)","noteIndex":0},"citationItems":[{"id":21024,"uris":["http://zotero.org/users/5414506/items/L86EN2WX"],"itemData":{"id":21024,"type":"article-journal","abstract":"Several countries have experienced a shift toward the privatization and commodification of public goods, welfare policies, and social services. In Latin America, Chile stands out as a paradigmatic case where this trend has led to the extensive marketization of essential services. From a moral economy perspective, the extent to which individuals consider it fair for access to such services to depend on market criteria has been conceptualized as market justice preferences. This study investigates the relationship between perceptions of economic inequality, meritocratic beliefs, and market justice preferences in Chile between 2016 and 2023. Using six waves of panel data from the Chilean Longitudinal Social Survey – ELSOC (Nobservations = 8,643; Nindividuals = 1,687), the analysis examines how subjective assessments of inequality shape attitudes toward the role of merit in access to key social services such as healthcare, education, and pensions. The findings show that greater perceived inequality is associated with lower market justice preferences. However, individuals who believe that effort is rewarded are more likely to legitimize existing disparities. In contrast, the perception that talent is rewarded shows a negative effect on market justice preferences; an effect that intensifies as perceived inequality increases over time. The study also considers the influence of major social movements during this period, which appear to have reshaped public discourse on justice and fairness. These findings contribute to a deeper understanding of how distributive beliefs evolve in contexts marked by persistent inequality and entrenched neoliberal frameworks","container-title":"Frontiers in Sociology","DOI":"10.3389/fsoc.2025.1634219","ISSN":"2297-7775","journalAbbreviation":"Front. Sociol.","language":"English","note":"publisher: Frontiers","source":"Frontiers","title":"Perceptions of Inequality and Meritocracy: Their Interplay in Shaping Preferences for Market Justice in Chile (2016-2023)","title-short":"Perceptions of Inequality and Meritocracy","URL":"https://www.frontiersin.org/journals/sociology/articles/10.3389/fsoc.2025.1634219/full","volume":"10","author":[{"family":"Castillo","given":"Juan Carlos"},{"family":"Laffert","given":"Andreas"},{"family":"Carrasco","given":"Kevin"},{"family":"Iturra-Sanhueza","given":"Julio"}],"accessed":{"date-parts":[["2025",9,12]]},"issued":{"date-parts":[["2025",8,22]]},"citation-key":"castillo_perceptions_2025"}}],"schema":"https://github.com/citation-style-language/schema/raw/master/csl-citation.json"} </w:instrText>
      </w:r>
      <w:r w:rsidR="008C4EB1">
        <w:rPr>
          <w:highlight w:val="yellow"/>
        </w:rPr>
        <w:fldChar w:fldCharType="separate"/>
      </w:r>
      <w:r w:rsidR="008C4EB1" w:rsidRPr="008C4EB1">
        <w:rPr>
          <w:rFonts w:cs="Times New Roman"/>
          <w:highlight w:val="yellow"/>
        </w:rPr>
        <w:t>(Castillo, Laffert, Carrasco, and Iturra-Sanhueza, 2025)</w:t>
      </w:r>
      <w:r w:rsidR="008C4EB1">
        <w:rPr>
          <w:highlight w:val="yellow"/>
        </w:rPr>
        <w:fldChar w:fldCharType="end"/>
      </w:r>
      <w:r w:rsidR="00F61B1F">
        <w:rPr>
          <w:highlight w:val="yellow"/>
        </w:rPr>
        <w:t xml:space="preserve"> or </w:t>
      </w:r>
      <w:r w:rsidR="79064136" w:rsidRPr="79064136">
        <w:rPr>
          <w:highlight w:val="yellow"/>
        </w:rPr>
        <w:t xml:space="preserve">class-based networks </w:t>
      </w:r>
      <w:r w:rsidR="000B5B6C">
        <w:rPr>
          <w:highlight w:val="yellow"/>
        </w:rPr>
        <w:t>with</w:t>
      </w:r>
      <w:r w:rsidR="79064136" w:rsidRPr="79064136">
        <w:rPr>
          <w:highlight w:val="yellow"/>
        </w:rPr>
        <w:t xml:space="preserve"> political attitudes</w:t>
      </w:r>
      <w:commentRangeEnd w:id="3"/>
      <w:r w:rsidR="00975052">
        <w:rPr>
          <w:rStyle w:val="CommentReference"/>
        </w:rPr>
        <w:commentReference w:id="3"/>
      </w:r>
      <w:r w:rsidR="0058749D">
        <w:rPr>
          <w:highlight w:val="yellow"/>
        </w:rPr>
        <w:t xml:space="preserve"> </w:t>
      </w:r>
      <w:r w:rsidR="00975052" w:rsidRPr="79064136">
        <w:rPr>
          <w:highlight w:val="yellow"/>
        </w:rPr>
        <w:fldChar w:fldCharType="begin"/>
      </w:r>
      <w:r w:rsidR="00E53B1A">
        <w:rPr>
          <w:highlight w:val="yellow"/>
        </w:rPr>
        <w:instrText xml:space="preserve"> ADDIN ZOTERO_ITEM CSL_CITATION {"citationID":"CTQOoQGB","properties":{"formattedCitation":"(Otero and Mendoza, 2023; Otero, V\\uc0\\u246{}lker, R\\uc0\\u246{}zer, and Mollenhorst, 2022)","plainCitation":"(Otero and Mendoza, 2023; Otero, Völker, Rözer, and Mollenhorst, 2022)","noteIndex":0},"citationItems":[{"id":14961,"uris":["http://zotero.org/users/5414506/items/99Z8XYDM"],"itemData":{"id":14961,"type":"article-journal","abstract":"We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975052" w:rsidRPr="79064136">
        <w:rPr>
          <w:highlight w:val="yellow"/>
        </w:rPr>
        <w:fldChar w:fldCharType="separate"/>
      </w:r>
      <w:r w:rsidR="79064136" w:rsidRPr="79064136">
        <w:rPr>
          <w:rFonts w:cs="Times New Roman"/>
        </w:rPr>
        <w:t>(Otero and Mendoza, 2023; Otero, Völker, Rözer, and Mollenhorst, 2022)</w:t>
      </w:r>
      <w:r w:rsidR="00975052" w:rsidRPr="79064136">
        <w:rPr>
          <w:highlight w:val="yellow"/>
        </w:rPr>
        <w:fldChar w:fldCharType="end"/>
      </w:r>
      <w:r w:rsidR="008C4EB1">
        <w:t>.</w:t>
      </w:r>
      <w:r w:rsidR="00BE0C2A">
        <w:t xml:space="preserve"> </w:t>
      </w:r>
      <w:r w:rsidR="0058749D">
        <w:t>S</w:t>
      </w:r>
      <w:r w:rsidR="002649B5">
        <w:t xml:space="preserve">tudying the </w:t>
      </w:r>
      <w:r w:rsidR="00FD3BC2">
        <w:t>network-attitude</w:t>
      </w:r>
      <w:r w:rsidR="002649B5">
        <w:t xml:space="preserve"> link in </w:t>
      </w:r>
      <w:r w:rsidR="00852D61">
        <w:t>countries</w:t>
      </w:r>
      <w:r w:rsidR="00713030">
        <w:t xml:space="preserve"> </w:t>
      </w:r>
      <w:r w:rsidR="00852D61">
        <w:t>with</w:t>
      </w:r>
      <w:r w:rsidR="00713030">
        <w:t xml:space="preserve"> </w:t>
      </w:r>
      <w:r w:rsidR="00A94DD2" w:rsidRPr="00A94DD2">
        <w:t>modest public provision of welfare</w:t>
      </w:r>
      <w:r w:rsidR="00DC2A0D">
        <w:t xml:space="preserve"> </w:t>
      </w:r>
      <w:r w:rsidR="00713030">
        <w:t>and high inequality</w:t>
      </w:r>
      <w:r w:rsidR="00AC1775">
        <w:t xml:space="preserve">, such as the </w:t>
      </w:r>
      <w:r w:rsidR="0058749D">
        <w:t>Latin</w:t>
      </w:r>
      <w:r w:rsidR="00AC1775">
        <w:t xml:space="preserve"> American context, </w:t>
      </w:r>
      <w:r w:rsidR="00FD3BC2">
        <w:t>offers</w:t>
      </w:r>
      <w:r w:rsidR="00852D61">
        <w:t xml:space="preserve"> a substantial comparative contrast</w:t>
      </w:r>
      <w:r w:rsidR="002649B5">
        <w:t xml:space="preserve"> with Western industrialized countries</w:t>
      </w:r>
      <w:r w:rsidR="00852D61">
        <w:t>.</w:t>
      </w:r>
      <w:r w:rsidR="009A271B">
        <w:t xml:space="preserve"> </w:t>
      </w:r>
      <w:r w:rsidR="00690164">
        <w:t>A</w:t>
      </w:r>
      <w:r w:rsidR="79064136">
        <w:t xml:space="preserve"> key feature that shaped the development of the social policy regimes in Latin America has been the pivotal role of market institutions and principles in the provision of welfare </w:t>
      </w:r>
      <w:r w:rsidR="00273ECB">
        <w:fldChar w:fldCharType="begin"/>
      </w:r>
      <w:r w:rsidR="00E53B1A">
        <w:instrText xml:space="preserve"> ADDIN ZOTERO_ITEM CSL_CITATION {"citationID":"ZLSRgC2Z","properties":{"formattedCitation":"(Huber and Stephens, 2012)","plainCitation":"(Huber and Stephens, 2012)","noteIndex":0},"citationItems":[{"id":18917,"uris":["http://zotero.org/users/5414506/items/STNE7AQ7"],"itemData":{"id":18917,"type":"book","event-place":"Chicago","ISBN":"978-0-226-35653-2","language":"eng","number-of-pages":"342","publisher":"University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r w:rsidR="00273ECB">
        <w:fldChar w:fldCharType="separate"/>
      </w:r>
      <w:r w:rsidR="79064136" w:rsidRPr="79064136">
        <w:rPr>
          <w:rFonts w:cs="Times New Roman"/>
        </w:rPr>
        <w:t>(Huber and Stephens, 2012)</w:t>
      </w:r>
      <w:r w:rsidR="00273ECB">
        <w:fldChar w:fldCharType="end"/>
      </w:r>
      <w:r w:rsidR="79064136">
        <w:t>. From the 1970s onward, neoliberal reforms—marked by deregulation and privatization—transformed</w:t>
      </w:r>
      <w:r w:rsidR="00ED0276">
        <w:t xml:space="preserve"> </w:t>
      </w:r>
      <w:r w:rsidR="79064136">
        <w:t>welfare systems</w:t>
      </w:r>
      <w:r w:rsidR="001C0FDA">
        <w:t xml:space="preserve"> in Latin America</w:t>
      </w:r>
      <w:r w:rsidR="009342AA">
        <w:t xml:space="preserve"> by</w:t>
      </w:r>
      <w:r w:rsidR="79064136">
        <w:t xml:space="preserve"> </w:t>
      </w:r>
      <w:r w:rsidR="00FD76F9">
        <w:t>transferring</w:t>
      </w:r>
      <w:r w:rsidR="79064136">
        <w:t xml:space="preserve"> market logic</w:t>
      </w:r>
      <w:r w:rsidR="00FD76F9">
        <w:t>s</w:t>
      </w:r>
      <w:r w:rsidR="79064136">
        <w:t xml:space="preserve"> to social domains that </w:t>
      </w:r>
      <w:r w:rsidR="00BE7B5A">
        <w:t xml:space="preserve">were previously publicly covered </w:t>
      </w:r>
      <w:r w:rsidR="00273ECB">
        <w:fldChar w:fldCharType="begin"/>
      </w:r>
      <w:r w:rsidR="00E53B1A">
        <w:instrText xml:space="preserve"> ADDIN ZOTERO_ITEM CSL_CITATION {"citationID":"JN3pKPcr","properties":{"formattedCitation":"(Arrizabalo,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273ECB">
        <w:fldChar w:fldCharType="separate"/>
      </w:r>
      <w:r w:rsidR="79064136" w:rsidRPr="79064136">
        <w:rPr>
          <w:rFonts w:cs="Times New Roman"/>
        </w:rPr>
        <w:t>(Arrizabalo, 1995)</w:t>
      </w:r>
      <w:r w:rsidR="00273ECB">
        <w:fldChar w:fldCharType="end"/>
      </w:r>
      <w:r w:rsidR="79064136">
        <w:t>.</w:t>
      </w:r>
      <w:r w:rsidR="004D2772">
        <w:t xml:space="preserve"> </w:t>
      </w:r>
      <w:r w:rsidR="79064136">
        <w:t xml:space="preserve">From a moral economy perspective, market mechanisms </w:t>
      </w:r>
      <w:r w:rsidR="0024507C">
        <w:t>in resource allocation</w:t>
      </w:r>
      <w:r w:rsidR="79064136">
        <w:t xml:space="preserve"> </w:t>
      </w:r>
      <w:r w:rsidR="00A233CB">
        <w:t>have</w:t>
      </w:r>
      <w:r w:rsidR="79064136">
        <w:t xml:space="preserve"> coexisted with economic redistribution and reciprocity, crystallized in welfare state institutions and family norms, in conjunction with their manifestation in popular views on these domains </w:t>
      </w:r>
      <w:r w:rsidR="00273ECB">
        <w:fldChar w:fldCharType="begin"/>
      </w:r>
      <w:r w:rsidR="00E53B1A">
        <w:instrText xml:space="preserve"> ADDIN ZOTERO_ITEM CSL_CITATION {"citationID":"AheeJ1LG","properties":{"formattedCitation":"(Koos and Sachweh, 2019)","plainCitation":"(Koos and Sachweh, 2019)","noteIndex":0},"citationItems":[{"id":14971,"uris":["http://zotero.org/users/5414506/items/QLAEJ2NX"],"itemData":{"id":14971,"type":"article-journal","abstract":"In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r w:rsidR="00273ECB">
        <w:fldChar w:fldCharType="separate"/>
      </w:r>
      <w:r w:rsidR="79064136" w:rsidRPr="79064136">
        <w:rPr>
          <w:rFonts w:cs="Times New Roman"/>
        </w:rPr>
        <w:t>(Koos and Sachweh, 2019)</w:t>
      </w:r>
      <w:r w:rsidR="00273ECB">
        <w:fldChar w:fldCharType="end"/>
      </w:r>
      <w:r w:rsidR="79064136">
        <w:t xml:space="preserve">. </w:t>
      </w:r>
      <w:r w:rsidR="00DC2A0D">
        <w:t>This</w:t>
      </w:r>
      <w:r w:rsidR="79064136">
        <w:t xml:space="preserve"> set of </w:t>
      </w:r>
      <w:r w:rsidR="79064136" w:rsidRPr="001B18AE">
        <w:t>principles and norms</w:t>
      </w:r>
      <w:r w:rsidR="00083F9F">
        <w:t xml:space="preserve">, including the role of </w:t>
      </w:r>
      <w:r w:rsidR="004F7911">
        <w:t xml:space="preserve">individual </w:t>
      </w:r>
      <w:r w:rsidR="79064136">
        <w:t xml:space="preserve">effort and productivity </w:t>
      </w:r>
      <w:r w:rsidR="00083F9F">
        <w:t xml:space="preserve">as a </w:t>
      </w:r>
      <w:r w:rsidR="00D078D8">
        <w:t xml:space="preserve">central </w:t>
      </w:r>
      <w:r w:rsidR="00A320E8">
        <w:t>criterion</w:t>
      </w:r>
      <w:r w:rsidR="79064136">
        <w:t xml:space="preserve"> for resource allocation</w:t>
      </w:r>
      <w:r w:rsidR="00B1031C">
        <w:t>,</w:t>
      </w:r>
      <w:r w:rsidR="79064136">
        <w:t xml:space="preserve"> has been addressed </w:t>
      </w:r>
      <w:r w:rsidR="00CE3F19">
        <w:t>as</w:t>
      </w:r>
      <w:r w:rsidR="79064136">
        <w:t xml:space="preserve"> of </w:t>
      </w:r>
      <w:r w:rsidR="79064136" w:rsidRPr="79064136">
        <w:rPr>
          <w:i/>
          <w:iCs/>
        </w:rPr>
        <w:t>market justice</w:t>
      </w:r>
      <w:r w:rsidR="79064136">
        <w:t xml:space="preserve"> </w:t>
      </w:r>
      <w:r w:rsidR="00273ECB">
        <w:fldChar w:fldCharType="begin"/>
      </w:r>
      <w:r w:rsidR="00E53B1A">
        <w:instrText xml:space="preserve"> ADDIN ZOTERO_ITEM CSL_CITATION {"citationID":"pHypMI9J","properties":{"formattedCitation":"(Kluegel, Mason, and Wegener, 1999; Lane, 1986)","plainCitation":"(Kluegel, Mason, and Wegener, 1999; Lane, 1986)","noteIndex":0},"citationItems":[{"id":16892,"uris":["http://zotero.org/users/5414506/items/2GJZPHXS"],"itemData":{"id":16892,"type":"article-journal","abstract":"This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273ECB">
        <w:fldChar w:fldCharType="separate"/>
      </w:r>
      <w:r w:rsidR="79064136" w:rsidRPr="79064136">
        <w:rPr>
          <w:rFonts w:cs="Times New Roman"/>
        </w:rPr>
        <w:t>(Kluegel, Mason, and Wegener, 1999; Lane, 1986)</w:t>
      </w:r>
      <w:r w:rsidR="00273ECB">
        <w:fldChar w:fldCharType="end"/>
      </w:r>
      <w:r w:rsidR="79064136">
        <w:t xml:space="preserve">. As these principles emphasize self-reliance and minimal government intervention, </w:t>
      </w:r>
      <w:r w:rsidR="00617487">
        <w:t>they function</w:t>
      </w:r>
      <w:r w:rsidR="79064136">
        <w:t xml:space="preserve"> as a legitimizing mechanism of economic inequality by framing it as the result of fair competition </w:t>
      </w:r>
      <w:r w:rsidR="00273ECB">
        <w:fldChar w:fldCharType="begin"/>
      </w:r>
      <w:r w:rsidR="00E53B1A">
        <w:instrText xml:space="preserve"> ADDIN ZOTERO_ITEM CSL_CITATION {"citationID":"iVCOaaC4","properties":{"formattedCitation":"(Svallfors,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273ECB">
        <w:fldChar w:fldCharType="separate"/>
      </w:r>
      <w:r w:rsidR="79064136" w:rsidRPr="79064136">
        <w:rPr>
          <w:rFonts w:cs="Times New Roman"/>
        </w:rPr>
        <w:t>(Svallfors, 2007)</w:t>
      </w:r>
      <w:r w:rsidR="00273ECB">
        <w:fldChar w:fldCharType="end"/>
      </w:r>
      <w:r w:rsidR="79064136">
        <w:t xml:space="preserve">. The empirical distributive justice literature </w:t>
      </w:r>
      <w:r w:rsidR="00CC0C8B">
        <w:t>shows</w:t>
      </w:r>
      <w:r w:rsidR="79064136">
        <w:t xml:space="preserve"> that market justice </w:t>
      </w:r>
      <w:r w:rsidR="00FA33C1">
        <w:t>attitudes</w:t>
      </w:r>
      <w:r w:rsidR="0022685F">
        <w:t xml:space="preserve"> are</w:t>
      </w:r>
      <w:r w:rsidR="00D224E4">
        <w:t xml:space="preserve"> </w:t>
      </w:r>
      <w:r w:rsidR="79064136">
        <w:t>salient in contexts of high inequality and modest public provision of welfare, where the capacity of citizens to contribute or pay</w:t>
      </w:r>
      <w:r w:rsidR="00FA33C1">
        <w:t xml:space="preserve"> </w:t>
      </w:r>
      <w:r w:rsidR="79064136">
        <w:t xml:space="preserve">constrains access to welfare services </w:t>
      </w:r>
      <w:r w:rsidR="00273ECB">
        <w:fldChar w:fldCharType="begin"/>
      </w:r>
      <w:r w:rsidR="00E53B1A">
        <w:instrText xml:space="preserve"> ADDIN ZOTERO_ITEM CSL_CITATION {"citationID":"X7hOL7E9","properties":{"formattedCitation":"(Immergut and Schneider, 2020; Lindh, 2015; von dem Knesebeck, Vonneilich, and Kim, 2016)","plainCitation":"(Immergut and Schneider, 2020; Lindh, 2015; von dem Knesebeck, Vonneilich, and Kim,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w:instrText>
      </w:r>
      <w:r w:rsidR="00E53B1A" w:rsidRPr="00E53B1A">
        <w:rPr>
          <w:lang w:val="de-DE"/>
        </w:rPr>
        <w:instrText xml:space="preserve"> Online Library","title":"Public Opinion against Markets? Attitudes towards Market Distribution of Social Services – A Comparison of 17 Countries","title-short":"Public Opinion against Markets?","volume":"49","author":[{"family":"Lindh","given":"Arvid"}],"issued":{"date-parts":[["2015"]]},"citation-key":"lindh_public_2015"}},{"id":16653,"uris":["http://zotero.org/users/5414506/items/RC5IGP9I"],"itemData":{"id":16653,"type":"article-journal","abstract":"In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r w:rsidR="00273ECB">
        <w:fldChar w:fldCharType="separate"/>
      </w:r>
      <w:r w:rsidR="79064136" w:rsidRPr="79064136">
        <w:rPr>
          <w:rFonts w:cs="Times New Roman"/>
          <w:lang w:val="de-DE"/>
        </w:rPr>
        <w:t>(Immergut and Schneider, 2020; Lindh, 2015; von dem Knesebeck, Vonneilich, and Kim, 2016)</w:t>
      </w:r>
      <w:r w:rsidR="00273ECB">
        <w:fldChar w:fldCharType="end"/>
      </w:r>
      <w:r w:rsidR="79064136" w:rsidRPr="79064136">
        <w:rPr>
          <w:lang w:val="de-DE"/>
        </w:rPr>
        <w:t xml:space="preserve">. </w:t>
      </w:r>
    </w:p>
    <w:p w14:paraId="7DA118CC" w14:textId="52A9F045" w:rsidR="009C2BB4" w:rsidRPr="00485463" w:rsidRDefault="000332A3" w:rsidP="00300FC8">
      <w:r w:rsidRPr="00381C7C">
        <w:rPr>
          <w:rFonts w:cs="Times New Roman"/>
        </w:rPr>
        <w:t xml:space="preserve">Against this backdrop, </w:t>
      </w:r>
      <w:r>
        <w:t>the main question of this paper is</w:t>
      </w:r>
      <w:r w:rsidRPr="00381C7C">
        <w:rPr>
          <w:rFonts w:cs="Times New Roman"/>
        </w:rPr>
        <w:t xml:space="preserve">: to what extent do individual changes in the socioeconomic composition of social networks affect changes in support for market justice principles? Drawing on three waves of data from the Chilean Longitudinal Social Survey (ELSOC, 2016–2023), I test whether increases in network diversity reduce individuals’ support for the commodification of welfare provision. </w:t>
      </w:r>
      <w:r w:rsidR="79064136">
        <w:t xml:space="preserve">Despite being one of Latin America’s more prosperous nations, Chile has one of the highest levels of economic inequality in the region. At the same time, the institutional architecture of the social policy regime in Chile is characterized as a welfare model heavily reliant on private provision. This study contributes to the literature by providing evidence from a Latin American developing country, emphasizing how socioeconomic changes in personal networks shape economic preferences over time. </w:t>
      </w:r>
    </w:p>
    <w:p w14:paraId="553CCF0A" w14:textId="0F4C6B82" w:rsidR="00DB0401" w:rsidRDefault="00BB5CF8" w:rsidP="00DB0401">
      <w:pPr>
        <w:pStyle w:val="Heading1"/>
      </w:pPr>
      <w:r w:rsidRPr="00D84938">
        <w:lastRenderedPageBreak/>
        <w:t xml:space="preserve">Theoretical views on </w:t>
      </w:r>
      <w:r w:rsidR="009E7221">
        <w:t>structural</w:t>
      </w:r>
      <w:r w:rsidR="006C28A6">
        <w:t xml:space="preserve"> position</w:t>
      </w:r>
      <w:r w:rsidR="00045106">
        <w:t>s</w:t>
      </w:r>
      <w:r w:rsidR="00DB0401">
        <w:t xml:space="preserve">, </w:t>
      </w:r>
      <w:r w:rsidRPr="00D84938">
        <w:t>social networks</w:t>
      </w:r>
      <w:bookmarkStart w:id="4" w:name="_8dx9y4ntxqh" w:colFirst="0" w:colLast="0"/>
      <w:bookmarkEnd w:id="4"/>
      <w:r w:rsidR="00E04E6D">
        <w:t>,</w:t>
      </w:r>
      <w:r w:rsidR="00DB0401">
        <w:t xml:space="preserve"> and market justice preferences</w:t>
      </w:r>
    </w:p>
    <w:p w14:paraId="64248AB6" w14:textId="1029535F" w:rsidR="00DB0401" w:rsidRPr="00FA1A02" w:rsidRDefault="00DB0401" w:rsidP="00DB0401">
      <w:pPr>
        <w:pStyle w:val="Heading2"/>
      </w:pPr>
      <w:r w:rsidRPr="00FA1A02">
        <w:t xml:space="preserve">Does time matter? The role of (changes in) individual structural position and networks </w:t>
      </w:r>
      <w:r w:rsidR="002B07C2" w:rsidRPr="00FA1A02">
        <w:t>on</w:t>
      </w:r>
      <w:r w:rsidRPr="00FA1A02">
        <w:t xml:space="preserve"> attitudes towards inequality  </w:t>
      </w:r>
    </w:p>
    <w:p w14:paraId="7F321CF1" w14:textId="5ADDA032" w:rsidR="004E3E51" w:rsidRPr="004E3E51" w:rsidRDefault="004E3E51" w:rsidP="00933FE7">
      <w:pPr>
        <w:pStyle w:val="NormalWeb"/>
        <w:jc w:val="both"/>
        <w:rPr>
          <w:lang w:val="en-US"/>
        </w:rPr>
      </w:pPr>
      <w:r w:rsidRPr="004E3E51">
        <w:rPr>
          <w:lang w:val="en-US"/>
        </w:rPr>
        <w:t xml:space="preserve">We know that individual socioeconomic position plays a key role in shaping attitudes toward inequality. People in higher-status positions—those with higher education, better-paid, and more secure jobs—tend to favor market-based over state-based distributions because such systems align with their self-interest and sense of merit-based fairness </w:t>
      </w:r>
      <w:r w:rsidR="00ED6D0C">
        <w:rPr>
          <w:lang w:val="en-US"/>
        </w:rPr>
        <w:fldChar w:fldCharType="begin"/>
      </w:r>
      <w:r w:rsidR="00ED6D0C">
        <w:rPr>
          <w:lang w:val="en-US"/>
        </w:rPr>
        <w:instrText xml:space="preserve"> ADDIN ZOTERO_ITEM CSL_CITATION {"citationID":"bQbCqQGs","properties":{"formattedCitation":"(Lindh and McCall, 2020; Svallfors, 2007)","plainCitation":"(Lindh and McCall, 2020; Svallfors, 2007)","noteIndex":0},"citationItems":[{"id":2293,"uris":["http://zotero.org/users/5414506/items/YIQH4UCN"],"itemData":{"id":2293,"type":"article-journal","abstract":"In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D6D0C">
        <w:rPr>
          <w:lang w:val="en-US"/>
        </w:rPr>
        <w:fldChar w:fldCharType="separate"/>
      </w:r>
      <w:r w:rsidR="00ED6D0C" w:rsidRPr="00ED6D0C">
        <w:rPr>
          <w:lang w:val="en-US"/>
        </w:rPr>
        <w:t>(Lindh and McCall, 2020; Svallfors, 2007)</w:t>
      </w:r>
      <w:r w:rsidR="00ED6D0C">
        <w:rPr>
          <w:lang w:val="en-US"/>
        </w:rPr>
        <w:fldChar w:fldCharType="end"/>
      </w:r>
      <w:r w:rsidRPr="004E3E51">
        <w:rPr>
          <w:lang w:val="en-US"/>
        </w:rPr>
        <w:t xml:space="preserve">. Empirical evidence consistently shows that socioeconomically advantaged individuals are more likely to support the idea that those with higher incomes should pay more for better-quality social services in education, healthcare, and pensions </w:t>
      </w:r>
      <w:r w:rsidR="00ED6D0C">
        <w:rPr>
          <w:lang w:val="en-US"/>
        </w:rPr>
        <w:fldChar w:fldCharType="begin"/>
      </w:r>
      <w:r w:rsidR="00ED6D0C">
        <w:rPr>
          <w:lang w:val="en-US"/>
        </w:rPr>
        <w:instrText xml:space="preserve"> ADDIN ZOTERO_ITEM CSL_CITATION {"citationID":"Zlsfp3v5","properties":{"formattedCitation":"(Castillo et al., 2024; Immergut and Schneider, 2020; Lee and Stacey, 2023)","plainCitation":"(Castillo et al., 2024; Immergut and Schneider, 2020; Lee and Stacey, 2023)","noteIndex":0},"citationItems":[{"id":16787,"uris":["http://zotero.org/users/5414506/items/ZYS3I7T7"],"itemData":{"id":16787,"type":"article-journal","abstract":"Previous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ED6D0C">
        <w:rPr>
          <w:lang w:val="en-US"/>
        </w:rPr>
        <w:fldChar w:fldCharType="separate"/>
      </w:r>
      <w:r w:rsidR="00ED6D0C" w:rsidRPr="00ED6D0C">
        <w:rPr>
          <w:lang w:val="en-US"/>
        </w:rPr>
        <w:t>(Castillo et al., 2024; Immergut and Schneider, 2020; Lee and Stacey, 2023)</w:t>
      </w:r>
      <w:r w:rsidR="00ED6D0C">
        <w:rPr>
          <w:lang w:val="en-US"/>
        </w:rPr>
        <w:fldChar w:fldCharType="end"/>
      </w:r>
      <w:r w:rsidR="00ED6D0C">
        <w:rPr>
          <w:lang w:val="en-US"/>
        </w:rPr>
        <w:t>.</w:t>
      </w:r>
      <w:r w:rsidRPr="004E3E51">
        <w:rPr>
          <w:lang w:val="en-US"/>
        </w:rPr>
        <w:t xml:space="preserve"> By contrast, individuals in disadvantaged positions—whose livelihoods depend more on public provision—tend to favor universal and redistributive arrangements. In this way, class position and educational attainment not only determine one’s material interest in redistribution but also shape the underlying belief that market outcomes reflect merit and personal effort </w:t>
      </w:r>
      <w:r w:rsidR="00ED6D0C">
        <w:rPr>
          <w:lang w:val="en-US"/>
        </w:rPr>
        <w:fldChar w:fldCharType="begin"/>
      </w:r>
      <w:r w:rsidR="00ED6D0C">
        <w:rPr>
          <w:lang w:val="en-US"/>
        </w:rPr>
        <w:instrText xml:space="preserve"> ADDIN ZOTERO_ITEM CSL_CITATION {"citationID":"w2w0USsA","properties":{"formattedCitation":"(H\\uc0\\u228{}usermann, Kurer, and Schwander, 2015; Kluegel et al., 1999)","plainCitation":"(Häusermann, Kurer, and Schwander, 2015; Kluegel et al., 1999)","noteIndex":0},"citationItems":[{"id":15825,"uris":["http://zotero.org/users/5414506/items/CFWH4PAZ"],"itemData":{"id":15825,"type":"article-journal","container-title":"Socio-Economic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ED6D0C">
        <w:rPr>
          <w:lang w:val="en-US"/>
        </w:rPr>
        <w:fldChar w:fldCharType="separate"/>
      </w:r>
      <w:r w:rsidR="00ED6D0C" w:rsidRPr="00ED6D0C">
        <w:rPr>
          <w:lang w:val="en-US"/>
        </w:rPr>
        <w:t>(Häusermann, Kurer, and Schwander, 2015; Kluegel et al., 1999)</w:t>
      </w:r>
      <w:r w:rsidR="00ED6D0C">
        <w:rPr>
          <w:lang w:val="en-US"/>
        </w:rPr>
        <w:fldChar w:fldCharType="end"/>
      </w:r>
      <w:r w:rsidR="00ED6D0C">
        <w:rPr>
          <w:lang w:val="en-US"/>
        </w:rPr>
        <w:t>.</w:t>
      </w:r>
    </w:p>
    <w:p w14:paraId="169D44F6" w14:textId="22634AAA" w:rsidR="00037EC9" w:rsidRPr="00037EC9" w:rsidRDefault="00AC5D04" w:rsidP="00933FE7">
      <w:pPr>
        <w:pStyle w:val="NormalWeb"/>
        <w:jc w:val="both"/>
        <w:rPr>
          <w:lang w:val="en-US"/>
        </w:rPr>
      </w:pPr>
      <w:r>
        <w:rPr>
          <w:lang w:val="en-US"/>
        </w:rPr>
        <w:t>In addition to the widely recognized</w:t>
      </w:r>
      <w:r w:rsidR="00037EC9" w:rsidRPr="00037EC9">
        <w:rPr>
          <w:lang w:val="en-US"/>
        </w:rPr>
        <w:t xml:space="preserve"> </w:t>
      </w:r>
      <w:r>
        <w:rPr>
          <w:lang w:val="en-US"/>
        </w:rPr>
        <w:t xml:space="preserve">attitudinal </w:t>
      </w:r>
      <w:r w:rsidR="00037EC9" w:rsidRPr="00037EC9">
        <w:rPr>
          <w:lang w:val="en-US"/>
        </w:rPr>
        <w:t>differences</w:t>
      </w:r>
      <w:r w:rsidR="00FA1A02">
        <w:rPr>
          <w:lang w:val="en-US"/>
        </w:rPr>
        <w:t xml:space="preserve"> </w:t>
      </w:r>
      <w:r w:rsidR="0072606E">
        <w:rPr>
          <w:lang w:val="en-US"/>
        </w:rPr>
        <w:t>between socioeconomic positions</w:t>
      </w:r>
      <w:r w:rsidR="00037EC9" w:rsidRPr="00037EC9">
        <w:rPr>
          <w:lang w:val="en-US"/>
        </w:rPr>
        <w:t xml:space="preserve">, recent </w:t>
      </w:r>
      <w:r>
        <w:rPr>
          <w:lang w:val="en-US"/>
        </w:rPr>
        <w:t xml:space="preserve">longitudinal </w:t>
      </w:r>
      <w:r w:rsidR="00037EC9" w:rsidRPr="00037EC9">
        <w:rPr>
          <w:lang w:val="en-US"/>
        </w:rPr>
        <w:t xml:space="preserve">studies highlight that the link between </w:t>
      </w:r>
      <w:r w:rsidR="00FA1A02">
        <w:rPr>
          <w:lang w:val="en-US"/>
        </w:rPr>
        <w:t>structural position</w:t>
      </w:r>
      <w:r w:rsidR="00037EC9" w:rsidRPr="00037EC9">
        <w:rPr>
          <w:lang w:val="en-US"/>
        </w:rPr>
        <w:t xml:space="preserve"> and attitudes toward inequality also unfolds as a gradual process of adaptation. These </w:t>
      </w:r>
      <w:r w:rsidR="0072606E">
        <w:rPr>
          <w:lang w:val="en-US"/>
        </w:rPr>
        <w:t xml:space="preserve">studies </w:t>
      </w:r>
      <w:r w:rsidR="00037EC9" w:rsidRPr="00037EC9">
        <w:rPr>
          <w:lang w:val="en-US"/>
        </w:rPr>
        <w:t>show that political attitudes evolve alongside changes in individuals’ structural locations, reflecting both material interests and learned experiences over time.</w:t>
      </w:r>
      <w:r>
        <w:rPr>
          <w:lang w:val="en-US"/>
        </w:rPr>
        <w:t xml:space="preserve"> </w:t>
      </w:r>
      <w:r w:rsidR="00037EC9" w:rsidRPr="00037EC9">
        <w:rPr>
          <w:lang w:val="en-US"/>
        </w:rPr>
        <w:t xml:space="preserve">As Helgason and Rehm </w:t>
      </w:r>
      <w:r w:rsidR="00A1349F">
        <w:rPr>
          <w:lang w:val="en-US"/>
        </w:rPr>
        <w:fldChar w:fldCharType="begin"/>
      </w:r>
      <w:r w:rsidR="00A1349F">
        <w:rPr>
          <w:lang w:val="en-US"/>
        </w:rPr>
        <w:instrText xml:space="preserve"> ADDIN ZOTERO_ITEM CSL_CITATION {"citationID":"oeG3Qk3c","properties":{"formattedCitation":"(2023, 2024)","plainCitation":"(2023, 2024)","noteIndex":0},"citationItems":[{"id":16783,"uris":["http://zotero.org/users/5414506/items/3FUL3QQA"],"itemData":{"id":16783,"type":"article-journal","abstract":"Income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uppress-author":true},{"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Freyr"},{"family":"Rehm","given":"Philipp"}],"issued":{"date-parts":[["2024",9,24]]},"citation-key":"helgason_class_2024"},"suppress-author":true}],"schema":"https://github.com/citation-style-language/schema/raw/master/csl-citation.json"} </w:instrText>
      </w:r>
      <w:r w:rsidR="00A1349F">
        <w:rPr>
          <w:lang w:val="en-US"/>
        </w:rPr>
        <w:fldChar w:fldCharType="separate"/>
      </w:r>
      <w:r w:rsidR="00A1349F" w:rsidRPr="00A1349F">
        <w:rPr>
          <w:lang w:val="en-US"/>
        </w:rPr>
        <w:t>(2023, 2024)</w:t>
      </w:r>
      <w:r w:rsidR="00A1349F">
        <w:rPr>
          <w:lang w:val="en-US"/>
        </w:rPr>
        <w:fldChar w:fldCharType="end"/>
      </w:r>
      <w:r w:rsidR="00A1349F">
        <w:rPr>
          <w:lang w:val="en-US"/>
        </w:rPr>
        <w:t xml:space="preserve"> </w:t>
      </w:r>
      <w:r w:rsidR="00037EC9" w:rsidRPr="00037EC9">
        <w:rPr>
          <w:lang w:val="en-US"/>
        </w:rPr>
        <w:t xml:space="preserve">argue, attitude formation can </w:t>
      </w:r>
      <w:r w:rsidR="00B344E5">
        <w:rPr>
          <w:lang w:val="en-US"/>
        </w:rPr>
        <w:t>be explained by different mechanisms</w:t>
      </w:r>
      <w:r w:rsidR="0072606E">
        <w:rPr>
          <w:lang w:val="en-US"/>
        </w:rPr>
        <w:t xml:space="preserve">. </w:t>
      </w:r>
      <w:r w:rsidR="0072606E" w:rsidRPr="0072606E">
        <w:rPr>
          <w:lang w:val="en-US"/>
        </w:rPr>
        <w:t xml:space="preserve">In their perspective, political attitudes can be </w:t>
      </w:r>
      <w:r w:rsidR="00CE21A3">
        <w:rPr>
          <w:lang w:val="en-US"/>
        </w:rPr>
        <w:t>accounted</w:t>
      </w:r>
      <w:r w:rsidR="0072606E" w:rsidRPr="0072606E">
        <w:rPr>
          <w:lang w:val="en-US"/>
        </w:rPr>
        <w:t xml:space="preserve"> through (i) </w:t>
      </w:r>
      <w:r w:rsidR="0072606E" w:rsidRPr="0072606E">
        <w:rPr>
          <w:i/>
          <w:iCs/>
          <w:lang w:val="en-US"/>
        </w:rPr>
        <w:t xml:space="preserve">socialization, </w:t>
      </w:r>
      <w:r w:rsidR="0072606E" w:rsidRPr="0072606E">
        <w:rPr>
          <w:lang w:val="en-US"/>
        </w:rPr>
        <w:t xml:space="preserve">which posits stability according to early-life experiences in the family of origin; (ii) </w:t>
      </w:r>
      <w:r w:rsidR="0072606E" w:rsidRPr="0072606E">
        <w:rPr>
          <w:i/>
          <w:iCs/>
          <w:lang w:val="en-US"/>
        </w:rPr>
        <w:t>anticipation</w:t>
      </w:r>
      <w:r w:rsidR="0072606E" w:rsidRPr="0072606E">
        <w:rPr>
          <w:lang w:val="en-US"/>
        </w:rPr>
        <w:t xml:space="preserve">, where attitudes can be aligned with expected future income; (iii) </w:t>
      </w:r>
      <w:r w:rsidR="0072606E" w:rsidRPr="0072606E">
        <w:rPr>
          <w:i/>
          <w:iCs/>
          <w:lang w:val="en-US"/>
        </w:rPr>
        <w:t xml:space="preserve">myopic self-interest, </w:t>
      </w:r>
      <w:r w:rsidR="0072606E" w:rsidRPr="0072606E">
        <w:rPr>
          <w:lang w:val="en-US"/>
        </w:rPr>
        <w:t xml:space="preserve">which focuses on immediate income effects; (iv) </w:t>
      </w:r>
      <w:commentRangeStart w:id="5"/>
      <w:r w:rsidR="0072606E" w:rsidRPr="0072606E">
        <w:rPr>
          <w:i/>
          <w:iCs/>
          <w:lang w:val="en-US"/>
        </w:rPr>
        <w:t>learning</w:t>
      </w:r>
      <w:r w:rsidR="0072606E" w:rsidRPr="0072606E">
        <w:rPr>
          <w:lang w:val="en-US"/>
        </w:rPr>
        <w:t xml:space="preserve"> highlights cumulative changes from past and current experiences</w:t>
      </w:r>
      <w:commentRangeEnd w:id="5"/>
      <w:r w:rsidR="0072606E">
        <w:rPr>
          <w:rStyle w:val="CommentReference"/>
        </w:rPr>
        <w:commentReference w:id="5"/>
      </w:r>
      <w:r w:rsidR="0072606E" w:rsidRPr="0072606E">
        <w:rPr>
          <w:lang w:val="en-US"/>
        </w:rPr>
        <w:t xml:space="preserve">; and (v) </w:t>
      </w:r>
      <w:r w:rsidR="0072606E" w:rsidRPr="0072606E">
        <w:rPr>
          <w:i/>
          <w:iCs/>
          <w:lang w:val="en-US"/>
        </w:rPr>
        <w:t>status maximization</w:t>
      </w:r>
      <w:r w:rsidR="0072606E" w:rsidRPr="0072606E">
        <w:rPr>
          <w:lang w:val="en-US"/>
        </w:rPr>
        <w:t xml:space="preserve"> links attitudes to the highest structural position achieved over time. </w:t>
      </w:r>
      <w:r w:rsidR="0072606E">
        <w:rPr>
          <w:lang w:val="en-US"/>
        </w:rPr>
        <w:t>Accordingly, c</w:t>
      </w:r>
      <w:r w:rsidR="00037EC9" w:rsidRPr="00037EC9">
        <w:rPr>
          <w:lang w:val="en-US"/>
        </w:rPr>
        <w:t xml:space="preserve">hange is typically slow and cumulative, suggesting that class-based attitudinal divides emerge not only from static group differences but also from differential exposure to upward or downward mobility experiences. Empirical evidence supports this view: individuals experiencing upward mobility, especially through </w:t>
      </w:r>
      <w:r w:rsidR="00AC2A03">
        <w:rPr>
          <w:lang w:val="en-US"/>
        </w:rPr>
        <w:t>changes in wages</w:t>
      </w:r>
      <w:r w:rsidR="00037EC9" w:rsidRPr="00037EC9">
        <w:rPr>
          <w:lang w:val="en-US"/>
        </w:rPr>
        <w:t xml:space="preserve"> </w:t>
      </w:r>
      <w:r w:rsidR="00AC2A03">
        <w:rPr>
          <w:lang w:val="en-US"/>
        </w:rPr>
        <w:t>or</w:t>
      </w:r>
      <w:r w:rsidR="00037EC9" w:rsidRPr="00037EC9">
        <w:rPr>
          <w:lang w:val="en-US"/>
        </w:rPr>
        <w:t xml:space="preserve"> </w:t>
      </w:r>
      <w:r w:rsidR="00AC2A03">
        <w:rPr>
          <w:lang w:val="en-US"/>
        </w:rPr>
        <w:t>occupational class</w:t>
      </w:r>
      <w:r w:rsidR="00037EC9" w:rsidRPr="00037EC9">
        <w:rPr>
          <w:lang w:val="en-US"/>
        </w:rPr>
        <w:t xml:space="preserve">, tend to become more </w:t>
      </w:r>
      <w:r w:rsidR="00CE21A3">
        <w:rPr>
          <w:lang w:val="en-US"/>
        </w:rPr>
        <w:t>supportive of unequal</w:t>
      </w:r>
      <w:r w:rsidR="00037EC9" w:rsidRPr="00037EC9">
        <w:rPr>
          <w:lang w:val="en-US"/>
        </w:rPr>
        <w:t xml:space="preserve"> </w:t>
      </w:r>
      <w:r w:rsidR="00CE21A3">
        <w:rPr>
          <w:lang w:val="en-US"/>
        </w:rPr>
        <w:t>economic distribution</w:t>
      </w:r>
      <w:r w:rsidR="00037EC9" w:rsidRPr="00037EC9">
        <w:rPr>
          <w:lang w:val="en-US"/>
        </w:rPr>
        <w:t xml:space="preserve">, as they benefit more directly from unequal outcomes </w:t>
      </w:r>
      <w:r w:rsidR="003F0DDB">
        <w:rPr>
          <w:lang w:val="en-US"/>
        </w:rPr>
        <w:fldChar w:fldCharType="begin"/>
      </w:r>
      <w:r w:rsidR="003F0DDB">
        <w:rPr>
          <w:lang w:val="en-US"/>
        </w:rPr>
        <w:instrText xml:space="preserve"> ADDIN ZOTERO_ITEM CSL_CITATION {"citationID":"z3XRMnbt","properties":{"formattedCitation":"(Ares, 2020; Ares and Van Ditmars, 2025; Helgason and Rehm, 2023; Langs\\uc0\\u230{}ther et al., 2022; Stegmueller, 2013)","plainCitation":"(Ares, 2020; Ares and Van Ditmars, 2025; Helgason and Rehm, 2023; Langsæther et al., 2022; Stegmueller, 2013)","noteIndex":0},"citationItems":[{"id":18469,"uris":["http://zotero.org/users/5414506/items/U3F22TQP"],"itemData":{"id":18469,"type":"article-journal","container-title":"West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20901,"uris":["http://zotero.org/users/5414506/items/MY2BCYCT"],"itemData":{"id":20901,"type":"article-journal","container-title":"West European Politics","DOI":"10.1080/01402382.2024.2415845","ISSN":"0140-2382, 1743-9655","issue":"4","journalAbbreviation":"West European Politics","language":"en","page":"951-976","source":"DOI.org (Crossref)","title":"A life course approach to political preference formation across social classes","volume":"48","author":[{"family":"Ares","given":"Macarena"},{"family":"Van Ditmars","given":"Mathilde M."}],"issued":{"date-parts":[["2025",6,7]]},"citation-key":"ares_life_2025"}},{"id":16783,"uris":["http://zotero.org/users/5414506/items/3FUL3QQA"],"itemData":{"id":16783,"type":"article-journal","abstract":"Income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003F0DDB">
        <w:rPr>
          <w:lang w:val="en-US"/>
        </w:rPr>
        <w:fldChar w:fldCharType="separate"/>
      </w:r>
      <w:r w:rsidR="003F0DDB" w:rsidRPr="003F0DDB">
        <w:rPr>
          <w:lang w:val="en-US"/>
        </w:rPr>
        <w:t>(Ares, 2020; Ares and Van Ditmars, 2025; Helgason and Rehm, 2023; Langsæther et al., 2022; Stegmueller, 2013)</w:t>
      </w:r>
      <w:r w:rsidR="003F0DDB">
        <w:rPr>
          <w:lang w:val="en-US"/>
        </w:rPr>
        <w:fldChar w:fldCharType="end"/>
      </w:r>
      <w:r w:rsidR="003F0DDB">
        <w:rPr>
          <w:lang w:val="en-US"/>
        </w:rPr>
        <w:t xml:space="preserve">. </w:t>
      </w:r>
      <w:r w:rsidR="00037EC9" w:rsidRPr="00037EC9">
        <w:rPr>
          <w:lang w:val="en-US"/>
        </w:rPr>
        <w:t>Yet, mobile individuals also display more nuanced and ambivalent preferences than those with stable class trajectories, indicating that class-based mechanisms of learning and adaptation underlie how inequality attitudes evolve over time.</w:t>
      </w:r>
    </w:p>
    <w:p w14:paraId="23520603" w14:textId="558C2EEC" w:rsidR="00DB0401" w:rsidRPr="00D84938" w:rsidRDefault="00DB0401" w:rsidP="00DB0401">
      <w:r>
        <w:t xml:space="preserve">Beyond the </w:t>
      </w:r>
      <w:r w:rsidR="00F31AB9">
        <w:t>temporal</w:t>
      </w:r>
      <w:r>
        <w:t xml:space="preserve"> structural position,</w:t>
      </w:r>
      <w:r w:rsidR="00FB7890">
        <w:t xml:space="preserve"> </w:t>
      </w:r>
      <w:r w:rsidR="00FA1559">
        <w:t>recent literature</w:t>
      </w:r>
      <w:r>
        <w:t xml:space="preserve"> has argued that </w:t>
      </w:r>
      <w:r w:rsidR="00260CD6">
        <w:t xml:space="preserve">the socioeconomic composition of </w:t>
      </w:r>
      <w:r>
        <w:t xml:space="preserve">social networks also </w:t>
      </w:r>
      <w:r w:rsidR="00260CD6">
        <w:t>contributes</w:t>
      </w:r>
      <w:r>
        <w:t xml:space="preserve"> to attitude formation in different manners. </w:t>
      </w:r>
      <w:r w:rsidR="00534753">
        <w:t xml:space="preserve">This </w:t>
      </w:r>
      <w:r w:rsidR="001C0F39">
        <w:t xml:space="preserve">implies social networks play an additional role in attitude formation, in addition to the already documented material </w:t>
      </w:r>
      <w:r>
        <w:t xml:space="preserve">self-interest </w:t>
      </w:r>
      <w:r w:rsidR="001C0F39">
        <w:t xml:space="preserve">and </w:t>
      </w:r>
      <w:r>
        <w:t xml:space="preserve">value-driven explanations </w:t>
      </w:r>
      <w:r w:rsidR="001C0F39">
        <w:t xml:space="preserve">of political preferences </w:t>
      </w:r>
      <w:r>
        <w:fldChar w:fldCharType="begin"/>
      </w:r>
      <w:r w:rsidR="00E53B1A">
        <w:instrText xml:space="preserve"> ADDIN ZOTERO_ITEM CSL_CITATION {"citationID":"4azlUoE9","properties":{"formattedCitation":"(Kulin and Svallfors, 2013; Maldonado, Olivos, Castillo, Atria, and Azar, 2019)","plainCitation":"(Kulin and Svallfors, 2013; Maldonado, Olivos, Castillo, Atria, and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fldChar w:fldCharType="separate"/>
      </w:r>
      <w:r w:rsidR="00D92E77" w:rsidRPr="00D92E77">
        <w:rPr>
          <w:rFonts w:cs="Times New Roman"/>
        </w:rPr>
        <w:t>(Kulin and Svallfors, 2013; Maldonado, Olivos, Castillo, Atria, and Azar, 2019)</w:t>
      </w:r>
      <w:r>
        <w:fldChar w:fldCharType="end"/>
      </w:r>
      <w:r>
        <w:t xml:space="preserve">. Recently, </w:t>
      </w:r>
      <w:r w:rsidR="00D250E1">
        <w:t xml:space="preserve">studies on the role </w:t>
      </w:r>
      <w:r>
        <w:t xml:space="preserve">of </w:t>
      </w:r>
      <w:r w:rsidRPr="000C26C7">
        <w:rPr>
          <w:i/>
          <w:iCs/>
        </w:rPr>
        <w:t>network class profiles</w:t>
      </w:r>
      <w:r>
        <w:t xml:space="preserve"> – </w:t>
      </w:r>
      <w:r>
        <w:lastRenderedPageBreak/>
        <w:t xml:space="preserve">understood as the share of ties toward specific social classes </w:t>
      </w:r>
      <w:r w:rsidR="00D250E1">
        <w:t xml:space="preserve">have </w:t>
      </w:r>
      <w:r>
        <w:t>found that higher ties to working-class (</w:t>
      </w:r>
      <w:r w:rsidR="00BF28B1">
        <w:t>service</w:t>
      </w:r>
      <w:r>
        <w:t xml:space="preserve">-class) positions are associated with higher (lower) perceived income inequality </w:t>
      </w:r>
      <w:r>
        <w:fldChar w:fldCharType="begin"/>
      </w:r>
      <w:r w:rsidR="00E53B1A">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fldChar w:fldCharType="separate"/>
      </w:r>
      <w:r w:rsidR="00D92E77" w:rsidRPr="00D92E77">
        <w:rPr>
          <w:rFonts w:cs="Times New Roman"/>
        </w:rPr>
        <w:t>(Cobo-Arroyo, 2022)</w:t>
      </w:r>
      <w:r>
        <w:fldChar w:fldCharType="end"/>
      </w:r>
      <w:r>
        <w:t xml:space="preserve"> and stronger (weaker) support for inequality reduction </w:t>
      </w:r>
      <w:r>
        <w:fldChar w:fldCharType="begin"/>
      </w:r>
      <w:r w:rsidR="00E53B1A">
        <w:instrText xml:space="preserve"> ADDIN ZOTERO_ITEM CSL_CITATION {"citationID":"NHsfZ77R","properties":{"formattedCitation":"(Lindh and Andersson, 2024)","plainCitation":"(Lindh and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fldChar w:fldCharType="separate"/>
      </w:r>
      <w:r w:rsidR="00D92E77" w:rsidRPr="00D92E77">
        <w:rPr>
          <w:rFonts w:cs="Times New Roman"/>
        </w:rPr>
        <w:t>(Lindh and Andersson, 2024)</w:t>
      </w:r>
      <w:r>
        <w:fldChar w:fldCharType="end"/>
      </w:r>
      <w:r>
        <w:t>. In this sense, it is argued that networks shape attitudes and political preferences through social influence</w:t>
      </w:r>
      <w:r w:rsidR="00F82763">
        <w:t>,</w:t>
      </w:r>
      <w:r>
        <w:t xml:space="preserve"> implying that individuals adjust their views accordingly based on the </w:t>
      </w:r>
      <w:r w:rsidR="00D0224B">
        <w:t xml:space="preserve">social interactions </w:t>
      </w:r>
      <w:r>
        <w:t xml:space="preserve">through their network ties </w:t>
      </w:r>
      <w:r>
        <w:fldChar w:fldCharType="begin"/>
      </w:r>
      <w:r w:rsidR="001B739B">
        <w:instrText xml:space="preserve"> ADDIN ZOTERO_ITEM CSL_CITATION {"citationID":"F9Y9Vnni","properties":{"formattedCitation":"(Lindh, Andersson, and V\\uc0\\u246{}lker, 2021)","plainCitation":"(Lindh, Andersson, and Völker,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001B739B" w:rsidRPr="001B739B">
        <w:rPr>
          <w:rFonts w:cs="Times New Roman"/>
        </w:rPr>
        <w:t>(Lindh, Andersson, and Völker, 2021)</w:t>
      </w:r>
      <w:r>
        <w:fldChar w:fldCharType="end"/>
      </w:r>
      <w:r>
        <w:t xml:space="preserve">. </w:t>
      </w:r>
    </w:p>
    <w:p w14:paraId="1CBD5A6A" w14:textId="07BAA63E" w:rsidR="00DB0401" w:rsidRDefault="00933FE7" w:rsidP="00DB0401">
      <w:r>
        <w:t xml:space="preserve">Another part of the literature on class-based networks has taken a step forward with the single-class profile approach and shown that </w:t>
      </w:r>
      <w:r w:rsidR="79064136" w:rsidRPr="79064136">
        <w:rPr>
          <w:i/>
          <w:iCs/>
        </w:rPr>
        <w:t xml:space="preserve">simultaneous </w:t>
      </w:r>
      <w:r w:rsidR="79064136">
        <w:t>connection to diverse socioeconomic status positions is associated with more critical views on economic inequality. In particular, socioeconomic diversity in interpersonal networks (</w:t>
      </w:r>
      <w:r w:rsidR="79064136" w:rsidRPr="79064136">
        <w:rPr>
          <w:i/>
          <w:iCs/>
        </w:rPr>
        <w:t>diversity</w:t>
      </w:r>
      <w:r w:rsidR="79064136">
        <w:t xml:space="preserve"> onwards)— understood as the degree of connectedness to dissimilar socioeconomic positions (e.g., occupational classes) has been brought into the discussion of how networks contribute to the formation of attitudes toward economic inequality </w:t>
      </w:r>
      <w:r w:rsidR="00DB0401">
        <w:fldChar w:fldCharType="begin"/>
      </w:r>
      <w:r w:rsidR="00E53B1A">
        <w:instrText xml:space="preserve"> ADDIN ZOTERO_ITEM CSL_CITATION {"citationID":"R3TSlnHs","properties":{"formattedCitation":"(Otero and Mendoza, 2023)","plainCitation":"(Otero and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B0401">
        <w:fldChar w:fldCharType="separate"/>
      </w:r>
      <w:r w:rsidR="79064136" w:rsidRPr="79064136">
        <w:rPr>
          <w:rFonts w:cs="Times New Roman"/>
        </w:rPr>
        <w:t>(Otero and Mendoza, 2023)</w:t>
      </w:r>
      <w:r w:rsidR="00DB0401">
        <w:fldChar w:fldCharType="end"/>
      </w:r>
      <w:r w:rsidR="79064136">
        <w:t xml:space="preserve">. </w:t>
      </w:r>
      <w:commentRangeStart w:id="6"/>
      <w:r w:rsidR="79064136">
        <w:t>In this sense</w:t>
      </w:r>
      <w:commentRangeEnd w:id="6"/>
      <w:r w:rsidR="00DB0401">
        <w:rPr>
          <w:rStyle w:val="CommentReference"/>
        </w:rPr>
        <w:commentReference w:id="6"/>
      </w:r>
      <w:r w:rsidR="79064136">
        <w:t xml:space="preserve">, it has been argued that dissimilarity within networks refers to cross-cutting social circles, implying access to diverse life experiences and broader exposure to information </w:t>
      </w:r>
      <w:r w:rsidR="00DB0401">
        <w:fldChar w:fldCharType="begin"/>
      </w:r>
      <w:r w:rsidR="00E53B1A">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DB0401">
        <w:fldChar w:fldCharType="separate"/>
      </w:r>
      <w:r w:rsidR="79064136" w:rsidRPr="79064136">
        <w:rPr>
          <w:rFonts w:cs="Times New Roman"/>
        </w:rPr>
        <w:t>(Blau, 1977)</w:t>
      </w:r>
      <w:r w:rsidR="00DB0401">
        <w:fldChar w:fldCharType="end"/>
      </w:r>
      <w:r w:rsidR="79064136">
        <w:t xml:space="preserve">. Additionally, another argument is that network ties act as inferential spaces </w:t>
      </w:r>
      <w:r w:rsidR="00DB0401">
        <w:fldChar w:fldCharType="begin"/>
      </w:r>
      <w:r w:rsidR="00E53B1A">
        <w:instrText xml:space="preserve"> ADDIN ZOTERO_ITEM CSL_CITATION {"citationID":"qs3uSWVC","properties":{"formattedCitation":"(Mijs, 2018)","plainCitation":"(Mijs, 2018)","noteIndex":0},"citationItems":[{"id":12007,"uris":["http://zotero.org/users/5414506/items/DJH5PJIM"],"itemData":{"id":12007,"type":"article-journal","abstract":"A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rsidR="00DB0401">
        <w:fldChar w:fldCharType="separate"/>
      </w:r>
      <w:r w:rsidR="79064136" w:rsidRPr="79064136">
        <w:rPr>
          <w:rFonts w:cs="Times New Roman"/>
        </w:rPr>
        <w:t>(Mijs, 2018)</w:t>
      </w:r>
      <w:r w:rsidR="00DB0401">
        <w:fldChar w:fldCharType="end"/>
      </w:r>
      <w:r w:rsidR="79064136">
        <w:t xml:space="preserve">. This implies that individuals who reason and experience more diverse networks are much more likely to learn and comprehend about magnitude and causes of inequality </w:t>
      </w:r>
      <w:r w:rsidR="00DB0401">
        <w:fldChar w:fldCharType="begin"/>
      </w:r>
      <w:r w:rsidR="00E53B1A">
        <w:instrText xml:space="preserve"> ADDIN ZOTERO_ITEM CSL_CITATION {"citationID":"51FwKySn","properties":{"formattedCitation":"(Mijs and Usmani, 2024)","plainCitation":"(Mijs and Usmani, 2024)","noteIndex":0},"citationItems":[{"id":19089,"uris":["http://zotero.org/users/5414506/items/MQ5MDYL2"],"itemData":{"id":19089,"type":"article-journal","abstract":"Why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rsidR="00DB0401">
        <w:fldChar w:fldCharType="separate"/>
      </w:r>
      <w:r w:rsidR="79064136" w:rsidRPr="79064136">
        <w:rPr>
          <w:rFonts w:cs="Times New Roman"/>
        </w:rPr>
        <w:t>(Mijs and Usmani, 2024)</w:t>
      </w:r>
      <w:r w:rsidR="00DB0401">
        <w:fldChar w:fldCharType="end"/>
      </w:r>
      <w:r w:rsidR="79064136">
        <w:t xml:space="preserve">. This diversity of experiences can leverage the connection between economic inequality and labor market rewards, as cross-class contact provides more diverse information and life experiences of others that may foster empathy toward those in economic despair </w:t>
      </w:r>
      <w:r w:rsidR="00DB0401">
        <w:fldChar w:fldCharType="begin"/>
      </w:r>
      <w:r w:rsidR="00E53B1A">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B0401">
        <w:fldChar w:fldCharType="separate"/>
      </w:r>
      <w:r w:rsidR="79064136" w:rsidRPr="79064136">
        <w:rPr>
          <w:rFonts w:cs="Times New Roman"/>
        </w:rPr>
        <w:t>(Sachweh, 2012)</w:t>
      </w:r>
      <w:r w:rsidR="00DB0401">
        <w:fldChar w:fldCharType="end"/>
      </w:r>
      <w:r w:rsidR="79064136">
        <w:t xml:space="preserve"> or, conversely, legitimize inequality as cross-class contact fades </w:t>
      </w:r>
      <w:r w:rsidR="00DB0401">
        <w:fldChar w:fldCharType="begin"/>
      </w:r>
      <w:r w:rsidR="00E53B1A">
        <w:instrText xml:space="preserve"> ADDIN ZOTERO_ITEM CSL_CITATION {"citationID":"WRIisoEr","properties":{"formattedCitation":"(Vargas Salfate and Stern, 2023)","plainCitation":"(Vargas Salfate and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rsidR="00DB0401">
        <w:fldChar w:fldCharType="separate"/>
      </w:r>
      <w:r w:rsidR="79064136" w:rsidRPr="79064136">
        <w:rPr>
          <w:rFonts w:cs="Times New Roman"/>
        </w:rPr>
        <w:t>(Vargas Salfate and Stern, 2023)</w:t>
      </w:r>
      <w:r w:rsidR="00DB0401">
        <w:fldChar w:fldCharType="end"/>
      </w:r>
      <w:r w:rsidR="79064136">
        <w:t xml:space="preserve">. </w:t>
      </w:r>
    </w:p>
    <w:p w14:paraId="348E4332" w14:textId="21EDAAAD" w:rsidR="00DB0401" w:rsidRDefault="00C767B8" w:rsidP="00DB0401">
      <w:r>
        <w:t>T</w:t>
      </w:r>
      <w:r w:rsidR="0088732C">
        <w:t xml:space="preserve">he empirical distributive justice literature has stated that social networks are a relevant part in the formation of </w:t>
      </w:r>
      <w:r w:rsidR="00260EC3">
        <w:t>preferences.</w:t>
      </w:r>
      <w:r w:rsidR="0088732C">
        <w:t xml:space="preserve"> </w:t>
      </w:r>
      <w:r>
        <w:t>Accordingly</w:t>
      </w:r>
      <w:r w:rsidR="79064136">
        <w:t xml:space="preserve">, </w:t>
      </w:r>
      <w:r w:rsidR="79064136" w:rsidRPr="79064136">
        <w:rPr>
          <w:i/>
          <w:iCs/>
        </w:rPr>
        <w:t>existential standards</w:t>
      </w:r>
      <w:r w:rsidR="79064136">
        <w:t xml:space="preserve">—understood as context-dependent benchmarks of fairness that emerge from individuals’ lived experiences and exposure to prevailing institutional arrangements and patterns of social inequality—develop through both informational and socialization processes </w:t>
      </w:r>
      <w:r w:rsidR="00DB0401">
        <w:fldChar w:fldCharType="begin"/>
      </w:r>
      <w:r w:rsidR="00E53B1A">
        <w:instrText xml:space="preserve"> ADDIN ZOTERO_ITEM CSL_CITATION {"citationID":"RN6c80vD","properties":{"formattedCitation":"(Castillo, 2011; Immergut and Schneider, 2020)","plainCitation":"(Castillo, 2011; Immergut and Schneider, 2020)","noteIndex":0},"citationItems":[{"id":98,"uris":["http://zotero.org/users/5414506/items/3UVG7J8N"],"itemData":{"id":98,"type":"article-journal","abstract":"Economic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DB0401">
        <w:fldChar w:fldCharType="separate"/>
      </w:r>
      <w:r w:rsidR="79064136" w:rsidRPr="79064136">
        <w:rPr>
          <w:rFonts w:cs="Times New Roman"/>
        </w:rPr>
        <w:t>(Castillo, 2011; Immergut and Schneider, 2020)</w:t>
      </w:r>
      <w:r w:rsidR="00DB0401">
        <w:fldChar w:fldCharType="end"/>
      </w:r>
      <w:r w:rsidR="79064136">
        <w:t xml:space="preserve">. On the </w:t>
      </w:r>
      <w:r w:rsidR="79064136" w:rsidRPr="00E56D60">
        <w:t>informational</w:t>
      </w:r>
      <w:r w:rsidR="79064136">
        <w:t xml:space="preserve"> side, people form expectations by observing how income, status, and opportunities are allocated within everyday contexts, such as workplaces or neighborhoods. These localized “referential structures” provide concrete, empirical benchmarks for fairness, rooted in the experiences of others in similar life situations </w:t>
      </w:r>
      <w:r w:rsidR="00DB0401">
        <w:fldChar w:fldCharType="begin"/>
      </w:r>
      <w:r w:rsidR="00E53B1A">
        <w:instrText xml:space="preserve"> ADDIN ZOTERO_ITEM CSL_CITATION {"citationID":"O7T9THUG","properties":{"formattedCitation":"(Shepelak and Alwin, 1986)","plainCitation":"(Shepelak and Alwin, 1986)","noteIndex":0},"citationItems":[{"id":238,"uris":["http://zotero.org/users/5414506/items/MLN3PMHV"],"itemData":{"id":238,"type":"article-journal","container-title":"American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DB0401">
        <w:fldChar w:fldCharType="separate"/>
      </w:r>
      <w:r w:rsidR="79064136" w:rsidRPr="79064136">
        <w:rPr>
          <w:rFonts w:cs="Times New Roman"/>
        </w:rPr>
        <w:t>(Shepelak and Alwin, 1986)</w:t>
      </w:r>
      <w:r w:rsidR="00DB0401">
        <w:fldChar w:fldCharType="end"/>
      </w:r>
      <w:r w:rsidR="79064136">
        <w:t xml:space="preserve">. Over time, the socialization process transforms these observations into normative beliefs: people internalize the distribution patterns they witness as legitimate and come to accept them as how things ought to be. This dual process anchors fairness judgments in the </w:t>
      </w:r>
      <w:commentRangeStart w:id="7"/>
      <w:commentRangeStart w:id="8"/>
      <w:r w:rsidR="79064136">
        <w:t xml:space="preserve">concrete realities of social life </w:t>
      </w:r>
      <w:r w:rsidR="00AA5EB9">
        <w:t>rather than being exclusively</w:t>
      </w:r>
      <w:commentRangeEnd w:id="7"/>
      <w:r w:rsidR="00DB0401">
        <w:rPr>
          <w:rStyle w:val="CommentReference"/>
        </w:rPr>
        <w:commentReference w:id="7"/>
      </w:r>
      <w:commentRangeEnd w:id="8"/>
      <w:r w:rsidR="001F40A0">
        <w:rPr>
          <w:rStyle w:val="CommentReference"/>
        </w:rPr>
        <w:commentReference w:id="8"/>
      </w:r>
      <w:r w:rsidR="00AA5EB9">
        <w:t xml:space="preserve"> caused by normative ideals</w:t>
      </w:r>
      <w:r w:rsidR="79064136">
        <w:t xml:space="preserve"> </w:t>
      </w:r>
      <w:r w:rsidR="00DB0401">
        <w:fldChar w:fldCharType="begin"/>
      </w:r>
      <w:r w:rsidR="00E53B1A">
        <w:instrText xml:space="preserve"> ADDIN ZOTERO_ITEM CSL_CITATION {"citationID":"aqoTotfD","properties":{"formattedCitation":"(Immergut and Schneider, 2020)","plainCitation":"(Immergut and Schneider, 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DB0401">
        <w:fldChar w:fldCharType="separate"/>
      </w:r>
      <w:r w:rsidR="79064136" w:rsidRPr="79064136">
        <w:rPr>
          <w:rFonts w:cs="Times New Roman"/>
        </w:rPr>
        <w:t>(Immergut and Schneider, 2020)</w:t>
      </w:r>
      <w:r w:rsidR="00DB0401">
        <w:fldChar w:fldCharType="end"/>
      </w:r>
      <w:r w:rsidR="79064136">
        <w:t xml:space="preserve">. Furthermore, those embedded in structurally diverse networks—especially in bridging positions across otherwise disconnected groups—are more likely to encounter contrasting experiences and interpretations of inequality. These ties can offer access to non-redundant information and unfamiliar perspectives, broadening understandings of inequalities and might promote more nuanced attitudes toward justice </w:t>
      </w:r>
      <w:r w:rsidR="00DB0401">
        <w:fldChar w:fldCharType="begin"/>
      </w:r>
      <w:r w:rsidR="00E53B1A">
        <w:instrText xml:space="preserve"> ADDIN ZOTERO_ITEM CSL_CITATION {"citationID":"xxuWNCnm","properties":{"formattedCitation":"(Burt, 2004; Vedres, 2022)","plainCitation":"(Burt, 2004; Vedres, 2022)","noteIndex":0},"citationItems":[{"id":19404,"uris":["http://zotero.org/users/5414506/items/URJKAMCW"],"itemData":{"id":19404,"type":"article-journal","container-title":"American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r w:rsidR="00DB0401">
        <w:fldChar w:fldCharType="separate"/>
      </w:r>
      <w:r w:rsidR="79064136" w:rsidRPr="79064136">
        <w:rPr>
          <w:rFonts w:cs="Times New Roman"/>
        </w:rPr>
        <w:t>(Burt, 2004; Vedres, 2022)</w:t>
      </w:r>
      <w:r w:rsidR="00DB0401">
        <w:fldChar w:fldCharType="end"/>
      </w:r>
      <w:r w:rsidR="79064136">
        <w:t xml:space="preserve">. As such, both the content and normativity of fairness evaluations are deeply conditioned by exposure to diverse social settings, particularly as it unfolds over time </w:t>
      </w:r>
      <w:r w:rsidR="00DB0401">
        <w:fldChar w:fldCharType="begin"/>
      </w:r>
      <w:r w:rsidR="00E53B1A">
        <w:instrText xml:space="preserve"> ADDIN ZOTERO_ITEM CSL_CITATION {"citationID":"cmghlSgs","properties":{"formattedCitation":"(Christensen, Dinesen, and S\\uc0\\u248{}nderskov, 2024)","plainCitation":"(Christensen, Dinesen, and Sønderskov, 2024)","noteIndex":0},"citationItems":[{"id":19258,"uris":["http://zotero.org/users/5414506/items/FF7K8LHU"],"itemData":{"id":19258,"type":"article-journal","abstract":"Do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Mannemar"}],"issued":{"date-parts":[["2024",10]]},"citation-key":"christensen_unequal_2024"}}],"schema":"https://github.com/citation-style-language/schema/raw/master/csl-citation.json"} </w:instrText>
      </w:r>
      <w:r w:rsidR="00DB0401">
        <w:fldChar w:fldCharType="separate"/>
      </w:r>
      <w:r w:rsidR="79064136" w:rsidRPr="79064136">
        <w:rPr>
          <w:rFonts w:cs="Times New Roman"/>
        </w:rPr>
        <w:t>(Christensen, Dinesen, and Sønderskov, 2024)</w:t>
      </w:r>
      <w:r w:rsidR="00DB0401">
        <w:fldChar w:fldCharType="end"/>
      </w:r>
      <w:r w:rsidR="79064136">
        <w:t>.</w:t>
      </w:r>
    </w:p>
    <w:p w14:paraId="3B8E4EDC" w14:textId="113FCE8D" w:rsidR="00DB0401" w:rsidRPr="00D84938" w:rsidRDefault="00DB0401" w:rsidP="00DB0401">
      <w:r>
        <w:lastRenderedPageBreak/>
        <w:t>Empirically, the claim that diversity is associated with more critical views on economic inequality has received empirical support</w:t>
      </w:r>
      <w:r w:rsidR="00C52A4D">
        <w:t xml:space="preserve"> in cross-sectional studies</w:t>
      </w:r>
      <w:r>
        <w:t xml:space="preserve">. For instance, Paskov &amp; Weisstanner </w:t>
      </w:r>
      <w:r>
        <w:fldChar w:fldCharType="begin"/>
      </w:r>
      <w:r w:rsidR="00E53B1A">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fldChar w:fldCharType="separate"/>
      </w:r>
      <w:r w:rsidR="00D92E77" w:rsidRPr="00D92E77">
        <w:rPr>
          <w:rFonts w:cs="Times New Roman"/>
        </w:rPr>
        <w:t>(2022)</w:t>
      </w:r>
      <w:r>
        <w:fldChar w:fldCharType="end"/>
      </w:r>
      <w:r>
        <w:t xml:space="preserve"> found that more diverse networks lead to dis-aligned class-based redistributive preferences</w:t>
      </w:r>
      <w:r w:rsidR="000D302B">
        <w:t xml:space="preserve"> in Europe</w:t>
      </w:r>
      <w:r>
        <w:t xml:space="preserve">, where working-class individuals with parental and partner ties to the upper-middle classes nuance their preferences compared to “pure” working-class connections. By contrast, upper-middle-class individuals with more ties toward the working class are more likely to support redistribution. More straightforwardly, Otero &amp; Mendoza </w:t>
      </w:r>
      <w:r>
        <w:fldChar w:fldCharType="begin"/>
      </w:r>
      <w:r w:rsidR="00E53B1A">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fldChar w:fldCharType="separate"/>
      </w:r>
      <w:r w:rsidR="00D92E77" w:rsidRPr="00D92E77">
        <w:rPr>
          <w:rFonts w:cs="Times New Roman"/>
        </w:rPr>
        <w:t>(2023)</w:t>
      </w:r>
      <w:r>
        <w:fldChar w:fldCharType="end"/>
      </w:r>
      <w:r>
        <w:t xml:space="preserve"> found that </w:t>
      </w:r>
      <w:r w:rsidR="007310C3">
        <w:t xml:space="preserve">individuals with </w:t>
      </w:r>
      <w:r>
        <w:t>more socioeconomically diverse acquaintance networks are associated with higher perceived inequality, higher economic egalitarianism, and more critical views on the current equality of opportunities and meritocracy</w:t>
      </w:r>
      <w:r w:rsidR="00840A15">
        <w:t xml:space="preserve"> in Chile</w:t>
      </w:r>
      <w:r>
        <w:t xml:space="preserve">. </w:t>
      </w:r>
      <w:r w:rsidR="00922ACB">
        <w:t xml:space="preserve">Hereby, </w:t>
      </w:r>
      <w:r>
        <w:t xml:space="preserve">individuals with </w:t>
      </w:r>
      <w:r w:rsidR="009C776F">
        <w:t xml:space="preserve">more </w:t>
      </w:r>
      <w:r>
        <w:t>diverse and cross-cutting social ties are more likely to receive information about labor market processes</w:t>
      </w:r>
      <w:r w:rsidR="00AD06FC">
        <w:t>,</w:t>
      </w:r>
      <w:r>
        <w:t xml:space="preserve"> such as job seeking and wage differences</w:t>
      </w:r>
      <w:r w:rsidR="00AD06FC">
        <w:t>,</w:t>
      </w:r>
      <w:r>
        <w:t xml:space="preserve"> from diverse sources </w:t>
      </w:r>
      <w:commentRangeStart w:id="9"/>
      <w:r>
        <w:fldChar w:fldCharType="begin"/>
      </w:r>
      <w:r w:rsidR="001B739B">
        <w:instrText xml:space="preserve"> ADDIN ZOTERO_ITEM CSL_CITATION {"citationID":"KBdQsWgq","properties":{"formattedCitation":"(Contreras, Otero, D\\uc0\\u237{}az, and Su\\uc0\\u225{}rez, 2019; Plaza, Beck, Iturra-Sanhueza, Otero, and Mu\\uc0\\u241{}oz, 2026; Svallfors, 2006)","plainCitation":"(Contreras, Otero, Díaz, and Suárez, 2019; Plaza, Beck, Iturra-Sanhueza, Otero, and Muñoz, 2026;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D."},{"family":"Suárez","given":"Nicolás"}],"issued":{"date-parts":[["2019",7,1]]},"citation-key":"contreras_inequality_2019"}},{"id":20900,"uris":["http://zotero.org/users/5414506/items/WR76WZWC"],"itemData":{"id":20900,"type":"article-journal","container-title":"Social Networks","DOI":"10.1016/j.socnet.2025.07.008","ISSN":"03788733","journalAbbreviation":"Social Networks","language":"en","page":"27-45","source":"DOI.org (Crossref)","title":"Networked inequality: The role of changes in network heterogeneity and network size in attitudes towards inequality","title-short":"Networked inequality","volume":"84","author":[{"family":"Plaza","given":"Alejandro"},</w:instrText>
      </w:r>
      <w:r w:rsidR="001B739B" w:rsidRPr="001B739B">
        <w:rPr>
          <w:lang w:val="es-CL"/>
        </w:rPr>
        <w:instrText xml:space="preserve">{"family":"Beck","given":"Guillermo"},{"family":"Iturra-Sanhueza","given":"Julio"},{"family":"Otero","given":"Gabriel"},{"family":"Muñoz","given":"Benjamín"}],"issued":{"date-parts":[["2026",1]]},"citation-key":"plaza_networked_2026"}},{"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fldChar w:fldCharType="separate"/>
      </w:r>
      <w:r w:rsidR="001B739B" w:rsidRPr="001B739B">
        <w:rPr>
          <w:rFonts w:cs="Times New Roman"/>
          <w:lang w:val="es-CL"/>
        </w:rPr>
        <w:t>(Contreras, Otero, Díaz, and Suárez, 2019; Plaza, Beck, Iturra-Sanhueza, Otero, and Muñoz, 2026; Svallfors, 2006)</w:t>
      </w:r>
      <w:r>
        <w:fldChar w:fldCharType="end"/>
      </w:r>
      <w:commentRangeEnd w:id="9"/>
      <w:r w:rsidR="00E219DC">
        <w:rPr>
          <w:rStyle w:val="CommentReference"/>
        </w:rPr>
        <w:commentReference w:id="9"/>
      </w:r>
      <w:r w:rsidRPr="001B739B">
        <w:rPr>
          <w:lang w:val="es-CL"/>
        </w:rPr>
        <w:t xml:space="preserve">. </w:t>
      </w:r>
      <w:r>
        <w:t xml:space="preserve">This can </w:t>
      </w:r>
      <w:r w:rsidR="00641610">
        <w:t xml:space="preserve">also </w:t>
      </w:r>
      <w:r w:rsidR="009C776F">
        <w:t xml:space="preserve">be </w:t>
      </w:r>
      <w:r>
        <w:t>linked to the attributed importance of structural or non-meritocratic factors, such as inherited wealth or social connections</w:t>
      </w:r>
      <w:r w:rsidR="000E1186">
        <w:t>,</w:t>
      </w:r>
      <w:r>
        <w:t xml:space="preserve"> in the process of getting ahead in life in contexts of rising (or high) economic inequality </w:t>
      </w:r>
      <w:r>
        <w:fldChar w:fldCharType="begin"/>
      </w:r>
      <w:r w:rsidR="00E53B1A">
        <w:instrText xml:space="preserve"> ADDIN ZOTERO_ITEM CSL_CITATION {"citationID":"Nh2pvAJ2","properties":{"formattedCitation":"(McCall, Burk, Laperri\\uc0\\u232{}re, and Richeson, 2017)","plainCitation":"(McCall, Burk, Laperrière, and Richeson,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fldChar w:fldCharType="separate"/>
      </w:r>
      <w:r w:rsidR="00D92E77" w:rsidRPr="00D92E77">
        <w:rPr>
          <w:rFonts w:cs="Times New Roman"/>
        </w:rPr>
        <w:t>(McCall, Burk, Laperrière, and Richeson, 2017)</w:t>
      </w:r>
      <w:r>
        <w:fldChar w:fldCharType="end"/>
      </w:r>
      <w:r>
        <w:t>.</w:t>
      </w:r>
    </w:p>
    <w:p w14:paraId="3F1BD14B" w14:textId="1D2D7EED" w:rsidR="00D64ECE" w:rsidRDefault="00DF51BF" w:rsidP="00DB0401">
      <w:r>
        <w:t xml:space="preserve">Despite the efforts </w:t>
      </w:r>
      <w:r w:rsidR="00D64ECE">
        <w:t>to unfold</w:t>
      </w:r>
      <w:r>
        <w:t xml:space="preserve"> the network-attitude link, l</w:t>
      </w:r>
      <w:r w:rsidR="00DB0401">
        <w:t xml:space="preserve">ittle is known about whether political attitudes are affected by </w:t>
      </w:r>
      <w:r w:rsidR="00DB0401" w:rsidRPr="2BF6615A">
        <w:rPr>
          <w:i/>
          <w:iCs/>
        </w:rPr>
        <w:t>changes</w:t>
      </w:r>
      <w:r w:rsidR="00DB0401">
        <w:t xml:space="preserve"> in network composition, particularly concerning network </w:t>
      </w:r>
      <w:commentRangeStart w:id="10"/>
      <w:r w:rsidR="00DB0401">
        <w:t>diversity</w:t>
      </w:r>
      <w:commentRangeEnd w:id="10"/>
      <w:r w:rsidR="00DB0401">
        <w:rPr>
          <w:rStyle w:val="CommentReference"/>
        </w:rPr>
        <w:commentReference w:id="10"/>
      </w:r>
      <w:r w:rsidR="00DB0401">
        <w:t xml:space="preserve">. From the perspective of individual change, social networks, by providing access to information—in this case, diversity—are likely to contribute to social learning processes </w:t>
      </w:r>
      <w:r w:rsidR="00DB0401">
        <w:fldChar w:fldCharType="begin"/>
      </w:r>
      <w:r w:rsidR="00E53B1A">
        <w:instrText xml:space="preserve"> ADDIN ZOTERO_ITEM CSL_CITATION {"citationID":"rKfIF0bR","properties":{"formattedCitation":"(Druckman and Lupia, 2000; Lin, 2001)","plainCitation":"(Druckman and Lupia, 2000; Lin, 2001)","noteIndex":0},"citationItems":[{"id":11372,"uris":["http://zotero.org/users/5414506/items/QGEWZ4L3"],"itemData":{"id":11372,"type":"article-journal","abstract":"This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N."},{"family":"Lupia","given":"Arthur"}],"issued":{"date-parts":[["2000",6]]},"citation-key":"druckman_preference_2000"}},{"id":14372,"uris":["http://zotero.org/users/5414506/items/PPVNE58D"],"itemData":{"id":14372,"type":"chapter","container-title":"Social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rsidR="00DB0401">
        <w:fldChar w:fldCharType="separate"/>
      </w:r>
      <w:r w:rsidR="00D92E77" w:rsidRPr="00D92E77">
        <w:rPr>
          <w:rFonts w:cs="Times New Roman"/>
        </w:rPr>
        <w:t>(Druckman and Lupia, 2000; Lin, 2001)</w:t>
      </w:r>
      <w:r w:rsidR="00DB0401">
        <w:fldChar w:fldCharType="end"/>
      </w:r>
      <w:r w:rsidR="00DB0401">
        <w:t xml:space="preserve">. Theoretically, networks can represent a “social convoy” </w:t>
      </w:r>
      <w:r w:rsidR="00922ACB">
        <w:fldChar w:fldCharType="begin"/>
      </w:r>
      <w:r w:rsidR="00922ACB">
        <w:instrText xml:space="preserve"> ADDIN ZOTERO_ITEM CSL_CITATION {"citationID":"bCXPYMV3","properties":{"formattedCitation":"(Kahn and Antonucci, 1980)","plainCitation":"(Kahn and Antonucci, 1980)","noteIndex":0},"citationItems":[{"id":18914,"uris":["http://zotero.org/users/5414506/items/DISEVUIW"],"itemData":{"id":18914,"type":"chapter","container-title":"Life-span development and behavior","page":"253–286","publisher":"Academic Press","title":"Convoys over the life course: Attachment, roles, and social support","author":[{"family":"Kahn","given":"Robert L."},{"family":"Antonucci","given":"Toni C."}],"editor":[{"family":"Baltes","given":"Paul B."},{"family":"Orville","given":"Glen B."}],"issued":{"date-parts":[["1980"]]},"citation-key":"kahn_convoys_1980"}}],"schema":"https://github.com/citation-style-language/schema/raw/master/csl-citation.json"} </w:instrText>
      </w:r>
      <w:r w:rsidR="00922ACB">
        <w:fldChar w:fldCharType="separate"/>
      </w:r>
      <w:r w:rsidR="00922ACB" w:rsidRPr="00922ACB">
        <w:rPr>
          <w:rFonts w:cs="Times New Roman"/>
        </w:rPr>
        <w:t>(Kahn and Antonucci, 1980)</w:t>
      </w:r>
      <w:r w:rsidR="00922ACB">
        <w:fldChar w:fldCharType="end"/>
      </w:r>
      <w:r w:rsidR="00DB0401">
        <w:t xml:space="preserve"> of social relationships understood as a structure where information and support are embedded </w:t>
      </w:r>
      <w:r w:rsidR="00922ACB">
        <w:fldChar w:fldCharType="begin"/>
      </w:r>
      <w:r w:rsidR="00922ACB">
        <w:instrText xml:space="preserve"> ADDIN ZOTERO_ITEM CSL_CITATION {"citationID":"0dU6stv9","properties":{"formattedCitation":"(Hollstein, 2023)","plainCitation":"(Hollstein, 2023)","noteIndex":0},"citationItems":[{"id":15040,"uris":["http://zotero.org/users/5414506/items/DJHWRIKU"],"itemData":{"id":15040,"type":"article-journal","abstract":"Building on Georg Simmel’s concept of “form”, the article presents a relationship related structural concept of social relationships that specifically accounts for opportunities and constraints resulting from the fact that relationships are solidified patterns of interaction that, once established, can develop a power of their own (inertia, momentum) that cannot easily be influenced by the involved actors. In this “relationship-related structural approach”, social relationships or “forms” can be understood as specific constellations of “basic structural properties”, i.e. specifications of various aspects of quantity, of time, of space, of similarity, and including also a certain degree of freedom to enter or quit a relationship, knowledge about one another, and types and degree of institutionalization. The specification of these structural properties impacts the functional capacity of relationships, as well as the dynamics of both relationships and networks, especially the ways in which relationships are formed, maintained, or lost. Referring to various life course transitions from different phases of the life course, it is demonstrated how this approach helps to better understand the dynamics of social relationships and networks and the impact of life events on personal relationships across the life course. Finally, implications of this novel perspective for life course and network research are discussed.","container-title":"Advances in Life Course Research","DOI":"10.1016/j.alcr.2023.100567","ISSN":"1569-4909","journalAbbreviation":"Advances in Life Course Research","page":"100567","source":"ScienceDirect","title":"Personal network dynamics across the life course: A relationship-related structural approach","title-short":"Personal network dynamics across the life course","volume":"58","author":[{"family":"Hollstein","given":"Betina"}],"issued":{"date-parts":[["2023",12,1]]},"citation-key":"hollstein_personal_2023"}}],"schema":"https://github.com/citation-style-language/schema/raw/master/csl-citation.json"} </w:instrText>
      </w:r>
      <w:r w:rsidR="00922ACB">
        <w:fldChar w:fldCharType="separate"/>
      </w:r>
      <w:r w:rsidR="00922ACB" w:rsidRPr="00922ACB">
        <w:rPr>
          <w:rFonts w:cs="Times New Roman"/>
        </w:rPr>
        <w:t>(Hollstein, 2023)</w:t>
      </w:r>
      <w:r w:rsidR="00922ACB">
        <w:fldChar w:fldCharType="end"/>
      </w:r>
      <w:r w:rsidR="00DB0401">
        <w:t xml:space="preserve">. </w:t>
      </w:r>
      <w:r w:rsidR="009C3F0F">
        <w:t>The social</w:t>
      </w:r>
      <w:r w:rsidR="00DB0401">
        <w:t xml:space="preserve"> ties within this convoy can be modified according to life-course events, such as changes in employment status, marriage, or geographic position </w:t>
      </w:r>
      <w:r w:rsidR="00B97992">
        <w:fldChar w:fldCharType="begin"/>
      </w:r>
      <w:r w:rsidR="00B97992">
        <w:instrText xml:space="preserve"> ADDIN ZOTERO_ITEM CSL_CITATION {"citationID":"Na8Iiekd","properties":{"formattedCitation":"(R\\uc0\\u246{}zer, Hofstra, Brashears, and V\\uc0\\u246{}lker, 2020)","plainCitation":"(Rözer, Hofstra, Brashears, and Völker, 2020)","noteIndex":0},"citationItems":[{"id":16411,"uris":["http://zotero.org/users/5414506/items/2W9ALPAB"],"itemData":{"id":16411,"type":"article-journal","container-title":"Social Networks","DOI":"10.1016/j.socnet.2020.06.002","ISSN":"03788733","journalAbbreviation":"Social Networks","language":"en","page":"100-111","source":"DOI.org (Crossref)","title":"Does unemployment lead to isolation? The consequences of unemployment for social networks","title-short":"Does unemployment lead to isolation?","volume":"63","author":[{"family":"Rözer","given":"Jesper J."},{"family":"Hofstra","given":"Bas"},{"family":"Brashears","given":"Matthew E."},{"family":"Völker","given":"Beate"}],"issued":{"date-parts":[["2020",10]]},"citation-key":"rozer_does_2020"}}],"schema":"https://github.com/citation-style-language/schema/raw/master/csl-citation.json"} </w:instrText>
      </w:r>
      <w:r w:rsidR="00B97992">
        <w:fldChar w:fldCharType="separate"/>
      </w:r>
      <w:r w:rsidR="00B97992" w:rsidRPr="00B97992">
        <w:rPr>
          <w:rFonts w:cs="Times New Roman"/>
        </w:rPr>
        <w:t>(Rözer, Hofstra, Brashears, and Völker, 2020)</w:t>
      </w:r>
      <w:r w:rsidR="00B97992">
        <w:fldChar w:fldCharType="end"/>
      </w:r>
      <w:r w:rsidR="00B97992">
        <w:t xml:space="preserve"> </w:t>
      </w:r>
      <w:r w:rsidR="009A68A0">
        <w:t>Additionally</w:t>
      </w:r>
      <w:r w:rsidR="00DB0401">
        <w:t xml:space="preserve">, it is usually assumed that acquaintanceship ties tend to change more over time and be nurtured from more diverse social positions in contrast to the </w:t>
      </w:r>
      <w:r w:rsidR="0023613D">
        <w:t xml:space="preserve">more </w:t>
      </w:r>
      <w:r w:rsidR="00DB0401">
        <w:t>stable</w:t>
      </w:r>
      <w:r w:rsidR="00173F9D">
        <w:t>,</w:t>
      </w:r>
      <w:r w:rsidR="00DB0401">
        <w:t xml:space="preserve"> strong ties</w:t>
      </w:r>
      <w:r w:rsidR="00B70209">
        <w:t xml:space="preserve">, composed </w:t>
      </w:r>
      <w:r w:rsidR="00173F9D">
        <w:t>of</w:t>
      </w:r>
      <w:r w:rsidR="00B70209">
        <w:t xml:space="preserve"> family and friends</w:t>
      </w:r>
      <w:r w:rsidR="00B97992">
        <w:t xml:space="preserve"> </w:t>
      </w:r>
      <w:r w:rsidR="00B97992">
        <w:fldChar w:fldCharType="begin"/>
      </w:r>
      <w:r w:rsidR="00B97992">
        <w:instrText xml:space="preserve"> ADDIN ZOTERO_ITEM CSL_CITATION {"citationID":"FLpaXIH6","properties":{"formattedCitation":"(V\\uc0\\u246{}lker,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B97992">
        <w:fldChar w:fldCharType="separate"/>
      </w:r>
      <w:r w:rsidR="00B97992" w:rsidRPr="00B97992">
        <w:rPr>
          <w:rFonts w:cs="Times New Roman"/>
        </w:rPr>
        <w:t>(Völker, 2022)</w:t>
      </w:r>
      <w:r w:rsidR="00B97992">
        <w:fldChar w:fldCharType="end"/>
      </w:r>
      <w:r w:rsidR="00DB0401">
        <w:t xml:space="preserve"> </w:t>
      </w:r>
    </w:p>
    <w:p w14:paraId="4AADA674" w14:textId="107A4E55" w:rsidR="00DB0401" w:rsidRDefault="79064136" w:rsidP="00DB0401">
      <w:r>
        <w:t xml:space="preserve">There might be different explanations for how individual </w:t>
      </w:r>
      <w:r w:rsidRPr="00B241B1">
        <w:rPr>
          <w:i/>
          <w:iCs/>
        </w:rPr>
        <w:t>changes</w:t>
      </w:r>
      <w:r>
        <w:t xml:space="preserve"> in network diversity might influence attitudes toward economic inequality. One argument posits that those changes in the socioeconomic composition of </w:t>
      </w:r>
      <w:r w:rsidR="00C57F0D">
        <w:t>social</w:t>
      </w:r>
      <w:r w:rsidR="006C7CDD">
        <w:t xml:space="preserve"> activities</w:t>
      </w:r>
      <w:commentRangeStart w:id="11"/>
      <w:r>
        <w:t xml:space="preserve"> nurture</w:t>
      </w:r>
      <w:commentRangeEnd w:id="11"/>
      <w:r w:rsidR="00DB0401">
        <w:rPr>
          <w:rStyle w:val="CommentReference"/>
        </w:rPr>
        <w:commentReference w:id="11"/>
      </w:r>
      <w:r>
        <w:t xml:space="preserve"> constraints and opportunities to meet and create new ties that contribute to diversity </w:t>
      </w:r>
      <w:r w:rsidR="00DB0401">
        <w:fldChar w:fldCharType="begin"/>
      </w:r>
      <w:r w:rsidR="00E53B1A">
        <w:instrText xml:space="preserve"> ADDIN ZOTERO_ITEM CSL_CITATION {"citationID":"0GmiGQKS","properties":{"formattedCitation":"(Feld,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DB0401">
        <w:fldChar w:fldCharType="separate"/>
      </w:r>
      <w:r w:rsidRPr="79064136">
        <w:rPr>
          <w:rFonts w:cs="Times New Roman"/>
        </w:rPr>
        <w:t>(Feld, 1981)</w:t>
      </w:r>
      <w:r w:rsidR="00DB0401">
        <w:fldChar w:fldCharType="end"/>
      </w:r>
      <w:r>
        <w:t xml:space="preserve">. For instance, it has been shown </w:t>
      </w:r>
      <w:r w:rsidR="00C57F0D">
        <w:t xml:space="preserve">that </w:t>
      </w:r>
      <w:r>
        <w:t xml:space="preserve">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00DB0401">
        <w:fldChar w:fldCharType="begin"/>
      </w:r>
      <w:r w:rsidR="00E53B1A">
        <w:instrText xml:space="preserve"> ADDIN ZOTERO_ITEM CSL_CITATION {"citationID":"OAr9XpE0","properties":{"formattedCitation":"(Londo\\uc0\\u241{}o-V\\uc0\\u233{}lez, 2022)","plainCitation":"(Londoño-Vélez, 2022)","noteIndex":0},"citationItems":[{"id":12572,"uris":["http://zotero.org/users/5414506/items/3SX4P39Q"],"itemData":{"id":12572,"type":"article-journal","abstract":"Does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r w:rsidR="00DB0401">
        <w:fldChar w:fldCharType="separate"/>
      </w:r>
      <w:r w:rsidRPr="79064136">
        <w:rPr>
          <w:rFonts w:cs="Times New Roman"/>
        </w:rPr>
        <w:t>(Londoño-Vélez, 2022)</w:t>
      </w:r>
      <w:r w:rsidR="00DB0401">
        <w:fldChar w:fldCharType="end"/>
      </w:r>
      <w:r>
        <w:t xml:space="preserve">.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(i) new perspectives and (ii) more accurate insights into their own class of origin, as well as the values and interests associated with other class positions. </w:t>
      </w:r>
    </w:p>
    <w:p w14:paraId="5BD1A6DD" w14:textId="4C642997" w:rsidR="009B0B02" w:rsidRDefault="79064136" w:rsidP="79064136">
      <w:pPr>
        <w:rPr>
          <w:highlight w:val="yellow"/>
        </w:rPr>
      </w:pPr>
      <w:r w:rsidRPr="00B11337">
        <w:rPr>
          <w:highlight w:val="yellow"/>
        </w:rPr>
        <w:lastRenderedPageBreak/>
        <w:t>Despite the efforts present in the literature, research has primarily focused on the relationship between social networks and perceptions of inequality or public support for redistributive policies</w:t>
      </w:r>
      <w:r w:rsidRPr="79064136">
        <w:rPr>
          <w:highlight w:val="yellow"/>
        </w:rPr>
        <w:t xml:space="preserve"> </w:t>
      </w:r>
      <w:r w:rsidR="009B0B02" w:rsidRPr="79064136">
        <w:rPr>
          <w:highlight w:val="yellow"/>
        </w:rPr>
        <w:fldChar w:fldCharType="begin"/>
      </w:r>
      <w:r w:rsidR="00E53B1A">
        <w:rPr>
          <w:highlight w:val="yellow"/>
        </w:rPr>
        <w:instrText xml:space="preserve"> ADDIN ZOTERO_ITEM CSL_CITATION {"citationID":"po2OCLgw","properties":{"formattedCitation":"(Cobo-Arroyo, 2022; Lindh et al., 2021; Otero and Mendoza, 2023)","plainCitation":"(Cobo-Arroyo, 2022; Lindh et al., 2021; Otero and Mendoza, 2023)","noteIndex":0},"citationItems":[{"id":18219,"uris":["http://zotero.org/users/5414506/items/TZ3NJSFK"],"itemData":{"id":18219,"type":"thesis","abstract":"Numerous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9B0B02" w:rsidRPr="79064136">
        <w:rPr>
          <w:highlight w:val="yellow"/>
        </w:rPr>
        <w:fldChar w:fldCharType="separate"/>
      </w:r>
      <w:r w:rsidRPr="79064136">
        <w:rPr>
          <w:rFonts w:cs="Times New Roman"/>
          <w:highlight w:val="yellow"/>
        </w:rPr>
        <w:t>(Cobo-Arroyo, 2022; Lindh et al., 2021; Otero and Mendoza, 2023)</w:t>
      </w:r>
      <w:r w:rsidR="009B0B02" w:rsidRPr="79064136">
        <w:rPr>
          <w:highlight w:val="yellow"/>
        </w:rPr>
        <w:fldChar w:fldCharType="end"/>
      </w:r>
      <w:r w:rsidRPr="00B11337">
        <w:rPr>
          <w:highlight w:val="yellow"/>
        </w:rPr>
        <w:t xml:space="preserve">. However, we know little about how networks might influence other attitudinal domains, particularly those tied to </w:t>
      </w:r>
      <w:r w:rsidRPr="79064136">
        <w:rPr>
          <w:highlight w:val="yellow"/>
        </w:rPr>
        <w:t xml:space="preserve">how the public opinion considers the role of private actors in the provision of welfare in </w:t>
      </w:r>
      <w:r w:rsidRPr="00B11337">
        <w:rPr>
          <w:highlight w:val="yellow"/>
        </w:rPr>
        <w:t xml:space="preserve">specific areas </w:t>
      </w:r>
      <w:r w:rsidRPr="79064136">
        <w:rPr>
          <w:highlight w:val="yellow"/>
        </w:rPr>
        <w:t xml:space="preserve">that </w:t>
      </w:r>
      <w:r w:rsidRPr="00B11337">
        <w:rPr>
          <w:highlight w:val="yellow"/>
        </w:rPr>
        <w:t xml:space="preserve">have traditionally been part of </w:t>
      </w:r>
      <w:r w:rsidRPr="79064136">
        <w:rPr>
          <w:highlight w:val="yellow"/>
        </w:rPr>
        <w:t xml:space="preserve">public </w:t>
      </w:r>
      <w:r w:rsidRPr="00B11337">
        <w:rPr>
          <w:highlight w:val="yellow"/>
        </w:rPr>
        <w:t xml:space="preserve">welfare services, such as education, healthcare, or old-age </w:t>
      </w:r>
      <w:r w:rsidRPr="79064136">
        <w:rPr>
          <w:highlight w:val="yellow"/>
        </w:rPr>
        <w:t xml:space="preserve">pensions </w:t>
      </w:r>
      <w:r w:rsidR="009B0B02" w:rsidRPr="79064136">
        <w:rPr>
          <w:highlight w:val="yellow"/>
        </w:rPr>
        <w:fldChar w:fldCharType="begin"/>
      </w:r>
      <w:r w:rsidR="00E53B1A">
        <w:rPr>
          <w:highlight w:val="yellow"/>
        </w:rPr>
        <w:instrText xml:space="preserve"> ADDIN ZOTERO_ITEM CSL_CITATION {"citationID":"Ceu1VQKW","properties":{"formattedCitation":"(Busemeyer, Garritzmann, and Neimanns, 2020; Castillo et al., 2024; Immergut and Schneider, 2020)","plainCitation":"(Busemeyer, Garritzmann, and Neimanns, 2020; Castillo et al., 2024; Immergut and Schneider, 2020)","noteIndex":0},"citationItems":[{"id":19447,"uris":["http://zotero.org/users/5414506/items/6PU4BVN9"],"itemData":{"id":19447,"type":"book","collection-title":"Cambridge Studies in the Comparative Politics of Education","publisher":"Cambridge University Press","title":"A Loud but Noisy Signal?: Public Opinion and Education Reform in Western Europe","author":[{"family":"Busemeyer","given":"Marius R."},{"family":"Garritzmann","given":"Julian L."},{"family":"Neimanns","given":"Erik"}],"issued":{"date-parts":[["2020"]]},"citation-key":"busemeyer_loud_2020"}},{"id":16787,"uris":["http://zotero.org/users/5414506/items/ZYS3I7T7"],"itemData":{"id":16787,"type":"article-journal","abstract":"Previous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M."}],"issued":{"date-parts":[["2020",12]]},"citation-key":"immergut_is_2020"}}],"schema":"https://github.com/citation-style-language/schema/raw/master/csl-citation.json"} </w:instrText>
      </w:r>
      <w:r w:rsidR="009B0B02" w:rsidRPr="79064136">
        <w:rPr>
          <w:highlight w:val="yellow"/>
        </w:rPr>
        <w:fldChar w:fldCharType="separate"/>
      </w:r>
      <w:r w:rsidRPr="79064136">
        <w:rPr>
          <w:rFonts w:cs="Times New Roman"/>
          <w:highlight w:val="yellow"/>
        </w:rPr>
        <w:t>(Busemeyer, Garritzmann, and Neimanns, 2020; Castillo et al., 2024; Immergut and Schneider, 2020)</w:t>
      </w:r>
      <w:r w:rsidR="009B0B02" w:rsidRPr="79064136">
        <w:rPr>
          <w:highlight w:val="yellow"/>
        </w:rPr>
        <w:fldChar w:fldCharType="end"/>
      </w:r>
      <w:r w:rsidRPr="79064136">
        <w:rPr>
          <w:highlight w:val="yellow"/>
        </w:rPr>
        <w:t>.</w:t>
      </w:r>
      <w:r w:rsidRPr="00B11337">
        <w:rPr>
          <w:highlight w:val="yellow"/>
        </w:rPr>
        <w:t xml:space="preserve"> </w:t>
      </w:r>
    </w:p>
    <w:p w14:paraId="1523740C" w14:textId="5B133E74" w:rsidR="002632A2" w:rsidRPr="00D84938" w:rsidRDefault="00DF1960" w:rsidP="00BB5CF8">
      <w:pPr>
        <w:pStyle w:val="Heading2"/>
      </w:pPr>
      <w:r w:rsidRPr="00D84938">
        <w:t xml:space="preserve">Inequality and </w:t>
      </w:r>
      <w:r w:rsidR="00B278CC">
        <w:t xml:space="preserve">support for </w:t>
      </w:r>
      <w:r w:rsidR="00F327CD">
        <w:t>the commodification of welfare</w:t>
      </w:r>
    </w:p>
    <w:p w14:paraId="15237413" w14:textId="50C30AC7" w:rsidR="002632A2" w:rsidRPr="00D84938" w:rsidRDefault="00D7641D">
      <w:r w:rsidRPr="002D0320">
        <w:rPr>
          <w:highlight w:val="yellow"/>
        </w:rPr>
        <w:t xml:space="preserve">In this study, I will focus on </w:t>
      </w:r>
      <w:r w:rsidR="00DC4358">
        <w:rPr>
          <w:highlight w:val="yellow"/>
        </w:rPr>
        <w:t>public</w:t>
      </w:r>
      <w:r w:rsidR="000D53E0" w:rsidRPr="002D0320">
        <w:rPr>
          <w:highlight w:val="yellow"/>
        </w:rPr>
        <w:t xml:space="preserve"> support</w:t>
      </w:r>
      <w:r w:rsidRPr="002D0320">
        <w:rPr>
          <w:highlight w:val="yellow"/>
        </w:rPr>
        <w:t xml:space="preserve"> </w:t>
      </w:r>
      <w:r w:rsidR="00570963" w:rsidRPr="002D0320">
        <w:rPr>
          <w:highlight w:val="yellow"/>
        </w:rPr>
        <w:t>for the</w:t>
      </w:r>
      <w:r w:rsidRPr="002D0320">
        <w:rPr>
          <w:highlight w:val="yellow"/>
        </w:rPr>
        <w:t xml:space="preserve"> commodification of welfare services.</w:t>
      </w:r>
      <w:r>
        <w:t xml:space="preserve"> </w:t>
      </w:r>
      <w:r w:rsidR="00435862">
        <w:t xml:space="preserve">While redistribution in market societies mainly focuses on the capacity </w:t>
      </w:r>
      <w:r w:rsidR="00FB339D">
        <w:t xml:space="preserve">of the state </w:t>
      </w:r>
      <w:r w:rsidR="00435862">
        <w:t xml:space="preserve">to reallocate resources from those in more advantageous positions to those in greater vulnerability, market </w:t>
      </w:r>
      <w:r w:rsidR="003D18C2">
        <w:t xml:space="preserve">institutions also </w:t>
      </w:r>
      <w:r w:rsidR="00435862">
        <w:t>play</w:t>
      </w:r>
      <w:r w:rsidR="003D18C2">
        <w:t xml:space="preserve"> </w:t>
      </w:r>
      <w:r w:rsidR="00435862">
        <w:t xml:space="preserve">a role in </w:t>
      </w:r>
      <w:r w:rsidR="003D18C2">
        <w:t xml:space="preserve">shaping the distribution of economic resources </w:t>
      </w:r>
      <w:r w:rsidR="00435862">
        <w:fldChar w:fldCharType="begin"/>
      </w:r>
      <w:r w:rsidR="00E53B1A">
        <w:instrText xml:space="preserve"> ADDIN ZOTERO_ITEM CSL_CITATION {"citationID":"iO9KwCGS","properties":{"formattedCitation":"(Koos and Sachweh, 2019; Lindh and McCall, 2020)","plainCitation":"(Koos and Sachweh, 2019; Lindh and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35862">
        <w:fldChar w:fldCharType="separate"/>
      </w:r>
      <w:r w:rsidR="00D92E77" w:rsidRPr="00D92E77">
        <w:rPr>
          <w:rFonts w:cs="Times New Roman"/>
        </w:rPr>
        <w:t>(Koos and Sachweh, 2019; Lindh and McCall, 2020)</w:t>
      </w:r>
      <w:r w:rsidR="00435862">
        <w:fldChar w:fldCharType="end"/>
      </w:r>
      <w:r w:rsidR="00435862">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rsidR="00435862">
        <w:fldChar w:fldCharType="begin"/>
      </w:r>
      <w:r w:rsidR="00E53B1A">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rsidR="00435862">
        <w:fldChar w:fldCharType="separate"/>
      </w:r>
      <w:r w:rsidR="00D92E77" w:rsidRPr="00D92E77">
        <w:rPr>
          <w:rFonts w:cs="Times New Roman"/>
        </w:rPr>
        <w:t>(1986)</w:t>
      </w:r>
      <w:r w:rsidR="00435862">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rsidR="00435862">
        <w:fldChar w:fldCharType="begin"/>
      </w:r>
      <w:r w:rsidR="00E53B1A">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435862">
        <w:fldChar w:fldCharType="separate"/>
      </w:r>
      <w:r w:rsidR="00D92E77" w:rsidRPr="00D92E77">
        <w:rPr>
          <w:rFonts w:cs="Times New Roman"/>
        </w:rPr>
        <w:t>(Lane, 1986)</w:t>
      </w:r>
      <w:r w:rsidR="00435862">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516B5678" w:rsidR="008A07BB" w:rsidRPr="00D84938" w:rsidRDefault="006500E8" w:rsidP="007F287E">
      <w:bookmarkStart w:id="12" w:name="_p4j03qdkz5hc" w:colFirst="0" w:colLast="0"/>
      <w:bookmarkEnd w:id="12"/>
      <w:r w:rsidRPr="00D84938">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r w:rsidR="00E53B1A">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D84938">
        <w:fldChar w:fldCharType="separate"/>
      </w:r>
      <w:r w:rsidR="00D92E77" w:rsidRPr="00D92E77">
        <w:rPr>
          <w:rFonts w:cs="Times New Roman"/>
        </w:rPr>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r w:rsidR="00E53B1A">
        <w:instrText xml:space="preserve"> ADDIN ZOTERO_ITEM CSL_CITATION {"citationID":"RbzS27Ng","properties":{"formattedCitation":"(Kluegel and Smith, 1981)","plainCitation":"(Kluegel and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D84938">
        <w:fldChar w:fldCharType="separate"/>
      </w:r>
      <w:r w:rsidR="00D92E77" w:rsidRPr="00D92E77">
        <w:rPr>
          <w:rFonts w:cs="Times New Roman"/>
        </w:rPr>
        <w:t>(Kluegel and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r w:rsidR="00E53B1A">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D92E77" w:rsidRPr="00D92E77">
        <w:rPr>
          <w:rFonts w:cs="Times New Roman"/>
        </w:rPr>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r w:rsidR="00E53B1A">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D92E77" w:rsidRPr="00D92E77">
        <w:rPr>
          <w:rFonts w:cs="Times New Roman"/>
        </w:rPr>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r w:rsidR="00E53B1A">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D84938">
        <w:fldChar w:fldCharType="separate"/>
      </w:r>
      <w:r w:rsidR="00D92E77" w:rsidRPr="00D92E77">
        <w:rPr>
          <w:rFonts w:cs="Times New Roman"/>
        </w:rPr>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r w:rsidR="00E53B1A">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D84938">
        <w:fldChar w:fldCharType="separate"/>
      </w:r>
      <w:r w:rsidR="00D92E77" w:rsidRPr="00D92E77">
        <w:rPr>
          <w:rFonts w:cs="Times New Roman"/>
        </w:rPr>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self-responsibility </w:t>
      </w:r>
      <w:r w:rsidR="00023F2B" w:rsidRPr="00D84938">
        <w:fldChar w:fldCharType="begin"/>
      </w:r>
      <w:r w:rsidR="00ED6D0C">
        <w:instrText xml:space="preserve"> ADDIN ZOTERO_ITEM CSL_CITATION {"citationID":"5heDjxaV","properties":{"formattedCitation":"(Castillo, Madero-Cabib, and Salamovich, 2013)","plainCitation":"(Castillo, Madero-Cabib, and Salamovich,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D84938">
        <w:fldChar w:fldCharType="separate"/>
      </w:r>
      <w:r w:rsidR="00ED6D0C" w:rsidRPr="00ED6D0C">
        <w:rPr>
          <w:rFonts w:cs="Times New Roman"/>
        </w:rPr>
        <w:t>(Castillo, Madero-Cabib, and Salamovich, 2013)</w:t>
      </w:r>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6DD9C785" w14:textId="64D32F19" w:rsidR="00365CAB" w:rsidRDefault="00410E8B" w:rsidP="00410E8B">
      <w:r>
        <w:lastRenderedPageBreak/>
        <w:t xml:space="preserve">Part of the </w:t>
      </w:r>
      <w:r w:rsidR="008F1F86" w:rsidRPr="00D84938">
        <w:t>empirical distributive justice</w:t>
      </w:r>
      <w:r>
        <w:t xml:space="preserve"> studies </w:t>
      </w:r>
      <w:r w:rsidR="00B36D33">
        <w:t>have addressed the extent to which</w:t>
      </w:r>
      <w:r w:rsidR="004F31F4">
        <w:t xml:space="preserve"> </w:t>
      </w:r>
      <w:r w:rsidR="00A912A6" w:rsidRPr="00D84938">
        <w:t xml:space="preserve">market justice </w:t>
      </w:r>
      <w:r w:rsidR="00B36D33">
        <w:t>principles</w:t>
      </w:r>
      <w:r w:rsidR="00365CAB" w:rsidRPr="00D84938">
        <w:t xml:space="preserve"> </w:t>
      </w:r>
      <w:r w:rsidR="004F31F4">
        <w:t xml:space="preserve">are linked to the </w:t>
      </w:r>
      <w:r w:rsidR="00470084" w:rsidRPr="00D84938">
        <w:t xml:space="preserve">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(e.g.</w:t>
      </w:r>
      <w:r w:rsidR="001379FE">
        <w:t>,</w:t>
      </w:r>
      <w:r w:rsidR="00470084" w:rsidRPr="00D84938">
        <w:t xml:space="preserve">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welfare</w:t>
      </w:r>
      <w:r>
        <w:t xml:space="preserve"> services</w:t>
      </w:r>
      <w:r w:rsidR="00247ADB">
        <w:t xml:space="preserve"> </w:t>
      </w:r>
      <w:r w:rsidR="00D61CA0" w:rsidRPr="00D84938">
        <w:fldChar w:fldCharType="begin"/>
      </w:r>
      <w:r w:rsidR="00E53B1A">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D84938">
        <w:fldChar w:fldCharType="separate"/>
      </w:r>
      <w:r w:rsidR="00D92E77" w:rsidRPr="00D92E77">
        <w:rPr>
          <w:rFonts w:cs="Times New Roman"/>
        </w:rPr>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386150">
        <w:t xml:space="preserve">that </w:t>
      </w:r>
      <w:r w:rsidR="00C063F3">
        <w:t>welfare services</w:t>
      </w:r>
      <w:r w:rsidR="00386150">
        <w:t xml:space="preserve"> </w:t>
      </w:r>
      <w:r w:rsidR="00B30C86" w:rsidRPr="00D84938">
        <w:t>are viewed as legitimate commodities that can be traded, evaluated, and priced</w:t>
      </w:r>
      <w:r w:rsidR="00C82F4A" w:rsidRPr="00D84938">
        <w:t xml:space="preserve"> </w:t>
      </w:r>
      <w:r w:rsidR="00266A5F" w:rsidRPr="00D84938">
        <w:fldChar w:fldCharType="begin"/>
      </w:r>
      <w:r w:rsidR="00E53B1A">
        <w:instrText xml:space="preserve"> ADDIN ZOTERO_ITEM CSL_CITATION {"citationID":"0ccLDN6H","properties":{"formattedCitation":"(Busemeyer and Iversen, 2020)","plainCitation":"(Busemeyer and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D84938">
        <w:fldChar w:fldCharType="separate"/>
      </w:r>
      <w:r w:rsidR="00D92E77" w:rsidRPr="00D92E77">
        <w:rPr>
          <w:rFonts w:cs="Times New Roman"/>
        </w:rPr>
        <w:t>(Busemeyer and Iversen, 2020)</w:t>
      </w:r>
      <w:r w:rsidR="00266A5F" w:rsidRPr="00D84938">
        <w:fldChar w:fldCharType="end"/>
      </w:r>
      <w:r w:rsidR="00266A5F" w:rsidRPr="00D84938">
        <w:t>.</w:t>
      </w:r>
      <w:r w:rsidR="00C252B1">
        <w:t xml:space="preserve"> For instance, in the healthcare domain, </w:t>
      </w:r>
      <w:r w:rsidR="79064136">
        <w:t xml:space="preserve">Knesebeck et al. </w:t>
      </w:r>
      <w:r w:rsidR="005E1D03">
        <w:fldChar w:fldCharType="begin"/>
      </w:r>
      <w:r w:rsidR="00E53B1A">
        <w:instrText xml:space="preserve"> ADDIN ZOTERO_ITEM CSL_CITATION {"citationID":"gb2fFp7k","properties":{"formattedCitation":"(2016)","plainCitation":"(2016)","noteIndex":0},"citationItems":[{"id":16653,"uris":["http://zotero.org/users/5414506/items/RC5IGP9I"],"itemData":{"id":16653,"type":"article-journal","abstract":"In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Jun"}],"issued":{"date-parts":[["2016",4,11]]},"citation-key":"von_dem_knesebeck_are_2016"},"label":"page","suppress-author":true}],"schema":"https://github.com/citation-style-language/schema/raw/master/csl-citation.json"} </w:instrText>
      </w:r>
      <w:r w:rsidR="005E1D03">
        <w:fldChar w:fldCharType="separate"/>
      </w:r>
      <w:r w:rsidR="79064136" w:rsidRPr="79064136">
        <w:rPr>
          <w:rFonts w:cs="Times New Roman"/>
        </w:rPr>
        <w:t>(2016)</w:t>
      </w:r>
      <w:r w:rsidR="005E1D03">
        <w:fldChar w:fldCharType="end"/>
      </w:r>
      <w:r w:rsidR="79064136">
        <w:t xml:space="preserve"> and Immergut and Schneider </w:t>
      </w:r>
      <w:r w:rsidR="005E1D03">
        <w:fldChar w:fldCharType="begin"/>
      </w:r>
      <w:r w:rsidR="00E53B1A">
        <w:instrText xml:space="preserve"> ADDIN ZOTERO_ITEM CSL_CITATION {"citationID":"so00I3YX","properties":{"formattedCitation":"(2020)","plainCitation":"(2020)","noteIndex":0},"citationItems":[{"id":16413,"uris":["http://zotero.org/users/5414506/items/MXPRS69Q"],"itemData":{"id":16413,"type":"article-journal","container-title":"Social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M."}],"issued":{"date-parts":[["2020",12]]},"citation-key":"immergut_is_2020"},"label":"page","suppress-author":true}],"schema":"https://github.com/citation-style-language/schema/raw/master/csl-citation.json"} </w:instrText>
      </w:r>
      <w:r w:rsidR="005E1D03">
        <w:fldChar w:fldCharType="separate"/>
      </w:r>
      <w:r w:rsidR="79064136" w:rsidRPr="79064136">
        <w:rPr>
          <w:rFonts w:cs="Times New Roman"/>
        </w:rPr>
        <w:t>(2020)</w:t>
      </w:r>
      <w:r w:rsidR="005E1D03">
        <w:fldChar w:fldCharType="end"/>
      </w:r>
      <w:r w:rsidR="79064136">
        <w:t xml:space="preserve">, have assessed whether citizens find it fair that wealthier individuals receive better healthcare services than poorer individuals. In the educational domain, Lee and Stacey </w:t>
      </w:r>
      <w:r w:rsidR="005E1D03">
        <w:fldChar w:fldCharType="begin"/>
      </w:r>
      <w:r w:rsidR="00E53B1A">
        <w:instrText xml:space="preserve"> ADDIN ZOTERO_ITEM CSL_CITATION {"citationID":"XOkCIy6v","properties":{"formattedCitation":"(2023)","plainCitation":"(2023)","noteIndex":0},"citationItems":[{"id":16767,"uris":["http://zotero.org/users/5414506/items/P3DBATME"],"itemData":{"id":16767,"type":"article-journal","abstract":"Income-based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5E1D03">
        <w:fldChar w:fldCharType="separate"/>
      </w:r>
      <w:r w:rsidR="79064136" w:rsidRPr="79064136">
        <w:rPr>
          <w:rFonts w:cs="Times New Roman"/>
        </w:rPr>
        <w:t>(2023)</w:t>
      </w:r>
      <w:r w:rsidR="005E1D03">
        <w:fldChar w:fldCharType="end"/>
      </w:r>
      <w:r w:rsidR="79064136">
        <w:t xml:space="preserve"> scrutinized Australian citizens' support for income-based access to schooling by gauging whether individuals consider it fair that higher-income families can secure a better education for their children. Similarly, other cross-country comparative studies</w:t>
      </w:r>
      <w:r w:rsidR="000978EF">
        <w:t>,</w:t>
      </w:r>
      <w:r w:rsidR="79064136">
        <w:t xml:space="preserve"> such as Lindh </w:t>
      </w:r>
      <w:r w:rsidR="005E1D03">
        <w:fldChar w:fldCharType="begin"/>
      </w:r>
      <w:r w:rsidR="00E53B1A">
        <w:instrText xml:space="preserve"> ADDIN ZOTERO_ITEM CSL_CITATION {"citationID":"EEmLn7eb","properties":{"formattedCitation":"(2015)","plainCitation":"(2015)","noteIndex":0},"citationItems":[{"id":14436,"uris":["http://zotero.org/users/5414506/items/5K857S8L"],"itemData":{"id":14436,"type":"article-journal","abstract":"This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5E1D03">
        <w:fldChar w:fldCharType="separate"/>
      </w:r>
      <w:r w:rsidR="79064136" w:rsidRPr="79064136">
        <w:rPr>
          <w:rFonts w:cs="Times New Roman"/>
        </w:rPr>
        <w:t>(2015)</w:t>
      </w:r>
      <w:r w:rsidR="005E1D03">
        <w:fldChar w:fldCharType="end"/>
      </w:r>
      <w:r w:rsidR="79064136">
        <w:t xml:space="preserve"> and Svallfors </w:t>
      </w:r>
      <w:r w:rsidR="005E1D03">
        <w:fldChar w:fldCharType="begin"/>
      </w:r>
      <w:r w:rsidR="00E53B1A">
        <w:instrText xml:space="preserve"> ADDIN ZOTERO_ITEM CSL_CITATION {"citationID":"tcCM5DYs","properties":{"formattedCitation":"(2007)","plainCitation":"(2007)","noteIndex":0},"citationItems":[{"id":16494,"uris":["http://zotero.org/users/5414506/items/4IFFF6WH"],"itemData":{"id":16494,"type":"chapter","container-title":"The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5E1D03">
        <w:fldChar w:fldCharType="separate"/>
      </w:r>
      <w:r w:rsidR="79064136" w:rsidRPr="79064136">
        <w:rPr>
          <w:rFonts w:cs="Times New Roman"/>
        </w:rPr>
        <w:t>(2007)</w:t>
      </w:r>
      <w:r w:rsidR="005E1D03">
        <w:fldChar w:fldCharType="end"/>
      </w:r>
      <w:r w:rsidR="79064136">
        <w:t xml:space="preserve"> have combined both indicators as a general indicator for the “market-based distribution” of welfare services. </w:t>
      </w:r>
      <w:r w:rsidR="00991788">
        <w:t>Similarly</w:t>
      </w:r>
      <w:r w:rsidR="79064136">
        <w:t xml:space="preserve">, a study by Castilo et al. </w:t>
      </w:r>
      <w:r w:rsidR="005E1D03">
        <w:fldChar w:fldCharType="begin"/>
      </w:r>
      <w:r w:rsidR="00E53B1A">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005E1D03">
        <w:fldChar w:fldCharType="separate"/>
      </w:r>
      <w:r w:rsidR="79064136" w:rsidRPr="79064136">
        <w:rPr>
          <w:rFonts w:cs="Times New Roman"/>
        </w:rPr>
        <w:t>(2024)</w:t>
      </w:r>
      <w:r w:rsidR="005E1D03">
        <w:fldChar w:fldCharType="end"/>
      </w:r>
      <w:r w:rsidR="79064136">
        <w:t xml:space="preserve"> scrutinized market justice preferences on the student population in Chile in the domains of education, healthcare, and pensions, as well as by employing a single indicator of market justice. </w:t>
      </w:r>
      <w:r w:rsidR="001F612E">
        <w:t>A</w:t>
      </w:r>
      <w:r w:rsidR="006F4C43" w:rsidRPr="006F4C43">
        <w:t xml:space="preserve">s I am interested in the general preferences beyond </w:t>
      </w:r>
      <w:r w:rsidR="006F4C43">
        <w:t xml:space="preserve">the </w:t>
      </w:r>
      <w:r w:rsidR="006F4C43" w:rsidRPr="006F4C43">
        <w:t>specific social policy domain</w:t>
      </w:r>
      <w:r w:rsidR="00BD2CE7">
        <w:t>s,</w:t>
      </w:r>
      <w:r w:rsidR="006F4C43">
        <w:t xml:space="preserve"> </w:t>
      </w:r>
      <w:r w:rsidR="001F612E">
        <w:t>in this study</w:t>
      </w:r>
      <w:r w:rsidR="00B34B7A">
        <w:t>,</w:t>
      </w:r>
      <w:r w:rsidR="001F612E">
        <w:t xml:space="preserve"> </w:t>
      </w:r>
      <w:r w:rsidR="79064136">
        <w:t>I</w:t>
      </w:r>
      <w:commentRangeStart w:id="13"/>
      <w:r w:rsidR="79064136">
        <w:t xml:space="preserve"> </w:t>
      </w:r>
      <w:r w:rsidR="00BA362B">
        <w:t>adopted</w:t>
      </w:r>
      <w:r w:rsidR="79064136">
        <w:t xml:space="preserve"> the latter approach to scrutinize market justice preferences</w:t>
      </w:r>
      <w:commentRangeEnd w:id="13"/>
      <w:r w:rsidR="00BD2CE7">
        <w:t xml:space="preserve"> as a single dimension.</w:t>
      </w:r>
      <w:r w:rsidR="005E1D03">
        <w:rPr>
          <w:rStyle w:val="CommentReference"/>
        </w:rPr>
        <w:commentReference w:id="13"/>
      </w:r>
    </w:p>
    <w:p w14:paraId="4F56F5CB" w14:textId="54505633" w:rsidR="0070766E" w:rsidRPr="009B0B02" w:rsidRDefault="009B0B02" w:rsidP="0070766E">
      <w:pPr>
        <w:rPr>
          <w:highlight w:val="yellow"/>
        </w:rPr>
      </w:pPr>
      <w:r w:rsidRPr="009B0B02">
        <w:rPr>
          <w:highlight w:val="yellow"/>
        </w:rPr>
        <w:t>In line with the above</w:t>
      </w:r>
      <w:r w:rsidRPr="00B11337">
        <w:rPr>
          <w:highlight w:val="yellow"/>
        </w:rPr>
        <w:t xml:space="preserve">, I expect that network diversity nurtures greater skepticism toward the fairness of market mechanisms in distributing resources, and particularly the legitimacy of market-based distribution of social welfare. Especially regarding individual change, </w:t>
      </w:r>
      <w:r w:rsidR="0070766E" w:rsidRPr="009B0B02">
        <w:rPr>
          <w:highlight w:val="yellow"/>
        </w:rPr>
        <w:t>I argue that changes in network diversity can nurture changes in political attitudes as they reflect the influence of new social contexts and the information they provide. As individuals encounter different life experiences, they may develop critical views on the fairness of market distributions and market-based access to social welfare</w:t>
      </w:r>
      <w:r w:rsidR="00F463A6">
        <w:t xml:space="preserve"> </w:t>
      </w:r>
      <w:r w:rsidR="00F463A6" w:rsidRPr="00F463A6">
        <w:t>(</w:t>
      </w:r>
      <w:r w:rsidR="00F463A6" w:rsidRPr="00F463A6">
        <w:rPr>
          <w:i/>
          <w:iCs/>
        </w:rPr>
        <w:t>market skepticism hypothesis</w:t>
      </w:r>
      <w:r w:rsidR="00F463A6" w:rsidRPr="00F463A6">
        <w:t>)</w:t>
      </w:r>
      <w:r w:rsidR="0070766E" w:rsidRPr="009B0B02">
        <w:rPr>
          <w:highlight w:val="yellow"/>
        </w:rPr>
        <w:t xml:space="preserve">. Over time, greater network diversity allows individuals to accumulate a variety of experiences and learn from </w:t>
      </w:r>
      <w:r w:rsidR="00932FC8">
        <w:rPr>
          <w:highlight w:val="yellow"/>
        </w:rPr>
        <w:t>qualitatively new</w:t>
      </w:r>
      <w:r w:rsidR="0070766E" w:rsidRPr="009B0B02">
        <w:rPr>
          <w:highlight w:val="yellow"/>
        </w:rPr>
        <w:t xml:space="preserve"> information. Therefore, the main hypothesis of this study </w:t>
      </w:r>
      <w:r w:rsidR="00F035E9">
        <w:rPr>
          <w:highlight w:val="yellow"/>
        </w:rPr>
        <w:t>reads</w:t>
      </w:r>
      <w:r w:rsidR="00F035E9" w:rsidRPr="009B0B02">
        <w:rPr>
          <w:highlight w:val="yellow"/>
        </w:rPr>
        <w:t xml:space="preserve"> </w:t>
      </w:r>
      <w:r w:rsidR="0070766E" w:rsidRPr="009B0B02">
        <w:rPr>
          <w:highlight w:val="yellow"/>
        </w:rPr>
        <w:t>as follows:</w:t>
      </w:r>
    </w:p>
    <w:p w14:paraId="5C0BD67A" w14:textId="56204DA1" w:rsidR="0070766E" w:rsidRPr="00D84938" w:rsidRDefault="79064136" w:rsidP="79064136">
      <w:pPr>
        <w:ind w:firstLine="720"/>
        <w:rPr>
          <w:highlight w:val="yellow"/>
        </w:rPr>
      </w:pPr>
      <w:commentRangeStart w:id="14"/>
      <w:r w:rsidRPr="79064136">
        <w:rPr>
          <w:highlight w:val="yellow"/>
        </w:rPr>
        <w:t>H</w:t>
      </w:r>
      <w:r w:rsidRPr="79064136">
        <w:rPr>
          <w:highlight w:val="yellow"/>
          <w:vertAlign w:val="subscript"/>
        </w:rPr>
        <w:t>1</w:t>
      </w:r>
      <w:r w:rsidRPr="79064136">
        <w:rPr>
          <w:highlight w:val="yellow"/>
        </w:rPr>
        <w:t>: the greater the changes in network diversity, the less support market justice.</w:t>
      </w:r>
      <w:commentRangeEnd w:id="14"/>
      <w:r w:rsidR="0070766E">
        <w:rPr>
          <w:rStyle w:val="CommentReference"/>
        </w:rPr>
        <w:commentReference w:id="14"/>
      </w:r>
    </w:p>
    <w:p w14:paraId="372A15E3" w14:textId="2E20D2F1" w:rsidR="00C5370B" w:rsidRPr="00D84938" w:rsidRDefault="00606669" w:rsidP="00C5370B">
      <w:pPr>
        <w:pStyle w:val="Heading1"/>
      </w:pPr>
      <w:r>
        <w:t>Case of Chile</w:t>
      </w:r>
    </w:p>
    <w:p w14:paraId="5B77097C" w14:textId="501414C1" w:rsidR="00A81A19" w:rsidRPr="00816583" w:rsidRDefault="005072C8" w:rsidP="00A81A19">
      <w:pPr>
        <w:spacing w:before="240" w:after="240"/>
      </w:pPr>
      <w:r w:rsidRPr="00D84938">
        <w:t xml:space="preserve">Chile provides a valuable case study </w:t>
      </w:r>
      <w:r w:rsidR="0076192F">
        <w:t xml:space="preserve">to shed light </w:t>
      </w:r>
      <w:r w:rsidR="00B0123E">
        <w:t>on</w:t>
      </w:r>
      <w:r w:rsidR="0076192F">
        <w:t xml:space="preserve"> how public views regarding the market distribution of social services develop in conditions of </w:t>
      </w:r>
      <w:r w:rsidR="00080C46">
        <w:t>decreasing poverty</w:t>
      </w:r>
      <w:r w:rsidR="00101132">
        <w:t xml:space="preserve"> and</w:t>
      </w:r>
      <w:r w:rsidR="00080C46">
        <w:t xml:space="preserve"> relatively high income inequality </w:t>
      </w:r>
      <w:r w:rsidR="00101132">
        <w:t xml:space="preserve">in the context of a residual social policy regime </w:t>
      </w:r>
      <w:r w:rsidR="006E72B8" w:rsidRPr="00D84938">
        <w:t xml:space="preserve"> </w:t>
      </w:r>
      <w:r w:rsidR="006E72B8" w:rsidRPr="00D84938">
        <w:fldChar w:fldCharType="begin"/>
      </w:r>
      <w:r w:rsidR="00E53B1A">
        <w:instrText xml:space="preserve"> ADDIN ZOTERO_ITEM CSL_CITATION {"citationID":"Rxe7MkyC","properties":{"formattedCitation":"(Ferre, 2023)","plainCitation":"(Ferre, 2023)","noteIndex":0},"citationItems":[{"id":16199,"uris":["http://zotero.org/users/5414506/items/HDTQAU9B"],"itemData":{"id":16199,"type":"article-journal","abstract":"A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D84938">
        <w:fldChar w:fldCharType="separate"/>
      </w:r>
      <w:r w:rsidR="00D92E77" w:rsidRPr="00D92E77">
        <w:rPr>
          <w:rFonts w:cs="Times New Roman"/>
        </w:rPr>
        <w:t>(Ferre, 2023)</w:t>
      </w:r>
      <w:r w:rsidR="006E72B8" w:rsidRPr="00D84938">
        <w:fldChar w:fldCharType="end"/>
      </w:r>
      <w:r w:rsidRPr="00D84938">
        <w:t xml:space="preserve">. </w:t>
      </w:r>
      <w:r w:rsidR="00C842B1" w:rsidRPr="00D84938">
        <w:t xml:space="preserve">Since the neoliberal reforms of the 1980s, Chile’s welfare system has leaned heavily on private provision, where services are often privatized and only accessible to those who can afford them </w:t>
      </w:r>
      <w:r w:rsidR="00C842B1" w:rsidRPr="00D84938">
        <w:fldChar w:fldCharType="begin"/>
      </w:r>
      <w:r w:rsidR="00E53B1A">
        <w:instrText xml:space="preserve"> ADDIN ZOTERO_ITEM CSL_CITATION {"citationID":"E91LBw4G","properties":{"formattedCitation":"(Arrizabalo, 1995)","plainCitation":"(Arrizabalo, 1995)","noteIndex":0},"citationItems":[{"id":83,"uris":["http://zotero.org/users/5414506/items/2NVZKC5A"],"itemData":{"id":83,"type":"book","event-place":"Madrid","ISBN":"84-8198-067-6","publisher":"Los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C842B1" w:rsidRPr="00D84938">
        <w:fldChar w:fldCharType="separate"/>
      </w:r>
      <w:r w:rsidR="00D92E77" w:rsidRPr="00D92E77">
        <w:rPr>
          <w:rFonts w:cs="Times New Roman"/>
        </w:rPr>
        <w:t>(Arrizabalo, 1995)</w:t>
      </w:r>
      <w:r w:rsidR="00C842B1" w:rsidRPr="00D84938">
        <w:fldChar w:fldCharType="end"/>
      </w:r>
      <w:r w:rsidR="00C842B1" w:rsidRPr="00D84938">
        <w:t xml:space="preserve">. This "crowded-out" welfare model benefits higher-income groups, leaving lower-income individuals to rely on limited public options. </w:t>
      </w:r>
      <w:r w:rsidRPr="00D84938">
        <w:t xml:space="preserve">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r w:rsidR="00E53B1A">
        <w:instrText xml:space="preserve"> ADDIN ZOTERO_ITEM CSL_CITATION {"citationID":"X0hwFt1c","properties":{"formattedCitation":"(Rodr\\uc0\\u237{}guez Weber, 2017)","plainCitation":"(Rodríguez Weber, 2017)","noteIndex":0},"citationItems":[{"id":1834,"uris":["http://zotero.org/users/5414506/items/3924AJC7"],"itemData":{"id":1834,"type":"book","ISBN":"978-956-244-384-5","language":"Spanish","note":"OCLC: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D84938">
        <w:fldChar w:fldCharType="separate"/>
      </w:r>
      <w:r w:rsidR="00D92E77" w:rsidRPr="00D92E77">
        <w:rPr>
          <w:rFonts w:cs="Times New Roman"/>
        </w:rPr>
        <w:t>(Rodríguez Weber, 2017)</w:t>
      </w:r>
      <w:r w:rsidR="005E1716" w:rsidRPr="00D84938">
        <w:fldChar w:fldCharType="end"/>
      </w:r>
      <w:r w:rsidRPr="00D84938">
        <w:t xml:space="preserve">. </w:t>
      </w:r>
      <w:r w:rsidR="00816583">
        <w:t xml:space="preserve">Scholars studying social stratification have suggested that Chile exemplifies a society with upward mobility from lower classes to intermediate </w:t>
      </w:r>
      <w:r w:rsidR="006141E1">
        <w:t>classes</w:t>
      </w:r>
      <w:r w:rsidR="00816583">
        <w:t xml:space="preserve">, yet with limited access to the upper classes </w:t>
      </w:r>
      <w:r w:rsidR="00C5282D">
        <w:fldChar w:fldCharType="begin"/>
      </w:r>
      <w:r w:rsidR="00E53B1A">
        <w:instrText xml:space="preserve"> ADDIN ZOTERO_ITEM CSL_CITATION {"citationID":"sY9wkE8k","properties":{"formattedCitation":"(Torche, 2005)","plainCitation":"(Torche, 2005)","noteIndex":0},"citationItems":[{"id":510,"uris":["http://zotero.org/users/5414506/items/EUJ2VDDC"],"itemData":{"id":510,"type":"article-journal","abstract":"A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instrText>
      </w:r>
      <w:r w:rsidR="00C5282D">
        <w:fldChar w:fldCharType="separate"/>
      </w:r>
      <w:r w:rsidR="00D92E77" w:rsidRPr="00D92E77">
        <w:rPr>
          <w:rFonts w:cs="Times New Roman"/>
        </w:rPr>
        <w:t>(Torche, 2005)</w:t>
      </w:r>
      <w:r w:rsidR="00C5282D">
        <w:fldChar w:fldCharType="end"/>
      </w:r>
      <w:r w:rsidR="00816583">
        <w:t xml:space="preserve">. Although research indicates that while the class structure in Chile shows greater fluidity regarding occupational class and educational attainment, </w:t>
      </w:r>
      <w:r w:rsidR="00C51114">
        <w:t xml:space="preserve">it does not reflect the same pattern when it comes to </w:t>
      </w:r>
      <w:r w:rsidR="00816583">
        <w:t xml:space="preserve">income mobility </w:t>
      </w:r>
      <w:r w:rsidR="00C5282D">
        <w:fldChar w:fldCharType="begin"/>
      </w:r>
      <w:r w:rsidR="00E53B1A">
        <w:instrText xml:space="preserve"> ADDIN ZOTERO_ITEM CSL_CITATION {"citationID":"Y97jWmvY","properties":{"formattedCitation":"(Espinoza and N\\uc0\\u250{}\\uc0\\u241{}ez, 2014)","plainCitation":"(Espinoza and Núñez, 2014)","noteIndex":0},"citationItems":[{"id":302,"uris":["http://zotero.org/users/5414506/items/APYAN2QH"],"itemData":{"id":302,"type":"article-journal","container-title":"Revista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instrText>
      </w:r>
      <w:r w:rsidR="00C5282D">
        <w:fldChar w:fldCharType="separate"/>
      </w:r>
      <w:r w:rsidR="00D92E77" w:rsidRPr="00D92E77">
        <w:rPr>
          <w:rFonts w:cs="Times New Roman"/>
        </w:rPr>
        <w:t>(Espinoza and Núñez, 2014)</w:t>
      </w:r>
      <w:r w:rsidR="00C5282D">
        <w:fldChar w:fldCharType="end"/>
      </w:r>
      <w:r w:rsidR="00816583">
        <w:t xml:space="preserve">. These inequalities are evident </w:t>
      </w:r>
      <w:r w:rsidR="00816583">
        <w:lastRenderedPageBreak/>
        <w:t xml:space="preserve">in the high levels of residential segregation found in large urban centers </w:t>
      </w:r>
      <w:r w:rsidR="00C5282D">
        <w:fldChar w:fldCharType="begin"/>
      </w:r>
      <w:r w:rsidR="00E53B1A">
        <w:instrText xml:space="preserve"> ADDIN ZOTERO_ITEM CSL_CITATION {"citationID":"OzuMv0BL","properties":{"formattedCitation":"(Garreton, Basauri, and Valenzuela, 2020)","plainCitation":"(Garreton, Basauri, and Valenzuela, 2020)","noteIndex":0},"citationItems":[{"id":15916,"uris":["http://zotero.org/users/5414506/items/MI4H3KHJ"],"itemData":{"id":15916,"type":"article-journal","abstract":"Urban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instrText>
      </w:r>
      <w:r w:rsidR="00C5282D">
        <w:fldChar w:fldCharType="separate"/>
      </w:r>
      <w:r w:rsidR="00D92E77" w:rsidRPr="00D92E77">
        <w:rPr>
          <w:rFonts w:cs="Times New Roman"/>
        </w:rPr>
        <w:t>(Garreton, Basauri, and Valenzuela, 2020)</w:t>
      </w:r>
      <w:r w:rsidR="00C5282D">
        <w:fldChar w:fldCharType="end"/>
      </w:r>
      <w:r w:rsidR="00816583">
        <w:t xml:space="preserve">, which have also influenced individuals' interpersonal networks </w:t>
      </w:r>
      <w:r w:rsidR="00C5282D">
        <w:fldChar w:fldCharType="begin"/>
      </w:r>
      <w:r w:rsidR="00E53B1A">
        <w:instrText xml:space="preserve"> ADDIN ZOTERO_ITEM CSL_CITATION {"citationID":"IS66BwK2","properties":{"formattedCitation":"(Otero, V\\uc0\\u246{}lker, and R\\uc0\\u246{}zer, 2022)","plainCitation":"(Otero, Völker, and Rözer, 2022)","noteIndex":0},"citationItems":[{"id":14465,"uris":["http://zotero.org/users/5414506/items/8HT9X9BP"],"itemData":{"id":14465,"type":"article-journal","abstract":"In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instrText>
      </w:r>
      <w:r w:rsidR="00C5282D">
        <w:fldChar w:fldCharType="separate"/>
      </w:r>
      <w:r w:rsidR="00D92E77" w:rsidRPr="00D92E77">
        <w:rPr>
          <w:rFonts w:cs="Times New Roman"/>
        </w:rPr>
        <w:t>(Otero, Völker, and Rözer, 2022)</w:t>
      </w:r>
      <w:r w:rsidR="00C5282D">
        <w:fldChar w:fldCharType="end"/>
      </w:r>
      <w:r w:rsidR="00816583">
        <w:t xml:space="preserve">. Specifically, it has been noted that the upper classes in Chile can be described as "open but segregated," as they display high levels of segregation while still </w:t>
      </w:r>
      <w:r w:rsidR="001C1A95">
        <w:t xml:space="preserve">able </w:t>
      </w:r>
      <w:r w:rsidR="00816583">
        <w:t xml:space="preserve">to connect with a diverse range of social classes within their networks </w:t>
      </w:r>
      <w:r w:rsidR="00C5282D">
        <w:fldChar w:fldCharType="begin"/>
      </w:r>
      <w:r w:rsidR="00E53B1A">
        <w:instrText xml:space="preserve"> ADDIN ZOTERO_ITEM CSL_CITATION {"citationID":"S4gpnMW9","properties":{"formattedCitation":"(Otero, V\\uc0\\u246{}lker, and R\\uc0\\u246{}zer, 2021)","plainCitation":"(Otero, Völker, and Rözer,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5282D">
        <w:fldChar w:fldCharType="separate"/>
      </w:r>
      <w:r w:rsidR="00D92E77" w:rsidRPr="00D92E77">
        <w:rPr>
          <w:rFonts w:cs="Times New Roman"/>
        </w:rPr>
        <w:t>(Otero, Völker, and Rözer, 2021)</w:t>
      </w:r>
      <w:r w:rsidR="00C5282D">
        <w:fldChar w:fldCharType="end"/>
      </w:r>
      <w:r w:rsidR="00816583">
        <w:t>.</w:t>
      </w:r>
    </w:p>
    <w:p w14:paraId="2CA25B9D" w14:textId="458A20FA" w:rsidR="002C1EA9" w:rsidRDefault="004110B4" w:rsidP="00C5370B">
      <w:pPr>
        <w:spacing w:before="240" w:after="240"/>
      </w:pPr>
      <w:r w:rsidRPr="004110B4">
        <w:t>Regarding public opinion, the International Social Survey of 2019 shows that Chile has a moderate-low support for the idea that it is fair that those with higher incomes can buy better health care and/or education for their children with around 22%, which contrasts with high support in countries like Taiwan (48%) or the low support in Germany (9%).</w:t>
      </w:r>
      <w:r>
        <w:t xml:space="preserve"> Against this background, </w:t>
      </w:r>
      <w:r w:rsidR="007B75C7">
        <w:t xml:space="preserve">a cycle of mass </w:t>
      </w:r>
      <w:r w:rsidR="00807A5E">
        <w:t>protests</w:t>
      </w:r>
      <w:r w:rsidR="00410BEC">
        <w:t xml:space="preserve"> known </w:t>
      </w:r>
      <w:r w:rsidR="00642C42">
        <w:t>as the “social outburst”</w:t>
      </w:r>
      <w:r w:rsidR="00410BEC">
        <w:t xml:space="preserve"> started in October 2019. </w:t>
      </w:r>
      <w:r w:rsidR="008808E0" w:rsidRPr="008808E0">
        <w:t>Initially, the protests were sparked by the mobilization of high school students, which progressively triggered different sectors of society to join the demand for greater equality in access to education, health care, and old age pensions.</w:t>
      </w:r>
      <w:r w:rsidR="00B629D6" w:rsidRPr="008808E0">
        <w:t xml:space="preserve"> </w:t>
      </w:r>
      <w:r w:rsidR="001C14AE">
        <w:t>These</w:t>
      </w:r>
      <w:r w:rsidR="008808E0">
        <w:t xml:space="preserve"> protest</w:t>
      </w:r>
      <w:r w:rsidR="001C14AE">
        <w:t>s</w:t>
      </w:r>
      <w:r w:rsidR="008808E0">
        <w:t xml:space="preserve"> </w:t>
      </w:r>
      <w:r w:rsidR="001C14AE">
        <w:t>were</w:t>
      </w:r>
      <w:r w:rsidR="00054D85">
        <w:t xml:space="preserve"> interpreted by the political system as a demand for a</w:t>
      </w:r>
      <w:r w:rsidR="005072C8" w:rsidRPr="00D84938">
        <w:t xml:space="preserve"> public shift toward a "crowded-in" welfare model, with </w:t>
      </w:r>
      <w:r w:rsidR="00054D85">
        <w:t>greater</w:t>
      </w:r>
      <w:r w:rsidR="005072C8" w:rsidRPr="00D84938">
        <w:t xml:space="preserve"> </w:t>
      </w:r>
      <w:r w:rsidR="00201B09">
        <w:t>public provision of social services</w:t>
      </w:r>
      <w:r w:rsidR="00D2419C" w:rsidRPr="00D84938">
        <w:t xml:space="preserve"> </w:t>
      </w:r>
      <w:r w:rsidR="00D2419C" w:rsidRPr="00D84938">
        <w:fldChar w:fldCharType="begin"/>
      </w:r>
      <w:r w:rsidR="00E53B1A">
        <w:instrText xml:space="preserve"> ADDIN ZOTERO_ITEM CSL_CITATION {"citationID":"ZxCj6XSQ","properties":{"formattedCitation":"(Somma, Bargsted, Disi Pavlic, and Medel, 2021)","plainCitation":"(Somma, Bargsted, Disi Pavlic, and Medel, 2021)","noteIndex":0},"citationItems":[{"id":16622,"uris":["http://zotero.org/groups/5667576/items/EQ3CPEMD"],"itemData":{"id":16622,"type":"article-journal","container-title":"Social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D84938">
        <w:fldChar w:fldCharType="separate"/>
      </w:r>
      <w:r w:rsidR="00D92E77" w:rsidRPr="00D92E77">
        <w:rPr>
          <w:rFonts w:cs="Times New Roman"/>
        </w:rPr>
        <w:t>(Somma, Bargsted, Disi Pavlic, and Medel, 2021)</w:t>
      </w:r>
      <w:r w:rsidR="00D2419C" w:rsidRPr="00D84938">
        <w:fldChar w:fldCharType="end"/>
      </w:r>
      <w:r w:rsidR="005072C8" w:rsidRPr="00D84938">
        <w:t>.</w:t>
      </w:r>
      <w:r w:rsidR="00201B09">
        <w:t xml:space="preserve"> </w:t>
      </w:r>
      <w:r w:rsidR="002C1EA9">
        <w:t xml:space="preserve">In sum, </w:t>
      </w:r>
      <w:r w:rsidR="005072C8" w:rsidRPr="00D84938">
        <w:t xml:space="preserve">Chile </w:t>
      </w:r>
      <w:r w:rsidR="00EB5E25">
        <w:t xml:space="preserve">is an illustrative case where </w:t>
      </w:r>
      <w:r w:rsidR="00C8143C">
        <w:t xml:space="preserve">marketization </w:t>
      </w:r>
      <w:r w:rsidR="00CC3D16">
        <w:t>has been predominant compared to public provision of social services. This</w:t>
      </w:r>
      <w:r w:rsidR="00012681">
        <w:t xml:space="preserve"> institutional arrangement has </w:t>
      </w:r>
      <w:r w:rsidR="00901F45">
        <w:t>coexisted</w:t>
      </w:r>
      <w:r w:rsidR="00BB69B1">
        <w:t xml:space="preserve"> </w:t>
      </w:r>
      <w:r w:rsidR="00AE23F3">
        <w:t xml:space="preserve">with </w:t>
      </w:r>
      <w:r w:rsidR="0076568C">
        <w:t xml:space="preserve">changes in the living conditions of citizens </w:t>
      </w:r>
      <w:r w:rsidR="003B102D">
        <w:t>during the past decades</w:t>
      </w:r>
      <w:r w:rsidR="00361848">
        <w:t>, which</w:t>
      </w:r>
      <w:r w:rsidR="003B102D">
        <w:t xml:space="preserve"> </w:t>
      </w:r>
      <w:r w:rsidR="0076568C">
        <w:t xml:space="preserve">have been accompanied by shifts </w:t>
      </w:r>
      <w:r w:rsidR="00BD0E99">
        <w:t>in public opinion for a more inclusive and public-based welfare system.</w:t>
      </w:r>
    </w:p>
    <w:p w14:paraId="1523743C" w14:textId="77777777" w:rsidR="002632A2" w:rsidRPr="00D84938" w:rsidRDefault="00606669">
      <w:pPr>
        <w:pStyle w:val="Heading1"/>
      </w:pPr>
      <w:bookmarkStart w:id="15" w:name="_el0we3z2mbd9" w:colFirst="0" w:colLast="0"/>
      <w:bookmarkEnd w:id="15"/>
      <w:commentRangeStart w:id="16"/>
      <w:r w:rsidRPr="00D84938">
        <w:t>Data, variables, and method</w:t>
      </w:r>
      <w:commentRangeEnd w:id="16"/>
      <w:r w:rsidRPr="00D84938">
        <w:commentReference w:id="16"/>
      </w:r>
    </w:p>
    <w:p w14:paraId="1523743E" w14:textId="77777777" w:rsidR="002632A2" w:rsidRPr="00D84938" w:rsidRDefault="00606669">
      <w:pPr>
        <w:pStyle w:val="Heading1"/>
      </w:pPr>
      <w:bookmarkStart w:id="17" w:name="_47sa7afqg2nu" w:colFirst="0" w:colLast="0"/>
      <w:bookmarkEnd w:id="17"/>
      <w:commentRangeStart w:id="18"/>
      <w:r w:rsidRPr="00D84938">
        <w:t>Data</w:t>
      </w:r>
      <w:commentRangeEnd w:id="18"/>
      <w:r w:rsidR="00CA6EC0" w:rsidRPr="00D84938">
        <w:rPr>
          <w:rStyle w:val="CommentReference"/>
          <w:b w:val="0"/>
        </w:rPr>
        <w:commentReference w:id="18"/>
      </w:r>
    </w:p>
    <w:p w14:paraId="339259BA" w14:textId="62723132" w:rsidR="009308AF" w:rsidRPr="00D84938" w:rsidRDefault="79064136" w:rsidP="001D3B99">
      <w:r>
        <w:t xml:space="preserve">The primary data source is the Chilean Longitudinal Social Survey </w:t>
      </w:r>
      <w:r w:rsidR="006042CE">
        <w:fldChar w:fldCharType="begin"/>
      </w:r>
      <w:r w:rsidR="00E53B1A">
        <w:instrText xml:space="preserve"> ADDIN ZOTERO_ITEM CSL_CITATION {"citationID":"Klvgfe38","properties":{"formattedCitation":"(ELSOC,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6042CE">
        <w:fldChar w:fldCharType="separate"/>
      </w:r>
      <w:r w:rsidRPr="79064136">
        <w:rPr>
          <w:rFonts w:cs="Times New Roman"/>
        </w:rPr>
        <w:t>(ELSOC, 2022)</w:t>
      </w:r>
      <w:r w:rsidR="006042CE">
        <w:fldChar w:fldCharType="end"/>
      </w:r>
      <w:r>
        <w:t xml:space="preserve"> from 2016 to 2023, including three-time measures, designed to annually assess how individuals think, feel, and behave regarding social issues related to conflict and cohesion in Chile. </w:t>
      </w:r>
      <w:commentRangeStart w:id="19"/>
      <w:r>
        <w:t xml:space="preserve">Using a probabilistic, stratified, clustered, and multistage sampling design, the survey covers major urban centers (Santiago, Valparaíso, and Concepción) and smaller cities. </w:t>
      </w:r>
      <w:commentRangeEnd w:id="19"/>
      <w:r w:rsidR="006042CE">
        <w:rPr>
          <w:rStyle w:val="CommentReference"/>
        </w:rPr>
        <w:commentReference w:id="19"/>
      </w:r>
      <w:r>
        <w:t xml:space="preserve">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Pr="79064136">
        <w:rPr>
          <w:highlight w:val="yellow"/>
        </w:rPr>
        <w:t>6,562</w:t>
      </w:r>
      <w:r>
        <w:t xml:space="preserve"> observations nested within </w:t>
      </w:r>
      <w:r w:rsidRPr="79064136">
        <w:rPr>
          <w:highlight w:val="yellow"/>
        </w:rPr>
        <w:t>2,884</w:t>
      </w:r>
      <w:r>
        <w:t xml:space="preserve"> individuals. In 2018 (Wave 2), a refreshment sample was added to the study, consisting of 1,519 cases, while 2,229 cases corresponded to the original sample from 2016 (Wave 1). I decided to exclude this refreshment sample to focus on longer-term trends. </w:t>
      </w:r>
      <w:commentRangeStart w:id="20"/>
      <w:r>
        <w:t>The initial sample included 2,757 respondents in wave 1. Of these, 2,136 (77.5%) completed wave 3, corresponding to an attrition rate of 22.5% from wave 1. By wave 7, 1,669 respondents remained (60.5% of the original sample), yielding an overall attrition rate of 39.5%. Between wave 3 and wave 7, attrition was 21.9%.</w:t>
      </w:r>
      <w:commentRangeEnd w:id="20"/>
      <w:r w:rsidR="006042CE">
        <w:rPr>
          <w:rStyle w:val="CommentReference"/>
        </w:rPr>
        <w:commentReference w:id="20"/>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52BC7527" w14:textId="03A76036" w:rsidR="003253F3" w:rsidRDefault="5273A1AD">
      <w:r w:rsidRPr="00D84938">
        <w:lastRenderedPageBreak/>
        <w:t xml:space="preserve">The main dependent variable of this study is </w:t>
      </w:r>
      <w:r w:rsidRPr="00D84938">
        <w:rPr>
          <w:i/>
          <w:iCs/>
        </w:rPr>
        <w:t>market justice preferences</w:t>
      </w:r>
      <w:r w:rsidRPr="00D84938">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w:t>
      </w:r>
      <w:r w:rsidR="00F64726">
        <w:t>Strongly</w:t>
      </w:r>
      <w:r w:rsidRPr="00D84938">
        <w:t xml:space="preserve"> </w:t>
      </w:r>
      <w:r w:rsidR="007F3643">
        <w:t>d</w:t>
      </w:r>
      <w:r w:rsidR="00051B57">
        <w:t>isagree</w:t>
      </w:r>
      <w:r w:rsidRPr="00D84938">
        <w:t>) to 5 (</w:t>
      </w:r>
      <w:r w:rsidR="00F64726">
        <w:t>Strongly</w:t>
      </w:r>
      <w:r w:rsidRPr="00D84938">
        <w:t xml:space="preserve"> </w:t>
      </w:r>
      <w:r w:rsidR="007F3643">
        <w:t>a</w:t>
      </w:r>
      <w:r w:rsidRPr="00D84938">
        <w:t>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w:t>
      </w:r>
      <w:r w:rsidRPr="00747A62">
        <w:t>(</w:t>
      </w:r>
      <w:r w:rsidRPr="00CA0422">
        <w:rPr>
          <w:highlight w:val="yellow"/>
        </w:rPr>
        <w:t>M = 2.06, SD = 0.86</w:t>
      </w:r>
      <w:r w:rsidRPr="00747A62">
        <w:t>).</w:t>
      </w:r>
    </w:p>
    <w:p w14:paraId="687BD77C" w14:textId="74ADB3E9" w:rsidR="00A3725F" w:rsidRPr="00D84938" w:rsidRDefault="0095493F">
      <w:pPr>
        <w:rPr>
          <w:i/>
          <w:iCs/>
        </w:rPr>
      </w:pPr>
      <w:r>
        <w:rPr>
          <w:i/>
          <w:iCs/>
        </w:rPr>
        <w:t>Occupational s</w:t>
      </w:r>
      <w:r w:rsidR="00A3725F" w:rsidRPr="00D84938">
        <w:rPr>
          <w:i/>
          <w:iCs/>
        </w:rPr>
        <w:t>ocioeconomic status</w:t>
      </w:r>
    </w:p>
    <w:p w14:paraId="111DC323" w14:textId="581D32AC" w:rsidR="00614A8A" w:rsidRDefault="79064136">
      <w:r>
        <w:t xml:space="preserve">For measuring socioeconomic status (SES), I use the International Socio-Economic Index of Occupational Status (ISEI) </w:t>
      </w:r>
      <w:r w:rsidR="009A37AB">
        <w:fldChar w:fldCharType="begin"/>
      </w:r>
      <w:r w:rsidR="00E53B1A">
        <w:instrText xml:space="preserve"> ADDIN ZOTERO_ITEM CSL_CITATION {"citationID":"l6tHs7D3","properties":{"formattedCitation":"(Ganzeboom, 2010)","plainCitation":"(Ganzeboom, 2010)","noteIndex":0},"citationItems":[{"id":15867,"uris":["http://zotero.org/users/5414506/items/VC57MXXJ"],"itemData":{"id":15867,"type":"paper-conference","event-place":"Lisbon","event-title":"Annual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r w:rsidR="009A37AB">
        <w:fldChar w:fldCharType="separate"/>
      </w:r>
      <w:r w:rsidRPr="79064136">
        <w:rPr>
          <w:rFonts w:cs="Times New Roman"/>
        </w:rPr>
        <w:t>(Ganzeboom, 2010)</w:t>
      </w:r>
      <w:r w:rsidR="009A37AB">
        <w:fldChar w:fldCharType="end"/>
      </w:r>
      <w:r>
        <w:t xml:space="preserve">. This indicator assigns continuous scores to occupations based on their required education and associated income levels. The ISEI synthesizes information on occupational hierarchies, educational attainment, and earnings to reflect the socioeconomic positioning of individuals within the labor market. The ISEI scores range from 16 (lowest status) to 88 (highest status). Following </w:t>
      </w:r>
      <w:r w:rsidRPr="79064136">
        <w:rPr>
          <w:rStyle w:val="citation-item"/>
        </w:rPr>
        <w:t>Langsæther et al. (</w:t>
      </w:r>
      <w:commentRangeStart w:id="21"/>
      <w:commentRangeStart w:id="22"/>
      <w:commentRangeStart w:id="23"/>
      <w:r w:rsidRPr="79064136">
        <w:rPr>
          <w:rStyle w:val="citation-item"/>
        </w:rPr>
        <w:t>2022, p. 963</w:t>
      </w:r>
      <w:commentRangeEnd w:id="21"/>
      <w:r w:rsidR="009A37AB">
        <w:rPr>
          <w:rStyle w:val="CommentReference"/>
        </w:rPr>
        <w:commentReference w:id="21"/>
      </w:r>
      <w:commentRangeEnd w:id="22"/>
      <w:r w:rsidR="009A37AB">
        <w:rPr>
          <w:rStyle w:val="CommentReference"/>
        </w:rPr>
        <w:commentReference w:id="22"/>
      </w:r>
      <w:commentRangeEnd w:id="23"/>
      <w:r w:rsidR="009A37AB">
        <w:rPr>
          <w:rStyle w:val="CommentReference"/>
        </w:rPr>
        <w:commentReference w:id="23"/>
      </w:r>
      <w:r w:rsidRPr="79064136">
        <w:rPr>
          <w:rStyle w:val="citation"/>
        </w:rPr>
        <w:t>),</w:t>
      </w:r>
      <w:r>
        <w:t xml:space="preserve"> I argue that including other socioeconomic factors, such as income, can be considered a post-treatment variable</w:t>
      </w:r>
      <w:r w:rsidR="00B54FD5">
        <w:t xml:space="preserve"> of occupationa</w:t>
      </w:r>
      <w:r w:rsidR="00130E67">
        <w:t>l</w:t>
      </w:r>
      <w:r w:rsidR="00B54FD5">
        <w:t xml:space="preserve"> positions</w:t>
      </w:r>
      <w:r>
        <w:t xml:space="preserve"> in a longitudinal context</w:t>
      </w:r>
      <w:r w:rsidR="00365F47">
        <w:t>,</w:t>
      </w:r>
      <w:r>
        <w:t xml:space="preserve"> as it results from occupational mobility. Therefore, all model specifications include ISEI scores based on occupations as the main SES measurement.</w:t>
      </w:r>
      <w:r w:rsidR="00614A8A">
        <w:t xml:space="preserve"> In line with comparative research </w:t>
      </w:r>
      <w:r w:rsidR="00614A8A">
        <w:fldChar w:fldCharType="begin"/>
      </w:r>
      <w:r w:rsidR="00614A8A">
        <w:instrText xml:space="preserve"> ADDIN ZOTERO_ITEM CSL_CITATION {"citationID":"oGTbsPa1","properties":{"formattedCitation":"(Otero, V\\uc0\\u246{}lker, R\\uc0\\u246{}zer, and Mollenhorst, 2024)","plainCitation":"(Otero, Völker, Rözer, and Mollenhorst,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614A8A">
        <w:fldChar w:fldCharType="separate"/>
      </w:r>
      <w:r w:rsidR="00614A8A" w:rsidRPr="00614A8A">
        <w:rPr>
          <w:rFonts w:cs="Times New Roman"/>
        </w:rPr>
        <w:t>(Otero, Völker, Rözer, and Mollenhorst, 2024)</w:t>
      </w:r>
      <w:r w:rsidR="00614A8A">
        <w:fldChar w:fldCharType="end"/>
      </w:r>
      <w:r w:rsidR="00614A8A">
        <w:t xml:space="preserve">, those individuals classified as </w:t>
      </w:r>
      <w:r w:rsidR="00614A8A" w:rsidRPr="00614A8A">
        <w:t>"Not in Education, Employment, or Training" (NEET)</w:t>
      </w:r>
      <w:r w:rsidR="00614A8A">
        <w:t xml:space="preserve"> have been assigned an ISEI score of 10</w:t>
      </w:r>
      <w:r w:rsidR="00526CDD">
        <w:rPr>
          <w:rStyle w:val="FootnoteReference"/>
        </w:rPr>
        <w:footnoteReference w:id="2"/>
      </w:r>
      <w:r w:rsidR="00365F47">
        <w:t>.</w:t>
      </w:r>
    </w:p>
    <w:p w14:paraId="4E92DF8D" w14:textId="4700B473" w:rsidR="00C74332" w:rsidRPr="00D84938" w:rsidRDefault="00117D04">
      <w:pPr>
        <w:rPr>
          <w:i/>
          <w:iCs/>
        </w:rPr>
      </w:pPr>
      <w:r>
        <w:rPr>
          <w:i/>
          <w:iCs/>
        </w:rPr>
        <w:t>Class-based n</w:t>
      </w:r>
      <w:commentRangeStart w:id="24"/>
      <w:r w:rsidR="00C74332" w:rsidRPr="00D84938">
        <w:rPr>
          <w:i/>
          <w:iCs/>
        </w:rPr>
        <w:t>etwork diversity</w:t>
      </w:r>
      <w:commentRangeEnd w:id="24"/>
      <w:r w:rsidR="00E047B8" w:rsidRPr="00D84938">
        <w:rPr>
          <w:rStyle w:val="CommentReference"/>
        </w:rPr>
        <w:commentReference w:id="24"/>
      </w:r>
    </w:p>
    <w:p w14:paraId="77E23979" w14:textId="62F8DDB8" w:rsidR="005B178D" w:rsidRPr="005B178D" w:rsidRDefault="5273A1AD">
      <w:r w:rsidRPr="00D84938">
        <w:t>In this study, respondents were asked about the socio-economic diversity of their acquaintances in Chile. An acquaintance was defined as someone they could recognize by name and could converse with if encountered in public. Respondents were asked to approximate the number of people they knew in each occupation</w:t>
      </w:r>
      <w:r w:rsidR="00977FF5">
        <w:t xml:space="preserve"> (see occupations in Table S1)</w:t>
      </w:r>
      <w:r w:rsidRPr="00D84938">
        <w:t>.</w:t>
      </w:r>
      <w:r w:rsidR="009A454E">
        <w:t xml:space="preserve"> </w:t>
      </w:r>
      <w:r w:rsidR="00D658B2">
        <w:t xml:space="preserve">The network diversity index was calculated to capture the socio-economic diversity of respondents’ networks. Following recommendations in </w:t>
      </w:r>
      <w:r w:rsidR="000C16F0">
        <w:t xml:space="preserve">social </w:t>
      </w:r>
      <w:r w:rsidR="00D658B2">
        <w:t xml:space="preserve">network literature </w:t>
      </w:r>
      <w:r w:rsidR="00D658B2">
        <w:fldChar w:fldCharType="begin"/>
      </w:r>
      <w:r w:rsidR="00E53B1A">
        <w:instrText xml:space="preserve"> ADDIN ZOTERO_ITEM CSL_CITATION {"citationID":"1j5LaNkQ","properties":{"formattedCitation":"(Otero and Mendoza, 2023; Sapin, Joye, and Wolf, 2020)","plainCitation":"(Otero and Mendoza, 2023; Sapin, Joye, and Wolf, 2020)","noteIndex":0},"citationItems":[{"id":14961,"uris":["http://zotero.org/users/5414506/items/99Z8XYDM"],"itemData":{"id":14961,"type":"article-journal","abstract":"We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12263,"uris":["http://zotero.org/users/5414506/items/AY4FLNWR"],"itemData":{"id":12263,"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rsidR="00D658B2">
        <w:fldChar w:fldCharType="separate"/>
      </w:r>
      <w:r w:rsidR="00D92E77" w:rsidRPr="00D92E77">
        <w:rPr>
          <w:rFonts w:cs="Times New Roman"/>
        </w:rPr>
        <w:t>(Otero and Mendoza, 2023; Sapin, Joye, and Wolf, 2020)</w:t>
      </w:r>
      <w:r w:rsidR="00D658B2">
        <w:fldChar w:fldCharType="end"/>
      </w:r>
      <w:r w:rsidR="00DF242F">
        <w:t>,</w:t>
      </w:r>
      <w:r w:rsidR="00ED71AB">
        <w:t xml:space="preserve"> a</w:t>
      </w:r>
      <w:r w:rsidR="00866048">
        <w:t xml:space="preserve"> single dimension was used to represent network diversity, incorporating </w:t>
      </w:r>
      <w:r w:rsidR="00DF242F">
        <w:t xml:space="preserve">two </w:t>
      </w:r>
      <w:r w:rsidR="00866048">
        <w:t>indicators</w:t>
      </w:r>
      <w:r w:rsidR="00DA36CD">
        <w:t xml:space="preserve"> </w:t>
      </w:r>
      <w:r w:rsidR="004B4E7F">
        <w:t xml:space="preserve">through a Principal Component Analysis </w:t>
      </w:r>
      <w:r w:rsidR="00DA36CD">
        <w:t>(</w:t>
      </w:r>
      <w:r w:rsidR="00F84CFE">
        <w:t xml:space="preserve">see </w:t>
      </w:r>
      <w:r w:rsidR="00960EE2">
        <w:t>Figure S1</w:t>
      </w:r>
      <w:r w:rsidR="00DA36CD">
        <w:t>)</w:t>
      </w:r>
      <w:r w:rsidR="00AD6E0E">
        <w:t>.</w:t>
      </w:r>
      <w:r w:rsidR="00866048">
        <w:t xml:space="preserve"> </w:t>
      </w:r>
      <w:r w:rsidR="007C7D91">
        <w:t>With this strategy</w:t>
      </w:r>
      <w:r w:rsidR="006E4AE6">
        <w:t>,</w:t>
      </w:r>
      <w:r w:rsidR="007C7D91">
        <w:t xml:space="preserve"> I </w:t>
      </w:r>
      <w:commentRangeStart w:id="25"/>
      <w:commentRangeEnd w:id="25"/>
      <w:r>
        <w:rPr>
          <w:rStyle w:val="CommentReference"/>
        </w:rPr>
        <w:commentReference w:id="25"/>
      </w:r>
      <w:r w:rsidR="007C7D91">
        <w:t xml:space="preserve">consider both the possible ties to the available occupations jointly </w:t>
      </w:r>
      <w:r w:rsidR="006E4AE6">
        <w:t xml:space="preserve">and </w:t>
      </w:r>
      <w:r w:rsidR="007C7D91">
        <w:t xml:space="preserve">how these ties are distributed across each group </w:t>
      </w:r>
      <w:r w:rsidR="007C7D91">
        <w:fldChar w:fldCharType="begin"/>
      </w:r>
      <w:r w:rsidR="00E53B1A">
        <w:instrText xml:space="preserve"> ADDIN ZOTERO_ITEM CSL_CITATION {"citationID":"qRXxZcRo","properties":{"formattedCitation":"(Koopmans and Schaeffer, 2015)","plainCitation":"(Koopmans and Schaeffer, 2015)","noteIndex":0},"citationItems":[{"id":20260,"uris":["http://zotero.org/users/5414506/items/TR2FD2K3"],"itemData":{"id":20260,"type":"article-journal","abstract":"Ethnic diversity is typically measured by the well-known Hirschman-Herﬁndahl Index. This paper discusses the merits of an alternative approach, which is in our view better suited to tease out why and how ethnic diversity matters. The approach consists of two elements. First, all existing diversity indices are non-relational. From the viewpoint of theoretical accounts that attribute negative diversity effects to in-group favoritism and out-group threat, it should however matter whether, given a certain level of overall diversity, an individual belongs to a minority group or to the dominant majority. We therefore decompose diversity by distinguishing the in-group share from the diversity of ethnic out-groups. Second, we show how generalized entropy measures can be used to test which of diversity’s two basic dimensions matters most: the variety of groups, or the unequal distribution (balance) of the population over groups. These measures allow us to test different theoretical explanations against each other, because they imply different expectations regarding the effects of in-group size, out-group variety, and out-group balance. We apply these ideas in an analysis of various social cohesion measures across 55 German localities and show that both in-group size and out-group diversity matter. For the native majority as well as for persons of immigration background, the variety component of diversity seems to be more decisive than has formerly been acknowledged. These ﬁndings provide little support for group threat and in-group favoritism as the decisive mechanisms behind negative diversity effects, and are most in line with the predictions of theories that emphasize coordination problems, asymmetric preferences, and network closure.","container-title":"Social Science Research","DOI":"10.1016/j.ssresearch.2015.05.010","ISSN":"0049089X","journalAbbreviation":"Social Science Research","language":"en","page":"162-176","source":"DOI.org (Crossref)","title":"Relational diversity and neighbourhood cohesion. Unpacking variety, balance and in-group size","volume":"53","author":[{"family":"Koopmans","given":"Ruud"},{"family":"Schaeffer","given":"Merlin"}],"issued":{"date-parts":[["2015",9]]},"citation-key":"koopmans_relational_2015"}}],"schema":"https://github.com/citation-style-language/schema/raw/master/csl-citation.json"} </w:instrText>
      </w:r>
      <w:r w:rsidR="007C7D91">
        <w:fldChar w:fldCharType="separate"/>
      </w:r>
      <w:r w:rsidR="00D92E77" w:rsidRPr="00D92E77">
        <w:rPr>
          <w:rFonts w:cs="Times New Roman"/>
        </w:rPr>
        <w:t>(Koopmans and Schaeffer, 2015)</w:t>
      </w:r>
      <w:r w:rsidR="007C7D91">
        <w:fldChar w:fldCharType="end"/>
      </w:r>
      <w:r w:rsidR="007C7D91">
        <w:t xml:space="preserve">. First, </w:t>
      </w:r>
      <w:r w:rsidR="005C7D04">
        <w:t xml:space="preserve">generalized </w:t>
      </w:r>
      <w:commentRangeStart w:id="26"/>
      <w:r w:rsidR="007C7D91">
        <w:t>e</w:t>
      </w:r>
      <w:r w:rsidR="721C1002">
        <w:t xml:space="preserve">ntropy </w:t>
      </w:r>
      <w:commentRangeEnd w:id="26"/>
      <w:r>
        <w:rPr>
          <w:rStyle w:val="CommentReference"/>
        </w:rPr>
        <w:commentReference w:id="26"/>
      </w:r>
      <w:r w:rsidR="00930FBD">
        <w:t>mea</w:t>
      </w:r>
      <w:commentRangeStart w:id="27"/>
      <w:r w:rsidR="00930FBD">
        <w:t>sure</w:t>
      </w:r>
      <w:r w:rsidR="009A454E">
        <w:t>s</w:t>
      </w:r>
      <w:r w:rsidR="00930FBD">
        <w:t xml:space="preserve"> the </w:t>
      </w:r>
      <w:r w:rsidR="00FF019D">
        <w:t>degree</w:t>
      </w:r>
      <w:r w:rsidR="00930FBD">
        <w:t xml:space="preserve"> of </w:t>
      </w:r>
      <w:r w:rsidR="00DF242F" w:rsidRPr="721C1002">
        <w:rPr>
          <w:i/>
          <w:iCs/>
        </w:rPr>
        <w:t>balance</w:t>
      </w:r>
      <w:r w:rsidR="00DF242F">
        <w:t xml:space="preserve"> across groups based on the number </w:t>
      </w:r>
      <w:r w:rsidR="00FF019D">
        <w:t>of acquaintances in</w:t>
      </w:r>
      <w:r w:rsidR="00317D0A">
        <w:t xml:space="preserve"> each occupation</w:t>
      </w:r>
      <w:commentRangeEnd w:id="27"/>
      <w:r>
        <w:rPr>
          <w:rStyle w:val="CommentReference"/>
        </w:rPr>
        <w:commentReference w:id="27"/>
      </w:r>
      <w:r w:rsidR="005B178D">
        <w:rPr>
          <w:rStyle w:val="FootnoteReference"/>
        </w:rPr>
        <w:footnoteReference w:id="3"/>
      </w:r>
      <w:r w:rsidR="005B178D">
        <w:t xml:space="preserve">. </w:t>
      </w:r>
      <w:r w:rsidR="00DF242F">
        <w:t xml:space="preserve">The second indicator is extensivity, which aims to capture the degree of </w:t>
      </w:r>
      <w:r w:rsidR="00DF242F" w:rsidRPr="721C1002">
        <w:rPr>
          <w:i/>
          <w:iCs/>
        </w:rPr>
        <w:t>variety</w:t>
      </w:r>
      <w:r w:rsidR="00DF242F">
        <w:t xml:space="preserve"> of known </w:t>
      </w:r>
      <w:r w:rsidR="00DF242F">
        <w:lastRenderedPageBreak/>
        <w:t xml:space="preserve">groups, in this case, </w:t>
      </w:r>
      <w:commentRangeStart w:id="28"/>
      <w:r w:rsidR="00DF242F">
        <w:t>the number of occupations with which the individual declares to have acquaintances</w:t>
      </w:r>
      <w:r w:rsidR="00FD2D9F">
        <w:t>.</w:t>
      </w:r>
      <w:commentRangeEnd w:id="28"/>
      <w:r>
        <w:rPr>
          <w:rStyle w:val="CommentReference"/>
        </w:rPr>
        <w:commentReference w:id="28"/>
      </w:r>
      <w:r w:rsidR="00F75577">
        <w:t xml:space="preserve"> </w:t>
      </w:r>
      <w:r w:rsidR="006F33C8">
        <w:t xml:space="preserve">I use this </w:t>
      </w:r>
      <w:r w:rsidR="006F33C8" w:rsidRPr="006F33C8">
        <w:t xml:space="preserve">information to </w:t>
      </w:r>
      <w:commentRangeStart w:id="29"/>
      <w:r w:rsidR="006F33C8" w:rsidRPr="006F33C8">
        <w:t>create a composite measure</w:t>
      </w:r>
      <w:commentRangeEnd w:id="29"/>
      <w:r>
        <w:rPr>
          <w:rStyle w:val="CommentReference"/>
        </w:rPr>
        <w:commentReference w:id="29"/>
      </w:r>
      <w:r w:rsidR="006F33C8" w:rsidRPr="006F33C8">
        <w:t xml:space="preserve"> representing class</w:t>
      </w:r>
      <w:r w:rsidR="0058332D">
        <w:t xml:space="preserve">-based </w:t>
      </w:r>
      <w:r w:rsidR="006F33C8" w:rsidRPr="006F33C8">
        <w:t>diversity in social networks. This index has a mean of 0 and a standard deviation of 1 and will be used in all subsequent analyses throughout the article.</w:t>
      </w:r>
      <w:r w:rsidR="003438E8">
        <w:t xml:space="preserve"> Thus</w:t>
      </w:r>
      <w:r w:rsidR="00BD7266">
        <w:t>, h</w:t>
      </w:r>
      <w:r w:rsidR="00866048">
        <w:t xml:space="preserve">igher values on this index </w:t>
      </w:r>
      <w:r w:rsidR="00BD7266">
        <w:t xml:space="preserve">represent higher </w:t>
      </w:r>
      <w:r w:rsidR="00866048">
        <w:t xml:space="preserve">socio-economic </w:t>
      </w:r>
      <w:r w:rsidR="00866048" w:rsidRPr="721C1002">
        <w:rPr>
          <w:i/>
          <w:iCs/>
        </w:rPr>
        <w:t>diversity</w:t>
      </w:r>
      <w:r w:rsidR="00866048">
        <w:t xml:space="preserve"> in </w:t>
      </w:r>
      <w:r w:rsidR="00BD7266">
        <w:t xml:space="preserve">social </w:t>
      </w:r>
      <w:r w:rsidR="00866048">
        <w:t>networks</w:t>
      </w:r>
      <w:r w:rsidR="005B178D">
        <w:t>.</w:t>
      </w:r>
    </w:p>
    <w:p w14:paraId="2B7C8478" w14:textId="3C02A933" w:rsidR="001F279D" w:rsidRPr="00D84938" w:rsidRDefault="00606669">
      <w:pPr>
        <w:pStyle w:val="Heading1"/>
      </w:pPr>
      <w:bookmarkStart w:id="30" w:name="_9yju1esk9zg" w:colFirst="0" w:colLast="0"/>
      <w:bookmarkEnd w:id="30"/>
      <w:r w:rsidRPr="00D84938">
        <w:t>Method</w:t>
      </w:r>
    </w:p>
    <w:p w14:paraId="02C984C7" w14:textId="02986534" w:rsidR="00AB3C16" w:rsidRDefault="721C1002" w:rsidP="00AB3C16">
      <w:r>
        <w:t xml:space="preserve">First, to examine the extent to which changes in network diversity predict market justice preferences, I estimated two-way fixed-effects linear models </w:t>
      </w:r>
      <w:r w:rsidR="79064136">
        <w:fldChar w:fldCharType="begin"/>
      </w:r>
      <w:r w:rsidR="79064136">
        <w:instrText xml:space="preserve"> ADDIN ZOTERO_ITEM CSL_CITATION {"citationID":"QItFHD1N","properties":{"formattedCitation":"(Andre\\uc0\\u223{}, Golsch, and Schmidt, 2013)","plainCitation":"(Andreß, Golsch, and Schmidt, 2013)","noteIndex":0},"citationItems":[{"id":18514,"uris":["http://zotero.org/users/5414506/items/VRMQ5EF8"],"itemData":{"id":18514,"type":"book","event-place":"Berlin,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W."}],"accessed":{"date-parts":[["2024",11,20]]},"issued":{"date-parts":[["2013"]]},"citation-key":"andres_applied_2013"}}],"schema":"https://github.com/citation-style-language/schema/raw/master/csl-citation.json"} </w:instrText>
      </w:r>
      <w:r w:rsidR="79064136">
        <w:fldChar w:fldCharType="separate"/>
      </w:r>
      <w:r w:rsidRPr="721C1002">
        <w:rPr>
          <w:rFonts w:cs="Times New Roman"/>
        </w:rPr>
        <w:t>(Andreß, Golsch, and Schmidt, 2013)</w:t>
      </w:r>
      <w:r w:rsidR="79064136">
        <w:fldChar w:fldCharType="end"/>
      </w:r>
      <w:r>
        <w:t xml:space="preserve">. I analyzed the data using the R library “plm” </w:t>
      </w:r>
      <w:r w:rsidR="79064136">
        <w:fldChar w:fldCharType="begin"/>
      </w:r>
      <w:r w:rsidR="79064136">
        <w:instrText xml:space="preserve"> ADDIN ZOTERO_ITEM CSL_CITATION {"citationID":"y31draSk","properties":{"formattedCitation":"(Croissant and Millo, 2008)","plainCitation":"(Croissant and Millo, 2008)","noteIndex":0},"citationItems":[{"id":20757,"uris":["http://zotero.org/users/5414506/items/C2VDR5A5"],"itemData":{"id":20757,"type":"article-journal","container-title":"Journal of Statistical Software","DOI":"10.18637/jss.v027.i02","issue":"2","page":"1–43","title":"Panel data econometrics in R: The \"plm\" package","volume":"27","author":[{"family":"Croissant","given":"Yves"},{"family":"Millo","given":"Giovanni"}],"issued":{"date-parts":[["2008"]]},"citation-key":"croissant_panel_2008"}}],"schema":"https://github.com/citation-style-language/schema/raw/master/csl-citation.json"} </w:instrText>
      </w:r>
      <w:r w:rsidR="79064136">
        <w:fldChar w:fldCharType="separate"/>
      </w:r>
      <w:r w:rsidRPr="721C1002">
        <w:rPr>
          <w:rFonts w:cs="Times New Roman"/>
        </w:rPr>
        <w:t>(Croissant and Millo, 2008)</w:t>
      </w:r>
      <w:r w:rsidR="79064136">
        <w:fldChar w:fldCharType="end"/>
      </w:r>
      <w:r>
        <w:t>. In the context of panel data, within-person effects capture how changes in individual-level variables (e.g., network diversity) between waves are associated with preferences for market justice while controlling for the influence of time-invariant characteristics.</w:t>
      </w:r>
      <w:bookmarkStart w:id="31" w:name="_njunrcfgcrbc"/>
      <w:bookmarkEnd w:id="31"/>
      <w:r w:rsidR="00EA52C8">
        <w:t xml:space="preserve"> </w:t>
      </w:r>
      <w:r w:rsidR="00A31F76">
        <w:t xml:space="preserve">Additionally, </w:t>
      </w:r>
      <w:commentRangeStart w:id="32"/>
      <w:commentRangeStart w:id="33"/>
      <w:r w:rsidR="00A31F76">
        <w:t>to account for non-linear relationships</w:t>
      </w:r>
      <w:commentRangeEnd w:id="32"/>
      <w:r w:rsidR="00A31F76">
        <w:rPr>
          <w:rStyle w:val="CommentReference"/>
        </w:rPr>
        <w:commentReference w:id="32"/>
      </w:r>
      <w:commentRangeEnd w:id="33"/>
      <w:r w:rsidR="00A31F76">
        <w:rPr>
          <w:rStyle w:val="CommentReference"/>
        </w:rPr>
        <w:commentReference w:id="33"/>
      </w:r>
      <w:r w:rsidR="00A31F76">
        <w:t xml:space="preserve"> on network diversity, I included a quadratic term under the assumption that for those with greater changes in network diversity, the theorized relationship might be stronger as they are exposed to others’ class experiences more widely than individuals experiencing smaller changes.</w:t>
      </w:r>
      <w:r w:rsidR="00BA442B">
        <w:t xml:space="preserve">  As the sample is an unbalanced individual panel, all models include longitudinal panel-weights</w:t>
      </w:r>
      <w:r w:rsidR="00BA442B">
        <w:rPr>
          <w:rStyle w:val="FootnoteReference"/>
        </w:rPr>
        <w:footnoteReference w:id="4"/>
      </w:r>
      <w:r w:rsidR="00BA442B">
        <w:t xml:space="preserve">. </w:t>
      </w:r>
    </w:p>
    <w:p w14:paraId="2E304B87" w14:textId="4A5E08C1" w:rsidR="00AB3C16" w:rsidRDefault="00AB3C16" w:rsidP="000305F7">
      <w:r>
        <w:t xml:space="preserve">In Equation 1, the description of the regression model is depicted. </w:t>
      </w:r>
      <w:r>
        <w:rPr>
          <w:rFonts w:cs="Times New Roman"/>
        </w:rPr>
        <w:t xml:space="preserve">Here, the focus variable is </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m:rPr>
                <m:nor/>
              </m:rPr>
              <w:rPr>
                <w:rFonts w:ascii="Cambria Math" w:hAnsi="Cambria Math"/>
              </w:rPr>
              <m:t>D</m:t>
            </m:r>
            <m:ctrlPr>
              <w:rPr>
                <w:rFonts w:ascii="Cambria Math" w:hAnsi="Cambria Math"/>
              </w:rPr>
            </m:ctrlPr>
          </m:e>
          <m:sub>
            <m:r>
              <w:rPr>
                <w:rFonts w:ascii="Cambria Math" w:hAnsi="Cambria Math"/>
              </w:rPr>
              <m:t>it</m:t>
            </m:r>
          </m:sub>
        </m:sSub>
        <m:r>
          <m:rPr>
            <m:sty m:val="p"/>
          </m:rPr>
          <w:rPr>
            <w:rFonts w:ascii="Cambria Math" w:hAnsi="Cambria Math" w:cs="Times New Roman"/>
          </w:rPr>
          <m:t> </m:t>
        </m:r>
      </m:oMath>
      <w:r>
        <w:rPr>
          <w:rFonts w:cs="Times New Roman"/>
        </w:rPr>
        <w:t xml:space="preserve"> </w:t>
      </w:r>
      <w:r w:rsidR="00B9416E">
        <w:rPr>
          <w:rFonts w:cs="Times New Roman"/>
        </w:rPr>
        <w:t xml:space="preserve">represented by the </w:t>
      </w:r>
      <w:r w:rsidR="00954481" w:rsidRPr="00954481">
        <w:rPr>
          <w:rFonts w:cs="Times New Roman"/>
        </w:rPr>
        <w:t>linear (within-person) effect of diversity</w:t>
      </w:r>
      <w:r w:rsidR="00954481">
        <w:rPr>
          <w:rFonts w:cs="Times New Roman"/>
        </w:rPr>
        <w:t xml:space="preserve"> and</w:t>
      </w:r>
      <w:r>
        <w:rPr>
          <w:rFonts w:cs="Times New Roman"/>
        </w:rPr>
        <w:t xml:space="preserve"> </w:t>
      </w:r>
      <m:oMath>
        <m:sSubSup>
          <m:sSubSupPr>
            <m:ctrlPr>
              <w:rPr>
                <w:rFonts w:ascii="Cambria Math" w:hAnsi="Cambria Math"/>
                <w:i/>
              </w:rPr>
            </m:ctrlPr>
          </m:sSubSupPr>
          <m:e>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hAnsi="Cambria Math"/>
              </w:rPr>
              <m:t>D</m:t>
            </m:r>
          </m:e>
          <m:sub>
            <m:r>
              <w:rPr>
                <w:rFonts w:ascii="Cambria Math" w:hAnsi="Cambria Math"/>
              </w:rPr>
              <m:t>it</m:t>
            </m:r>
          </m:sub>
          <m:sup>
            <m:r>
              <w:rPr>
                <w:rFonts w:ascii="Cambria Math" w:hAnsi="Cambria Math"/>
              </w:rPr>
              <m:t>2</m:t>
            </m:r>
          </m:sup>
        </m:sSubSup>
      </m:oMath>
      <w:r>
        <w:rPr>
          <w:rFonts w:cs="Times New Roman"/>
        </w:rPr>
        <w:t xml:space="preserve"> </w:t>
      </w:r>
      <w:r w:rsidR="00B9416E">
        <w:t>quadratic (within-person) effect of diversity</w:t>
      </w:r>
      <w:r>
        <w:rPr>
          <w:rFonts w:cs="Times New Roman"/>
        </w:rPr>
        <w:t>. In addition,</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Pr="000305F7">
        <w:rPr>
          <w:rFonts w:cs="Times New Roman"/>
        </w:rPr>
        <w:t xml:space="preserve"> are individual fixed effects (unit-specific unobserved heterogeneity),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t</m:t>
            </m:r>
          </m:sub>
        </m:sSub>
      </m:oMath>
      <w:r w:rsidRPr="000305F7">
        <w:rPr>
          <w:rFonts w:cs="Times New Roman"/>
        </w:rPr>
        <w:t xml:space="preserve"> represents time fixed effects</w:t>
      </w:r>
      <w:r>
        <w:rPr>
          <w:rFonts w:cs="Times New Roman"/>
        </w:rPr>
        <w:t>,</w:t>
      </w:r>
      <w:r w:rsidRPr="000305F7">
        <w:rPr>
          <w:rFonts w:cs="Times New Roman"/>
        </w:rPr>
        <w:t xml:space="preserve"> and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r>
          <w:rPr>
            <w:rFonts w:ascii="Cambria Math" w:hAnsi="Cambria Math" w:cs="Times New Roman"/>
          </w:rPr>
          <m:t xml:space="preserve"> </m:t>
        </m:r>
      </m:oMath>
      <w:r w:rsidRPr="000305F7">
        <w:rPr>
          <w:rFonts w:cs="Times New Roman"/>
        </w:rPr>
        <w:t>the idiosyncratic error term</w:t>
      </w:r>
      <w:r>
        <w:rPr>
          <w:rFonts w:cs="Times New Roman"/>
        </w:rPr>
        <w:t xml:space="preserve">. </w:t>
      </w:r>
    </w:p>
    <w:p w14:paraId="6C653037" w14:textId="27EB0F89" w:rsidR="00703231" w:rsidRDefault="000332A3" w:rsidP="00703231">
      <w:pPr>
        <w:jc w:val="right"/>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m:rPr>
                <m:nor/>
              </m:rPr>
              <w:rPr>
                <w:rFonts w:ascii="Cambria Math" w:hAnsi="Cambria Math"/>
              </w:rPr>
              <m:t>D</m:t>
            </m:r>
            <m:ctrlPr>
              <w:rPr>
                <w:rFonts w:ascii="Cambria Math" w:hAnsi="Cambria Math"/>
              </w:rPr>
            </m:ctrlPr>
          </m:e>
          <m:sub>
            <m:r>
              <w:rPr>
                <w:rFonts w:ascii="Cambria Math" w:hAnsi="Cambria Math"/>
              </w:rPr>
              <m:t>it</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m:rPr>
                <m:nor/>
              </m:rPr>
              <w:rPr>
                <w:rFonts w:ascii="Cambria Math" w:hAnsi="Cambria Math"/>
              </w:rPr>
              <m:t>D</m:t>
            </m:r>
          </m:e>
          <m:sub>
            <m:r>
              <w:rPr>
                <w:rFonts w:ascii="Cambria Math" w:hAnsi="Cambria Math"/>
              </w:rPr>
              <m:t>it</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oMath>
      <w:r w:rsidR="00703231">
        <w:t xml:space="preserve"> </w:t>
      </w:r>
      <w:r w:rsidR="00703231">
        <w:tab/>
      </w:r>
      <w:r w:rsidR="00703231">
        <w:tab/>
      </w:r>
      <w:r w:rsidR="00703231">
        <w:tab/>
      </w:r>
      <w:r w:rsidR="00703231">
        <w:tab/>
        <w:t>(1)</w:t>
      </w:r>
    </w:p>
    <w:p w14:paraId="7C35A7FF" w14:textId="7E6D60E2" w:rsidR="0016720D" w:rsidRDefault="008D2842" w:rsidP="0016720D">
      <w:pPr>
        <w:pStyle w:val="Heading1"/>
      </w:pPr>
      <w:r>
        <w:t>Changes</w:t>
      </w:r>
      <w:r w:rsidR="0016720D">
        <w:t xml:space="preserve"> on network diversity and market justice </w:t>
      </w:r>
      <w:r w:rsidR="00A100A0">
        <w:t>preferences</w:t>
      </w:r>
    </w:p>
    <w:p w14:paraId="1EE9FDD4" w14:textId="2E159950" w:rsidR="005F1860" w:rsidRDefault="00144185" w:rsidP="00644F26">
      <w:pPr>
        <w:jc w:val="center"/>
      </w:pPr>
      <w:r>
        <w:t>[Table 1 about here]</w:t>
      </w:r>
    </w:p>
    <w:p w14:paraId="428F8E49" w14:textId="58925507" w:rsidR="00334BBC" w:rsidRDefault="00334BBC" w:rsidP="00644F26">
      <w:pPr>
        <w:jc w:val="center"/>
      </w:pPr>
      <w:r>
        <w:rPr>
          <w:noProof/>
        </w:rPr>
        <w:lastRenderedPageBreak/>
        <w:drawing>
          <wp:inline distT="0" distB="0" distL="0" distR="0" wp14:anchorId="00D4C5F6" wp14:editId="50AA00F2">
            <wp:extent cx="5334528" cy="4343400"/>
            <wp:effectExtent l="0" t="0" r="0" b="0"/>
            <wp:docPr id="1248076623"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76623" name="Picture 1" descr="A table with numbers and symbols&#10;&#10;AI-generated content may be incorrect."/>
                    <pic:cNvPicPr/>
                  </pic:nvPicPr>
                  <pic:blipFill>
                    <a:blip r:embed="rId12"/>
                    <a:stretch>
                      <a:fillRect/>
                    </a:stretch>
                  </pic:blipFill>
                  <pic:spPr>
                    <a:xfrm>
                      <a:off x="0" y="0"/>
                      <a:ext cx="5335646" cy="4344310"/>
                    </a:xfrm>
                    <a:prstGeom prst="rect">
                      <a:avLst/>
                    </a:prstGeom>
                  </pic:spPr>
                </pic:pic>
              </a:graphicData>
            </a:graphic>
          </wp:inline>
        </w:drawing>
      </w:r>
    </w:p>
    <w:p w14:paraId="3BB98C42" w14:textId="7D00D7F2" w:rsidR="007C04E4" w:rsidRDefault="006B0D4C" w:rsidP="006B0D4C">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516227">
        <w:t xml:space="preserve">Table </w:t>
      </w:r>
      <w:r w:rsidR="00A4556E" w:rsidRPr="00516227">
        <w:t>1</w:t>
      </w:r>
      <w:r w:rsidR="00993A02">
        <w:t>. First, Model 1 includes the individual changes in occupational status</w:t>
      </w:r>
      <w:r w:rsidR="00DD497B">
        <w:t xml:space="preserve">, showing that increasing the socioeconomic status has a </w:t>
      </w:r>
      <w:r w:rsidR="00AB225D">
        <w:t>negative</w:t>
      </w:r>
      <w:r w:rsidR="00DD497B">
        <w:t xml:space="preserve"> but non-significant relationship with support for market justice preferences (β = </w:t>
      </w:r>
      <w:r w:rsidR="00AB225D" w:rsidRPr="00AB225D">
        <w:rPr>
          <w:highlight w:val="yellow"/>
        </w:rPr>
        <w:t>-0.011</w:t>
      </w:r>
      <w:r w:rsidR="00DD497B">
        <w:t xml:space="preserve">, </w:t>
      </w:r>
      <w:r w:rsidR="00DD497B" w:rsidRPr="721C1002">
        <w:rPr>
          <w:i/>
          <w:iCs/>
        </w:rPr>
        <w:t>p</w:t>
      </w:r>
      <w:r w:rsidR="00283C95">
        <w:t>&gt;</w:t>
      </w:r>
      <w:r w:rsidR="00DD497B">
        <w:t>0</w:t>
      </w:r>
      <w:r w:rsidR="00283C95">
        <w:t>.05</w:t>
      </w:r>
      <w:r w:rsidR="00DD497B">
        <w:t>)</w:t>
      </w:r>
      <w:r w:rsidR="00DF0B55">
        <w:t>.</w:t>
      </w:r>
      <w:r w:rsidR="00F513D1">
        <w:t xml:space="preserve"> </w:t>
      </w:r>
      <w:r w:rsidR="00993A02">
        <w:t>Second, Model 2 includes other network characteristics of size and average network status</w:t>
      </w:r>
      <w:r w:rsidR="00161C3B">
        <w:t xml:space="preserve">, showing a non-significant </w:t>
      </w:r>
      <w:r w:rsidR="721C1002">
        <w:t xml:space="preserve">negative </w:t>
      </w:r>
      <w:r w:rsidR="00161C3B">
        <w:t xml:space="preserve">association with market justice preferences. </w:t>
      </w:r>
      <w:r w:rsidR="721C1002">
        <w:t>In Model 3, I introduce network diversity to account for how changes in the socioeconomic diversity of acquaintance networks affect market justice preferences. The results indicate that a one standard deviation increase in diversity drives a decrease of -</w:t>
      </w:r>
      <w:r w:rsidR="721C1002" w:rsidRPr="721C1002">
        <w:rPr>
          <w:highlight w:val="yellow"/>
        </w:rPr>
        <w:t>0.067</w:t>
      </w:r>
      <w:r w:rsidR="721C1002">
        <w:t xml:space="preserve"> in the market justice scale (β = </w:t>
      </w:r>
      <w:r w:rsidR="721C1002" w:rsidRPr="721C1002">
        <w:rPr>
          <w:highlight w:val="yellow"/>
        </w:rPr>
        <w:t>-0.067</w:t>
      </w:r>
      <w:r w:rsidR="721C1002">
        <w:t xml:space="preserve">, p&lt;0.001). In the following estimation presented in Model 4, the relationship between network diversity and market justice preferences remains relatively unaffected, even when controlled for changes in occupational status, network average ISEI, and network size. </w:t>
      </w:r>
      <w:commentRangeStart w:id="34"/>
      <w:commentRangeStart w:id="35"/>
      <w:r w:rsidR="721C1002">
        <w:t xml:space="preserve">Additionally, I included a quadratic term to consider a non-linear relationship between changes in network diversity with market justice preferences. However, the coefficient shows a negative but non-significant </w:t>
      </w:r>
      <w:r w:rsidR="00140638">
        <w:t>quadratic</w:t>
      </w:r>
      <w:r w:rsidR="721C1002">
        <w:t xml:space="preserve"> effect of network diversity</w:t>
      </w:r>
      <w:commentRangeEnd w:id="34"/>
      <w:r w:rsidR="79064136">
        <w:rPr>
          <w:rStyle w:val="CommentReference"/>
        </w:rPr>
        <w:commentReference w:id="34"/>
      </w:r>
      <w:commentRangeEnd w:id="35"/>
      <w:r w:rsidR="79064136">
        <w:rPr>
          <w:rStyle w:val="CommentReference"/>
        </w:rPr>
        <w:commentReference w:id="35"/>
      </w:r>
      <w:r w:rsidR="721C1002">
        <w:t xml:space="preserve"> (β = -0.019, p&gt;0.05). </w:t>
      </w:r>
    </w:p>
    <w:p w14:paraId="4E62FFBB" w14:textId="399BB08E" w:rsidR="00A73C95" w:rsidRDefault="79064136" w:rsidP="006B0D4C">
      <w:r>
        <w:t>Figure 1 presents the average predicted values of market justice preferences across levels of network diversity</w:t>
      </w:r>
      <w:r w:rsidR="0040327C">
        <w:t>.</w:t>
      </w:r>
      <w:r w:rsidR="003773B7">
        <w:t xml:space="preserve"> Here, I included </w:t>
      </w:r>
      <w:r w:rsidR="009A1B41">
        <w:t xml:space="preserve">predicted means of market justice preferences according to the </w:t>
      </w:r>
      <w:r w:rsidR="003773B7">
        <w:t xml:space="preserve">linear </w:t>
      </w:r>
      <w:r w:rsidR="0040327C">
        <w:t>(Model 3) and quadratic (Model 4)</w:t>
      </w:r>
      <w:r w:rsidR="009A1B41">
        <w:t xml:space="preserve"> terms of network diversity</w:t>
      </w:r>
      <w:r w:rsidR="0040327C">
        <w:t>.</w:t>
      </w:r>
      <w:r w:rsidR="007C04E4">
        <w:t xml:space="preserve"> </w:t>
      </w:r>
      <w:r w:rsidR="0040327C">
        <w:t>Based on Model 3, w</w:t>
      </w:r>
      <w:r>
        <w:t xml:space="preserve">hen network diversity </w:t>
      </w:r>
      <w:r w:rsidR="00053B5B">
        <w:t xml:space="preserve">is at the </w:t>
      </w:r>
      <w:r w:rsidR="0023683F">
        <w:t>2</w:t>
      </w:r>
      <w:r w:rsidR="00053B5B">
        <w:t>0</w:t>
      </w:r>
      <w:r w:rsidR="00053B5B" w:rsidRPr="00053B5B">
        <w:rPr>
          <w:vertAlign w:val="superscript"/>
        </w:rPr>
        <w:t>th</w:t>
      </w:r>
      <w:r w:rsidR="00053B5B">
        <w:t xml:space="preserve"> percentile</w:t>
      </w:r>
      <w:r>
        <w:t>, the average predicted market justice preference is 2.20 (95% CI: 2.12 – 2.28)</w:t>
      </w:r>
      <w:r w:rsidR="00C55323">
        <w:t>,</w:t>
      </w:r>
      <w:r w:rsidR="0023683F">
        <w:t xml:space="preserve"> </w:t>
      </w:r>
      <w:r>
        <w:t>and it decreases to 2.0</w:t>
      </w:r>
      <w:r w:rsidR="0023683F">
        <w:t>8</w:t>
      </w:r>
      <w:r>
        <w:t xml:space="preserve"> </w:t>
      </w:r>
      <w:r w:rsidR="0023683F">
        <w:t xml:space="preserve">when </w:t>
      </w:r>
      <w:r w:rsidR="00252BB8">
        <w:t xml:space="preserve">it </w:t>
      </w:r>
      <w:r w:rsidR="0023683F">
        <w:t>is at the 80</w:t>
      </w:r>
      <w:r w:rsidR="0023683F" w:rsidRPr="0023683F">
        <w:rPr>
          <w:vertAlign w:val="superscript"/>
        </w:rPr>
        <w:t>th</w:t>
      </w:r>
      <w:r w:rsidR="0023683F">
        <w:t xml:space="preserve"> </w:t>
      </w:r>
      <w:r w:rsidR="00C55323">
        <w:t>percentile</w:t>
      </w:r>
      <w:r w:rsidR="0023683F">
        <w:t xml:space="preserve"> </w:t>
      </w:r>
      <w:r>
        <w:t xml:space="preserve">(95% CI: </w:t>
      </w:r>
      <w:r w:rsidR="00C55323">
        <w:t>2.02</w:t>
      </w:r>
      <w:r>
        <w:t xml:space="preserve"> – 2.1</w:t>
      </w:r>
      <w:r w:rsidR="00C55323">
        <w:t>4</w:t>
      </w:r>
      <w:r>
        <w:t>). These results indicate that a shift from a low-diversity to a high-diversity network is associated with an average decrease of approximately 0.1</w:t>
      </w:r>
      <w:r w:rsidR="00E06F31">
        <w:t>2</w:t>
      </w:r>
      <w:r>
        <w:t xml:space="preserve"> points in support for market justice.</w:t>
      </w:r>
      <w:commentRangeStart w:id="36"/>
      <w:r>
        <w:t xml:space="preserve"> According to the original scale </w:t>
      </w:r>
      <w:r>
        <w:lastRenderedPageBreak/>
        <w:t>(1 to 5) of the market justice preferences index, this difference represents a change of around 3% [0.1</w:t>
      </w:r>
      <w:r w:rsidR="00E06F31">
        <w:t>2</w:t>
      </w:r>
      <w:r>
        <w:t xml:space="preserve"> / (5 − 1)], which is considered rather low but still relevant, as it has been argued that political attitudes in the economic domain do change, but it is a rather slow process of adaptation </w:t>
      </w:r>
      <w:r w:rsidR="00465EE4">
        <w:fldChar w:fldCharType="begin"/>
      </w:r>
      <w:r w:rsidR="00E53B1A">
        <w:instrText xml:space="preserve"> ADDIN ZOTERO_ITEM CSL_CITATION {"citationID":"LcjzycYC","properties":{"formattedCitation":"(Ares, 2020; Helgason and Rehm, 2023)","plainCitation":"(Ares, 2020; Helgason and Rehm,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465EE4">
        <w:fldChar w:fldCharType="separate"/>
      </w:r>
      <w:r w:rsidRPr="79064136">
        <w:rPr>
          <w:rFonts w:cs="Times New Roman"/>
        </w:rPr>
        <w:t>(Ares, 2020; Helgason and Rehm, 2023)</w:t>
      </w:r>
      <w:r w:rsidR="00465EE4">
        <w:fldChar w:fldCharType="end"/>
      </w:r>
      <w:commentRangeEnd w:id="36"/>
      <w:r w:rsidR="00465EE4">
        <w:rPr>
          <w:rStyle w:val="CommentReference"/>
        </w:rPr>
        <w:commentReference w:id="36"/>
      </w:r>
      <w:r>
        <w:t>. In this sense, when considering the meaning of the scale values, the results suggest that individuals are shifting within the “</w:t>
      </w:r>
      <w:commentRangeStart w:id="37"/>
      <w:r>
        <w:t>agreement” range</w:t>
      </w:r>
      <w:commentRangeEnd w:id="37"/>
      <w:r w:rsidR="00465EE4">
        <w:rPr>
          <w:rStyle w:val="CommentReference"/>
        </w:rPr>
        <w:commentReference w:id="37"/>
      </w:r>
      <w:r>
        <w:t xml:space="preserve"> (i.e., between “Strongly disagree” [1] and “Disagree” [2]). </w:t>
      </w:r>
    </w:p>
    <w:p w14:paraId="4D404B86" w14:textId="0F2660FA" w:rsidR="00161C3B" w:rsidRDefault="79064136" w:rsidP="006B0D4C">
      <w:r>
        <w:t xml:space="preserve">Thus, the observed changes indicate that, on average, increased exposure to diversity leads individuals to disagree more strongly with the idea that income should determine access to welfare services in Chile. All the above evidence supports the </w:t>
      </w:r>
      <w:r w:rsidRPr="79064136">
        <w:rPr>
          <w:i/>
          <w:iCs/>
        </w:rPr>
        <w:t>market skepticism hypothesis</w:t>
      </w:r>
      <w:r>
        <w:t xml:space="preserve"> (H</w:t>
      </w:r>
      <w:r w:rsidRPr="79064136">
        <w:rPr>
          <w:vertAlign w:val="subscript"/>
        </w:rPr>
        <w:t>1</w:t>
      </w:r>
      <w:r>
        <w:t>), suggesting that individuals embedded in more socioeconomically diverse networks tend to express more critical views of market-based distributive principles.</w:t>
      </w:r>
    </w:p>
    <w:p w14:paraId="3C266096" w14:textId="5A36EABF" w:rsidR="00144185" w:rsidRDefault="00144185" w:rsidP="006B0D4C">
      <w:r>
        <w:t>[Figure 1 about here]</w:t>
      </w:r>
    </w:p>
    <w:p w14:paraId="13C8738C" w14:textId="4434A093" w:rsidR="0040327C" w:rsidRDefault="0040327C" w:rsidP="006B0D4C">
      <w:r>
        <w:rPr>
          <w:noProof/>
        </w:rPr>
        <w:drawing>
          <wp:inline distT="0" distB="0" distL="0" distR="0" wp14:anchorId="74F05B12" wp14:editId="3224CEC7">
            <wp:extent cx="5400040" cy="3599815"/>
            <wp:effectExtent l="0" t="0" r="0" b="635"/>
            <wp:docPr id="1215503615" name="Picture 1" descr="A graph of a network d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3615" name="Picture 1" descr="A graph of a network diversit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E3E49E7" w14:textId="404398FC" w:rsidR="009D4534" w:rsidRDefault="009D4534" w:rsidP="000A46B7">
      <w:r>
        <w:t xml:space="preserve">Figure 1: </w:t>
      </w:r>
      <w:r w:rsidRPr="009D4534">
        <w:t>Predictive Estimates of Market Justice Preferences by Network Diversity</w:t>
      </w:r>
    </w:p>
    <w:p w14:paraId="54EF4508" w14:textId="62F0F22F" w:rsidR="00BC6369" w:rsidRDefault="00BC6369" w:rsidP="00ED0F0B">
      <w:pPr>
        <w:pStyle w:val="Heading1"/>
      </w:pPr>
      <w:r w:rsidRPr="00D84938">
        <w:t>Discussion</w:t>
      </w:r>
    </w:p>
    <w:p w14:paraId="136181CE" w14:textId="3F84CC6F" w:rsidR="00C93EED" w:rsidRDefault="79064136" w:rsidP="006108BC">
      <w:r>
        <w:t xml:space="preserve">The findings presented here provide empirical support for the </w:t>
      </w:r>
      <w:commentRangeStart w:id="38"/>
      <w:r>
        <w:t>market skepticism hypothesis</w:t>
      </w:r>
      <w:commentRangeEnd w:id="38"/>
      <w:r w:rsidR="006108BC">
        <w:rPr>
          <w:rStyle w:val="CommentReference"/>
        </w:rPr>
        <w:commentReference w:id="38"/>
      </w:r>
      <w:r>
        <w:t xml:space="preserve">: increasing socioeconomic diversity of personal networks is associated with declining support for market-based principles in the distribution of welfare services. </w:t>
      </w:r>
    </w:p>
    <w:p w14:paraId="244B6778" w14:textId="15B70B96" w:rsidR="006108BC" w:rsidRDefault="79064136" w:rsidP="006108BC">
      <w:commentRangeStart w:id="39"/>
      <w:r>
        <w:t xml:space="preserve">According to my theoretical expectations, the evidence presented here suggests that changes in network diversity influenced changes in attitudes. This relationship may operate through two (non-exclusive) mechanisms. </w:t>
      </w:r>
      <w:r w:rsidRPr="79064136">
        <w:rPr>
          <w:i/>
          <w:iCs/>
        </w:rPr>
        <w:t>Information</w:t>
      </w:r>
      <w:r>
        <w:t xml:space="preserve"> — exposure to non-</w:t>
      </w:r>
      <w:r>
        <w:lastRenderedPageBreak/>
        <w:t xml:space="preserve">redundant environments may independently foster attitudinal change, in line with inferential or social learning approaches </w:t>
      </w:r>
      <w:r w:rsidR="00C93EED">
        <w:fldChar w:fldCharType="begin"/>
      </w:r>
      <w:r w:rsidR="00E53B1A">
        <w:instrText xml:space="preserve"> ADDIN ZOTERO_ITEM CSL_CITATION {"citationID":"38qgY1tf","properties":{"formattedCitation":"(Druckman and Lupia, 2000; Mijs, 2018)","plainCitation":"(Druckman and Lupia, 2000; Mijs, 2018)","noteIndex":0},"citationItems":[{"id":11372,"uris":["http://zotero.org/users/5414506/items/QGEWZ4L3"],"itemData":{"id":11372,"type":"article-journal","abstract":"This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N."},{"family":"Lupia","given":"Arthur"}],"issued":{"date-parts":[["2000",6]]},"citation-key":"druckman_preference_2000"}},{"id":12007,"uris":["http://zotero.org/users/5414506/items/DJH5PJIM"],"itemData":{"id":12007,"type":"article-journal","abstract":"A new wave of scholarship recognizes the importance of people’s understanding of inequality that underlies their political convictions, civic values, and policy views. Much less is known, however, about the sources of people’s different beliefs. I argue that scholarship is hampered by a lack of consensus regarding the conceptualization and measurement of inequality beliefs, in the absence of an organizing theory. To fill this gap, in this paper, I develop a framework for studying the social basis of people’s explanations for inequality. I propose that people observe unequal outcomes and must infer the invisible forces that brought these about, be they meritocratic or structural in nature. In making inferences about the causes of inequality, people draw on lessons from past experience and information about the world, both of which are biased and limited by their background, social networks, and the environments they have been exposed to. Looking at inequality beliefs through this lens allows for an investigation into the kinds of experiences and environments that are particularly salient in shaping people’s inferential accounts of inequality. Specifically, I make a case for investigating how socializing institutions such as schools and neighborhoods are “inferential spaces” that shape how children and young adults come to learn about their unequal society and their own place in it. I conclude by proposing testable hypotheses and implication for research.","container-title":"Societies","DOI":"10.3390/soc8030064","ISSN":"2075-4698","issue":"3","journalAbbreviation":"Societies","language":"en","page":"64","source":"DOI.org (Crossref)","title":"Inequality Is a Problem of Inference: How People Solve the Social Puzzle of Unequal Outcomes","title-short":"Inequality Is a Problem of Inference","volume":"8","author":[{"family":"Mijs","given":"Jonathan"}],"issued":{"date-parts":[["2018",8,7]]},"citation-key":"mijs_inequality_2018"}}],"schema":"https://github.com/citation-style-language/schema/raw/master/csl-citation.json"} </w:instrText>
      </w:r>
      <w:r w:rsidR="00C93EED">
        <w:fldChar w:fldCharType="separate"/>
      </w:r>
      <w:r w:rsidRPr="79064136">
        <w:rPr>
          <w:rFonts w:cs="Times New Roman"/>
        </w:rPr>
        <w:t>(Druckman and Lupia, 2000; Mijs, 2018)</w:t>
      </w:r>
      <w:r w:rsidR="00C93EED">
        <w:fldChar w:fldCharType="end"/>
      </w:r>
      <w:r>
        <w:t xml:space="preserve">; or </w:t>
      </w:r>
      <w:r w:rsidRPr="79064136">
        <w:rPr>
          <w:i/>
          <w:iCs/>
        </w:rPr>
        <w:t>Socialization</w:t>
      </w:r>
      <w:r>
        <w:t xml:space="preserve"> — over time, individuals normatively adapt to their new social environments, and these adaptations are reflected in their attitudes  </w:t>
      </w:r>
      <w:r w:rsidR="00C93EED">
        <w:fldChar w:fldCharType="begin"/>
      </w:r>
      <w:r w:rsidR="00E53B1A">
        <w:instrText xml:space="preserve"> ADDIN ZOTERO_ITEM CSL_CITATION {"citationID":"Qrzj47jP","properties":{"formattedCitation":"(Ares, 2020; Helgason and Rehm, 2024; Otero and Mendoza, 2023)","plainCitation":"(Ares, 2020; Helgason and Rehm, 2024; Otero and Mendoza, 2023)","noteIndex":0},"citationItems":[{"id":18469,"uris":["http://zotero.org/users/5414506/items/U3F22TQP"],"itemData":{"id":18469,"type":"article-journal","container-title":"West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C93EED">
        <w:fldChar w:fldCharType="separate"/>
      </w:r>
      <w:r w:rsidRPr="79064136">
        <w:rPr>
          <w:rFonts w:cs="Times New Roman"/>
        </w:rPr>
        <w:t>(Ares, 2020; Helgason and Rehm, 2024; Otero and Mendoza, 2023)</w:t>
      </w:r>
      <w:r w:rsidR="00C93EED">
        <w:fldChar w:fldCharType="end"/>
      </w:r>
      <w:r>
        <w:t>. This relationship is consistent in a longitudinal context, suggesting that exposure to heterogeneous social environments—particularly across socioeconomic lines—plays a central role in shaping individuals’ views on market justice principles in the provision of social services.</w:t>
      </w:r>
      <w:commentRangeEnd w:id="39"/>
      <w:r w:rsidR="00C93EED">
        <w:rPr>
          <w:rStyle w:val="CommentReference"/>
        </w:rPr>
        <w:commentReference w:id="39"/>
      </w:r>
    </w:p>
    <w:p w14:paraId="7BCD33EB" w14:textId="18C50186" w:rsidR="006108BC" w:rsidRPr="006108BC" w:rsidRDefault="79064136" w:rsidP="006108BC">
      <w:commentRangeStart w:id="40"/>
      <w:r>
        <w:t xml:space="preserve">Two interrelated </w:t>
      </w:r>
      <w:r w:rsidR="00F87AED">
        <w:t xml:space="preserve">theoretical </w:t>
      </w:r>
      <w:r>
        <w:t xml:space="preserve">explanations can account for this relationship. First, from a life-course perspective, interpersonal networks evolve </w:t>
      </w:r>
      <w:r w:rsidR="00820287">
        <w:t>in part</w:t>
      </w:r>
      <w:r w:rsidR="00806C2A">
        <w:t>, but not exclusively,</w:t>
      </w:r>
      <w:r>
        <w:t xml:space="preserve"> </w:t>
      </w:r>
      <w:r w:rsidR="00820287">
        <w:t xml:space="preserve">due </w:t>
      </w:r>
      <w:r>
        <w:t xml:space="preserve">to changes in individuals’ occupational trajectories. This perspective aligns with the notion of the </w:t>
      </w:r>
      <w:r w:rsidRPr="79064136">
        <w:rPr>
          <w:i/>
          <w:iCs/>
        </w:rPr>
        <w:t>social convoy</w:t>
      </w:r>
      <w:r>
        <w:t xml:space="preserve"> </w:t>
      </w:r>
      <w:r w:rsidR="00F57405">
        <w:fldChar w:fldCharType="begin"/>
      </w:r>
      <w:r w:rsidR="00E53B1A">
        <w:instrText xml:space="preserve"> ADDIN ZOTERO_ITEM CSL_CITATION {"citationID":"Hj2H2wz9","properties":{"formattedCitation":"(Kahn and Antonucci, 1980)","plainCitation":"(Kahn and Antonucci, 1980)","noteIndex":0},"citationItems":[{"id":18914,"uris":["http://zotero.org/users/5414506/items/DISEVUIW"],"itemData":{"id":18914,"type":"chapter","container-title":"Life-span development and behavior","page":"253–286","publisher":"Academic Press","title":"Convoys over the life course: Attachment, roles, and social support","author":[{"family":"Kahn","given":"Robert L."},{"family":"Antonucci","given":"Toni C."}],"editor":[{"family":"Baltes","given":"Paul B."},{"family":"Orville","given":"Glen B."}],"issued":{"date-parts":[["1980"]]},"citation-key":"kahn_convoys_1980"}}],"schema":"https://github.com/citation-style-language/schema/raw/master/csl-citation.json"} </w:instrText>
      </w:r>
      <w:r w:rsidR="00F57405">
        <w:fldChar w:fldCharType="separate"/>
      </w:r>
      <w:r w:rsidRPr="79064136">
        <w:rPr>
          <w:rFonts w:cs="Times New Roman"/>
        </w:rPr>
        <w:t>(Kahn and Antonucci, 1980)</w:t>
      </w:r>
      <w:r w:rsidR="00F57405">
        <w:fldChar w:fldCharType="end"/>
      </w:r>
      <w:r>
        <w:t xml:space="preserve">, a changing configuration of social relationships that accompanies individuals over time. Importantly, shifts in these convoys are not solely driven by social mobility. Rather, </w:t>
      </w:r>
      <w:r w:rsidR="00341F9F">
        <w:t xml:space="preserve">this might also </w:t>
      </w:r>
      <w:r>
        <w:t>reflect broader life transitions—such as entering or leaving the workforce, changes in marital status, or geographical location. As individuals accumulate more varied experiences through these evolving social ties, they gain access to different sources of information, jointly with others' views on the distribution of economic opportunities or labor market outcomes, such as the procedures related to educational opportunities, wage inequality, or living conditions of pensioners. These experiences may challenge previously held assumptions about the legitimacy of market-based distributions.</w:t>
      </w:r>
      <w:commentRangeEnd w:id="40"/>
      <w:r w:rsidR="00F57405">
        <w:rPr>
          <w:rStyle w:val="CommentReference"/>
        </w:rPr>
        <w:commentReference w:id="40"/>
      </w:r>
    </w:p>
    <w:p w14:paraId="0A4DA999" w14:textId="4F7D4CF4" w:rsidR="006108BC" w:rsidRPr="006108BC" w:rsidRDefault="006108BC" w:rsidP="006108BC">
      <w:r w:rsidRPr="006108BC">
        <w:t xml:space="preserve">Second, drawing from empirical justice theories, it is argued that exposure to socioeconomic diversity transforms the </w:t>
      </w:r>
      <w:r w:rsidRPr="006108BC">
        <w:rPr>
          <w:i/>
          <w:iCs/>
        </w:rPr>
        <w:t>existential standards</w:t>
      </w:r>
      <w:r w:rsidRPr="006108BC">
        <w:t xml:space="preserve"> individuals use to evaluate distributive fairness</w:t>
      </w:r>
      <w:r w:rsidR="005374A1">
        <w:t xml:space="preserve"> </w:t>
      </w:r>
      <w:r w:rsidR="003D24DD">
        <w:fldChar w:fldCharType="begin"/>
      </w:r>
      <w:r w:rsidR="00E53B1A">
        <w:instrText xml:space="preserve"> ADDIN ZOTERO_ITEM CSL_CITATION {"citationID":"RWYPiaGv","properties":{"formattedCitation":"(Immergut and Schneider, 2020; Shepelak and Alwin, 1986)","plainCitation":"(Immergut and Schneider, 2020; Shepelak and Alwin, 1986)","noteIndex":0},"citationItems":[{"id":16413,"uris":["http://zotero.org/users/5414506/items/MXPRS69Q"],"itemData":{"id":16413,"type":"article-journal","container-title":"Social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M."}],"issued":{"date-parts":[["2020",12]]},"citation-key":"immergut_is_2020"}},{"id":238,"uris":["http://zotero.org/users/5414506/items/MLN3PMHV"],"itemData":{"id":238,"type":"article-journal","container-title":"American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3D24DD">
        <w:fldChar w:fldCharType="separate"/>
      </w:r>
      <w:r w:rsidR="00D92E77" w:rsidRPr="00D92E77">
        <w:rPr>
          <w:rFonts w:cs="Times New Roman"/>
        </w:rPr>
        <w:t>(Immergut and Schneider, 2020; Shepelak and Alwin, 1986)</w:t>
      </w:r>
      <w:r w:rsidR="003D24DD">
        <w:fldChar w:fldCharType="end"/>
      </w:r>
      <w:r w:rsidRPr="006108BC">
        <w:t>. These standards refer to what people perceive as normal, expected, or acceptable within their social context. When individuals interact with others who are situated differently within the social structure and who may face distinct constraints in accessing</w:t>
      </w:r>
      <w:r w:rsidR="00806E89">
        <w:t xml:space="preserve"> better</w:t>
      </w:r>
      <w:r w:rsidRPr="006108BC">
        <w:t xml:space="preserve"> education, healthcare, or pensions, they are confronted with contrasting experiences of inequality. Over time, these encounters may destabilize the moral foundations of market justice by exposing individuals to realities that contradict the assumption that outcomes are solely the result of individual effort</w:t>
      </w:r>
      <w:r w:rsidR="000179E9">
        <w:t xml:space="preserve"> </w:t>
      </w:r>
      <w:r w:rsidR="000179E9">
        <w:fldChar w:fldCharType="begin"/>
      </w:r>
      <w:r w:rsidR="000179E9">
        <w:instrText xml:space="preserve"> ADDIN ZOTERO_ITEM CSL_CITATION {"citationID":"1oK9CpyW","properties":{"formattedCitation":"(Otero and Mendoza, 2023)","plainCitation":"(Otero and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0179E9">
        <w:fldChar w:fldCharType="separate"/>
      </w:r>
      <w:r w:rsidR="000179E9" w:rsidRPr="000179E9">
        <w:rPr>
          <w:rFonts w:cs="Times New Roman"/>
        </w:rPr>
        <w:t>(Otero and Mendoza, 2023)</w:t>
      </w:r>
      <w:r w:rsidR="000179E9">
        <w:fldChar w:fldCharType="end"/>
      </w:r>
      <w:r w:rsidRPr="006108BC">
        <w:t>.</w:t>
      </w:r>
    </w:p>
    <w:p w14:paraId="6070035C" w14:textId="4B89ACA7" w:rsidR="006108BC" w:rsidRDefault="005F1DF0" w:rsidP="006108BC">
      <w:r>
        <w:t>F</w:t>
      </w:r>
      <w:r w:rsidR="00F1134F">
        <w:t xml:space="preserve">rom a longitudinal perspective, </w:t>
      </w:r>
      <w:r w:rsidR="00A31116" w:rsidRPr="007D7CCB">
        <w:rPr>
          <w:i/>
          <w:iCs/>
        </w:rPr>
        <w:t>skepticism</w:t>
      </w:r>
      <w:r w:rsidR="00A31116">
        <w:t xml:space="preserve"> </w:t>
      </w:r>
      <w:r w:rsidR="006108BC" w:rsidRPr="006108BC">
        <w:t xml:space="preserve">is likely amplified when networks bring together individuals from otherwise disconnected segments of the </w:t>
      </w:r>
      <w:r w:rsidR="00B443E7">
        <w:t xml:space="preserve">class </w:t>
      </w:r>
      <w:r w:rsidR="006108BC" w:rsidRPr="006108BC">
        <w:t>structure. In such cases, people are more likely to access divergent and often non-redundant information about how social systems function across different positions</w:t>
      </w:r>
      <w:r w:rsidR="00772728">
        <w:t xml:space="preserve"> </w:t>
      </w:r>
      <w:r w:rsidR="00280FD4">
        <w:fldChar w:fldCharType="begin"/>
      </w:r>
      <w:r w:rsidR="00E53B1A">
        <w:instrText xml:space="preserve"> ADDIN ZOTERO_ITEM CSL_CITATION {"citationID":"hRw4gdKy","properties":{"formattedCitation":"(Burt, 2004)","plainCitation":"(Burt, 2004)","noteIndex":0},"citationItems":[{"id":19404,"uris":["http://zotero.org/users/5414506/items/URJKAMCW"],"itemData":{"id":19404,"type":"article-journal","container-title":"American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instrText>
      </w:r>
      <w:r w:rsidR="00280FD4">
        <w:fldChar w:fldCharType="separate"/>
      </w:r>
      <w:r w:rsidR="00D92E77" w:rsidRPr="00D92E77">
        <w:rPr>
          <w:rFonts w:cs="Times New Roman"/>
        </w:rPr>
        <w:t>(Burt, 2004)</w:t>
      </w:r>
      <w:r w:rsidR="00280FD4">
        <w:fldChar w:fldCharType="end"/>
      </w:r>
      <w:r w:rsidR="006108BC" w:rsidRPr="006108BC">
        <w:t xml:space="preserve">. Prior research suggests that these types of ties are especially valuable for broadening individuals’ perspectives, as they provide access to unfamiliar and sometimes conflicting interpretations of economic and institutional realities </w:t>
      </w:r>
      <w:r w:rsidR="007D643D">
        <w:fldChar w:fldCharType="begin"/>
      </w:r>
      <w:r w:rsidR="00E53B1A">
        <w:instrText xml:space="preserve"> ADDIN ZOTERO_ITEM CSL_CITATION {"citationID":"FBFL3mms","properties":{"formattedCitation":"(Vedres, 2022)","plainCitation":"(Vedres, 2022)","noteIndex":0},"citationItems":[{"id":19888,"uris":["http://zotero.org/users/5414506/items/UAMQ5PVJ"],"itemData":{"id":19888,"type":"chapter","container-title":"Handbook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gerxhani_network_2022"}}],"schema":"https://github.com/citation-style-language/schema/raw/master/csl-citation.json"} </w:instrText>
      </w:r>
      <w:r w:rsidR="007D643D">
        <w:fldChar w:fldCharType="separate"/>
      </w:r>
      <w:r w:rsidR="00D92E77" w:rsidRPr="00D92E77">
        <w:rPr>
          <w:rFonts w:cs="Times New Roman"/>
        </w:rPr>
        <w:t>(Vedres, 2022)</w:t>
      </w:r>
      <w:r w:rsidR="007D643D">
        <w:fldChar w:fldCharType="end"/>
      </w:r>
      <w:r w:rsidR="006108BC" w:rsidRPr="006108BC">
        <w:t xml:space="preserve">. In the context of </w:t>
      </w:r>
      <w:r w:rsidR="00B31814">
        <w:t>preferences for commodified welfare</w:t>
      </w:r>
      <w:r w:rsidR="006108BC" w:rsidRPr="006108BC">
        <w:t>, these contrasting experiences and informational flows may encourage individuals to question the fairness of allocating public goods according to income and purchasing power. Thus, the presence of socioeconomic diversity in personal networks serves not only to increase exposure to inequality but also to deepen understanding of its structural roots.</w:t>
      </w:r>
    </w:p>
    <w:p w14:paraId="1A8C51FB" w14:textId="7A1C776E" w:rsidR="006D2A4C" w:rsidRPr="006108BC" w:rsidRDefault="79064136" w:rsidP="006108BC">
      <w:r>
        <w:t xml:space="preserve">Building on previous research on the role of social heterogeneity in networks </w:t>
      </w:r>
      <w:r w:rsidR="009D25C4">
        <w:fldChar w:fldCharType="begin"/>
      </w:r>
      <w:r w:rsidR="00E53B1A">
        <w:instrText xml:space="preserve"> ADDIN ZOTERO_ITEM CSL_CITATION {"citationID":"qqqvjvdd","properties":{"formattedCitation":"(Mijs and Usmani, 2024; Otero and Mendoza, 2023; Paskov and Weisstanner, 2022)","plainCitation":"(Mijs and Usmani, 2024; Otero and Mendoza, 2023; Paskov and Weisstanner, 2022)","noteIndex":0},"citationItems":[{"id":19089,"uris":["http://zotero.org/users/5414506/items/MQ5MDYL2"],"itemData":{"id":19089,"type":"article-journal","abstract":"Why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9D25C4">
        <w:fldChar w:fldCharType="separate"/>
      </w:r>
      <w:r w:rsidRPr="79064136">
        <w:rPr>
          <w:rFonts w:cs="Times New Roman"/>
        </w:rPr>
        <w:t>(Mijs and Usmani, 2024; Otero and Mendoza, 2023; Paskov and Weisstanner, 2022)</w:t>
      </w:r>
      <w:r w:rsidR="009D25C4">
        <w:fldChar w:fldCharType="end"/>
      </w:r>
      <w:r>
        <w:t xml:space="preserve"> a theoretically relevant contribution of this research is to distinguish more clearly between the role of</w:t>
      </w:r>
      <w:commentRangeStart w:id="41"/>
      <w:r>
        <w:t xml:space="preserve"> </w:t>
      </w:r>
      <w:r w:rsidRPr="79064136">
        <w:rPr>
          <w:i/>
          <w:iCs/>
        </w:rPr>
        <w:lastRenderedPageBreak/>
        <w:t>class profiles</w:t>
      </w:r>
      <w:commentRangeEnd w:id="41"/>
      <w:r w:rsidR="009D25C4">
        <w:rPr>
          <w:rStyle w:val="CommentReference"/>
        </w:rPr>
        <w:commentReference w:id="41"/>
      </w:r>
      <w:r>
        <w:t xml:space="preserve"> </w:t>
      </w:r>
      <w:r w:rsidR="009D25C4">
        <w:fldChar w:fldCharType="begin"/>
      </w:r>
      <w:r w:rsidR="00E53B1A">
        <w:instrText xml:space="preserve"> ADDIN ZOTERO_ITEM CSL_CITATION {"citationID":"h2lBNB7E","properties":{"formattedCitation":"(Cobo-Arroyo, 2022; Lindh and Andersson, 2024; Lindh et al., 2021)","plainCitation":"(Cobo-Arroyo, 2022; Lindh and Andersson, 2024; Lindh et al., 2021)","noteIndex":0},"citationItems":[{"id":18219,"uris":["http://zotero.org/users/5414506/items/TZ3NJSFK"],"itemData":{"id":18219,"type":"thesis","abstract":"Numerous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9D25C4">
        <w:fldChar w:fldCharType="separate"/>
      </w:r>
      <w:r w:rsidRPr="79064136">
        <w:rPr>
          <w:rFonts w:cs="Times New Roman"/>
        </w:rPr>
        <w:t>(Cobo-Arroyo, 2022; Lindh and Andersson, 2024; Lindh et al., 2021)</w:t>
      </w:r>
      <w:r w:rsidR="009D25C4">
        <w:fldChar w:fldCharType="end"/>
      </w:r>
      <w:r>
        <w:t xml:space="preserve"> as the pure single-connection to certain classes and the role of being connected simultaneously to more than one class-position, as network </w:t>
      </w:r>
      <w:r w:rsidRPr="79064136">
        <w:rPr>
          <w:i/>
          <w:iCs/>
        </w:rPr>
        <w:t>diversity</w:t>
      </w:r>
      <w:r>
        <w:t>. In line with my theorization, an assumption is that changes in network ties entail shifts in both the type and amount of information individuals receive. It</w:t>
      </w:r>
      <w:commentRangeStart w:id="42"/>
      <w:r>
        <w:t xml:space="preserve"> is noteworthy that my results suggest network diversity plays an independent—and partially more significant—role than either network size or status.</w:t>
      </w:r>
      <w:commentRangeEnd w:id="42"/>
      <w:r w:rsidR="009D25C4">
        <w:rPr>
          <w:rStyle w:val="CommentReference"/>
        </w:rPr>
        <w:commentReference w:id="42"/>
      </w:r>
      <w:r>
        <w:t xml:space="preserve"> In theoretical terms, this implies that, beyond the volume of information associated with larger networks and the dominant narratives conveyed by higher status ties, it is the qualitatively different nature of information arising from heterogeneous connections that contributes more robustly to attitudinal change.</w:t>
      </w:r>
    </w:p>
    <w:p w14:paraId="443DC3C7" w14:textId="263F9E69" w:rsidR="006108BC" w:rsidRDefault="006108BC" w:rsidP="006108BC">
      <w:r w:rsidRPr="006108BC">
        <w:t>Taken together, these insights point to the social embeddedness of distributive preferences. Attitudes toward market justice are not merely reflections of fixed individual characteristics or ideological predispositions; rather, they emerge through social interaction and exposure. Socioeconomic diversity in networks—</w:t>
      </w:r>
      <w:r w:rsidR="00F93071">
        <w:t xml:space="preserve">rising </w:t>
      </w:r>
      <w:r w:rsidRPr="006108BC">
        <w:t>over time —appears to be a critical site for political learning and normative re-evaluation.</w:t>
      </w:r>
      <w:r w:rsidR="00ED0F0B">
        <w:t xml:space="preserve"> </w:t>
      </w:r>
    </w:p>
    <w:p w14:paraId="108C7D97" w14:textId="35C74DD2" w:rsidR="006108BC" w:rsidRPr="006108BC" w:rsidRDefault="006108BC" w:rsidP="006108BC">
      <w:r w:rsidRPr="006108BC">
        <w:t xml:space="preserve">Evidence from Chile, a country with entrenched inequality and a market-oriented welfare system, provides a particularly compelling context in which to examine </w:t>
      </w:r>
      <w:r w:rsidR="004E4DC0">
        <w:t>these phenomena</w:t>
      </w:r>
      <w:r w:rsidRPr="006108BC">
        <w:t xml:space="preserve">. The results contribute to a growing body of literature emphasizing the </w:t>
      </w:r>
      <w:r w:rsidR="002E0849">
        <w:t>role of social networks</w:t>
      </w:r>
      <w:r w:rsidRPr="006108BC">
        <w:t xml:space="preserve"> of attitudes toward inequality. They suggest that attention to network composition—and to the diversity of perspectives it enables—may be crucial for understanding how individuals come to accept or reject market-based principles of social organization.</w:t>
      </w:r>
    </w:p>
    <w:p w14:paraId="3B80A032" w14:textId="77777777" w:rsidR="00F42689" w:rsidRDefault="006108BC" w:rsidP="006108BC">
      <w:r w:rsidRPr="006108BC">
        <w:t>Future research could further explore the temporal and cumulative aspects of diverse social exposure, as well as the conditions under which such exposure is most likely to generate attitudinal change. It also remains to be seen whether certain individuals—depending on their position within the social structure—are more or less susceptible to the influence of diversity in their networks. Moreover, identifying patterns of network change over time could offer important insights into how social learning processes unfold and consolidate.</w:t>
      </w:r>
      <w:r w:rsidR="00F42689">
        <w:t xml:space="preserve"> </w:t>
      </w:r>
    </w:p>
    <w:p w14:paraId="1305A3B0" w14:textId="79D75C2E" w:rsidR="001056AF" w:rsidRDefault="00F42689" w:rsidP="006108BC">
      <w:r>
        <w:t>One possible vein for future research is whether network ties</w:t>
      </w:r>
      <w:r w:rsidR="004B5797">
        <w:t>,</w:t>
      </w:r>
      <w:r w:rsidR="00683C1D">
        <w:t xml:space="preserve"> besides </w:t>
      </w:r>
      <w:r w:rsidR="004B5797">
        <w:t>being linked to</w:t>
      </w:r>
      <w:r w:rsidR="00683C1D">
        <w:t xml:space="preserve"> changes in political attitude</w:t>
      </w:r>
      <w:r w:rsidR="004B5797">
        <w:t>s,</w:t>
      </w:r>
      <w:r w:rsidR="00683C1D">
        <w:t xml:space="preserve"> </w:t>
      </w:r>
      <w:r w:rsidR="004B5797">
        <w:t xml:space="preserve">trigger shifts in other </w:t>
      </w:r>
      <w:r w:rsidR="00280D79">
        <w:t xml:space="preserve">social </w:t>
      </w:r>
      <w:r w:rsidR="004B5797">
        <w:t>domains.</w:t>
      </w:r>
      <w:r w:rsidR="00D33846">
        <w:t xml:space="preserve"> </w:t>
      </w:r>
      <w:r w:rsidR="004B5797">
        <w:t xml:space="preserve">For instance, one could argue that </w:t>
      </w:r>
      <w:r w:rsidR="00972335">
        <w:t>rising</w:t>
      </w:r>
      <w:r w:rsidR="004B5797">
        <w:t xml:space="preserve"> exposure to socioeconomic diversity might have a “cohesive” effect</w:t>
      </w:r>
      <w:r w:rsidR="00A210EA">
        <w:t xml:space="preserve"> as it bridges those who were previously segregated </w:t>
      </w:r>
      <w:r w:rsidR="00A210EA">
        <w:fldChar w:fldCharType="begin"/>
      </w:r>
      <w:r w:rsidR="00A210EA">
        <w:instrText xml:space="preserve"> ADDIN ZOTERO_ITEM CSL_CITATION {"citationID":"FYjT9WV3","properties":{"formattedCitation":"(Otero, V\\uc0\\u246{}lker, R\\uc0\\u246{}zer, et al., 2022)","plainCitation":"(Otero, Völker, Rözer,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210EA">
        <w:fldChar w:fldCharType="separate"/>
      </w:r>
      <w:r w:rsidR="00A210EA" w:rsidRPr="00A210EA">
        <w:rPr>
          <w:rFonts w:cs="Times New Roman"/>
        </w:rPr>
        <w:t>(Otero, Völker, Rözer, et al., 2022)</w:t>
      </w:r>
      <w:r w:rsidR="00A210EA">
        <w:fldChar w:fldCharType="end"/>
      </w:r>
      <w:r w:rsidR="004B5797">
        <w:t xml:space="preserve">. That said, does social trust strengthen as interpersonal networks become more diverse? </w:t>
      </w:r>
      <w:r w:rsidR="001056AF">
        <w:fldChar w:fldCharType="begin"/>
      </w:r>
      <w:r w:rsidR="001056AF">
        <w:instrText xml:space="preserve"> ADDIN ZOTERO_ITEM CSL_CITATION {"citationID":"VFXolOTz","properties":{"formattedCitation":"(Lancee, 2017)","plainCitation":"(Lancee, 2017)","noteIndex":0},"citationItems":[{"id":15155,"uris":["http://zotero.org/users/5414506/items/I38HCAYS"],"itemData":{"id":15155,"type":"chapter","container-title":"Trust at Risk: Implications for EU Policies and Institutions","note":"citation key: lancee_diversity_2017","page":"rust in Justice In: Heiko Prange-Gstöhl 152","source":"ResearchGate","title":"Diversity, trust and social cohesion","container-author":[{"literal":"European Commission. Directorate General for Research and Innovation."}],"author":[{"family":"Lancee","given":"Bram"}],"issued":{"date-parts":[["2017",1,1]]},"citation-key":"lancee_diversity_2017"}}],"schema":"https://github.com/citation-style-language/schema/raw/master/csl-citation.json"} </w:instrText>
      </w:r>
      <w:r w:rsidR="001056AF">
        <w:fldChar w:fldCharType="separate"/>
      </w:r>
      <w:r w:rsidR="001056AF" w:rsidRPr="001056AF">
        <w:rPr>
          <w:rFonts w:cs="Times New Roman"/>
        </w:rPr>
        <w:t>(Lancee, 2017)</w:t>
      </w:r>
      <w:r w:rsidR="001056AF">
        <w:fldChar w:fldCharType="end"/>
      </w:r>
      <w:r w:rsidR="001056AF">
        <w:t xml:space="preserve">. </w:t>
      </w:r>
      <w:r w:rsidR="00D33846">
        <w:t>I</w:t>
      </w:r>
      <w:r w:rsidR="001056AF">
        <w:t>t can be hypothesized that a</w:t>
      </w:r>
      <w:r w:rsidR="004B5797">
        <w:t xml:space="preserve"> rise in trust in </w:t>
      </w:r>
      <w:r w:rsidR="001056AF">
        <w:t>others</w:t>
      </w:r>
      <w:r w:rsidR="004B5797">
        <w:t xml:space="preserve"> </w:t>
      </w:r>
      <w:r w:rsidR="001056AF">
        <w:t>might have behavioral consequences, such as cooperation-based activities</w:t>
      </w:r>
      <w:r w:rsidR="00ED59E1">
        <w:t xml:space="preserve"> like participation in </w:t>
      </w:r>
      <w:r w:rsidR="001056AF">
        <w:t xml:space="preserve">voluntary associations that aim to foster social welfare </w:t>
      </w:r>
      <w:r w:rsidR="00D33846">
        <w:fldChar w:fldCharType="begin"/>
      </w:r>
      <w:r w:rsidR="00D33846">
        <w:instrText xml:space="preserve"> ADDIN ZOTERO_ITEM CSL_CITATION {"citationID":"yO7B33jX","properties":{"formattedCitation":"(Uslaner and Brown, 2005; Yamamura, 2012)","plainCitation":"(Uslaner and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D33846">
        <w:fldChar w:fldCharType="separate"/>
      </w:r>
      <w:r w:rsidR="00D33846" w:rsidRPr="00D33846">
        <w:rPr>
          <w:rFonts w:cs="Times New Roman"/>
        </w:rPr>
        <w:t>(Uslaner and Brown, 2005; Yamamura, 2012)</w:t>
      </w:r>
      <w:r w:rsidR="00D33846">
        <w:fldChar w:fldCharType="end"/>
      </w:r>
      <w:r w:rsidR="00D33846">
        <w:t xml:space="preserve">. Nonetheless, </w:t>
      </w:r>
      <w:r w:rsidR="00167590">
        <w:t xml:space="preserve">the </w:t>
      </w:r>
      <w:r w:rsidR="00D33846">
        <w:t xml:space="preserve">assumption of the cohesive influence of exposure to social diversity still needs further research to clarify whether the claimed relationships hold for the </w:t>
      </w:r>
      <w:r w:rsidR="00587666">
        <w:t xml:space="preserve">attitudinal and behavioral expressions of </w:t>
      </w:r>
      <w:r w:rsidR="00724F15">
        <w:t xml:space="preserve">social cohesion </w:t>
      </w:r>
      <w:r w:rsidR="00D33846">
        <w:fldChar w:fldCharType="begin"/>
      </w:r>
      <w:r w:rsidR="00D33846">
        <w:instrText xml:space="preserve"> ADDIN ZOTERO_ITEM CSL_CITATION {"citationID":"Mnu1tLJm","properties":{"formattedCitation":"(Chan, To, and Chan, 2006; Delhey, Dragolov, and Boehnke, 2023)","plainCitation":"(Chan, To, and Chan, 2006; Delhey, Dragolov, and Boehnke, 2023)","noteIndex":0},"citationItems":[{"id":1429,"uris":["http://zotero.org/users/5414506/items/K6YPLCGZ"],"itemData":{"id":1429,"type":"article-journal","container-title":"Social Indicators Research","DOI":"10.1007/s11205-005-2118-1","ISSN":"0303-8300, 1573-0921","issue":"2","journalAbbreviation":"Soc Indic Res","language":"en","page":"273-302","source":"DOI.org (Crossref)","title":"Reconsidering Social Cohesion: Developing a Definition and Analytical Framework for Empirical Research","title-short":"Reconsidering Social Cohesion","volume":"75","author":[{"family":"Chan","given":"Joseph"},{"family":"To","given":"Ho-Pong"},{"family":"Chan","given":"Elaine"}],"issued":{"date-parts":[["2006",1]]},"citation-key":"chan_reconsidering_2006"}},{"id":21025,"uris":["http://zotero.org/users/5414506/items/7CQXDQZY"],"itemData":{"id":21025,"type":"article-journal","abstract":"Although social integration has always been a central sociological issue, there has never been a consensus how to approach the topic empirically. In the new millennium, social cohesion has emerged as a lead concept for measuring how integrated societies are—not the least, because many observers see the social fabric of modern-day societies in deep crisis. Consequently, scholars and think tanks have intensified their efforts to chart how strong the social glue of contemporary societies is, as well as which conditions strengthen or weaken it. The main goal of our article is to provide an overview of measures of social cohesion that have been specifically designed for cross-national comparisons. To this end, we compare selected measures with respect to what they measure, how, and for what purpose. We then highlight key empirical insights gained by these measures, touching upon the issues of levels, regimes, as well as determinants and outcomes of social cohesion. The review concludes that one of the measures, the Bertelsmann Social Cohesion Radar, stands out in terms of conceptual clarity, methodological sophistication, and richness of empirical findings.","container-title":"KZfSS Kölner Zeitschrift für Soziologie und Sozialpsychologie","DOI":"10.1007/s11577-023-00891-6","ISSN":"1861-891X","issue":"1","journalAbbreviation":"Köln Z Soziol","language":"en","page":"95-120","source":"Springer Link","title":"Social Cohesion in International Comparison: A Review of Key Measures and Findings","title-short":"Social Cohesion in International Comparison","volume":"75","author":[{"family":"Delhey","given":"Jan"},{"family":"Dragolov","given":"Georgi"},{"family":"Boehnke","given":"Klaus"}],"issued":{"date-parts":[["2023",12,1]]},"citation-key":"delhey_social_2023"}}],"schema":"https://github.com/citation-style-language/schema/raw/master/csl-citation.json"} </w:instrText>
      </w:r>
      <w:r w:rsidR="00D33846">
        <w:fldChar w:fldCharType="separate"/>
      </w:r>
      <w:r w:rsidR="00D33846" w:rsidRPr="00D33846">
        <w:rPr>
          <w:rFonts w:cs="Times New Roman"/>
        </w:rPr>
        <w:t>(Chan, To, and Chan, 2006; Delhey, Dragolov, and Boehnke, 2023)</w:t>
      </w:r>
      <w:r w:rsidR="00D33846">
        <w:fldChar w:fldCharType="end"/>
      </w:r>
      <w:r w:rsidR="00587666">
        <w:t>.</w:t>
      </w:r>
    </w:p>
    <w:p w14:paraId="30FB00A9" w14:textId="10CB08DD" w:rsidR="006108BC" w:rsidRPr="006108BC" w:rsidRDefault="79064136" w:rsidP="006108BC">
      <w:r>
        <w:t>Finally, these findings raise relevant implications for public policy. If exposure to socioeconomic diversity fosters more critical attitudes toward market-based inequality, then institutional arrangements that promote cross-class contact—such as integrated schooling, urban desegregation, or inclusive civic participation—</w:t>
      </w:r>
      <w:commentRangeStart w:id="43"/>
      <w:r>
        <w:t xml:space="preserve">may contribute to the </w:t>
      </w:r>
      <w:r>
        <w:lastRenderedPageBreak/>
        <w:t>development of more egalitarian social attitudes</w:t>
      </w:r>
      <w:commentRangeEnd w:id="43"/>
      <w:r w:rsidR="006108BC">
        <w:rPr>
          <w:rStyle w:val="CommentReference"/>
        </w:rPr>
        <w:commentReference w:id="43"/>
      </w:r>
      <w:r>
        <w:t>. In this regard, the everyday spaces of sociability that shape individuals’ understanding of inequality deserve closer attention—not only as outcomes of stratification, but also as potential instruments for its contestation.</w:t>
      </w:r>
    </w:p>
    <w:p w14:paraId="6F7AEEF4" w14:textId="11494A57" w:rsidR="00BC6369" w:rsidRPr="000769A9" w:rsidRDefault="00BF68E9" w:rsidP="00BC6369">
      <w:pPr>
        <w:pStyle w:val="Heading1"/>
      </w:pPr>
      <w:r w:rsidRPr="000769A9">
        <w:t xml:space="preserve">References </w:t>
      </w:r>
      <w:r w:rsidR="00BC6369" w:rsidRPr="000769A9">
        <w:br/>
      </w:r>
    </w:p>
    <w:p w14:paraId="1070F266" w14:textId="77777777" w:rsidR="008C4EB1" w:rsidRDefault="00BF68E9" w:rsidP="008C4EB1">
      <w:pPr>
        <w:pStyle w:val="Bibliography"/>
      </w:pPr>
      <w:r w:rsidRPr="00D84938">
        <w:fldChar w:fldCharType="begin"/>
      </w:r>
      <w:r w:rsidR="00B97992" w:rsidRPr="001B739B">
        <w:rPr>
          <w:lang w:val="de-DE"/>
        </w:rPr>
        <w:instrText xml:space="preserve"> ADDIN ZOTERO_BIBL {"uncited":[],"omitted":[],"custom":[]} CSL_BIBLIOGRAPHY </w:instrText>
      </w:r>
      <w:r w:rsidRPr="00D84938">
        <w:fldChar w:fldCharType="separate"/>
      </w:r>
      <w:r w:rsidR="008C4EB1" w:rsidRPr="008C4EB1">
        <w:rPr>
          <w:lang w:val="de-DE"/>
        </w:rPr>
        <w:t xml:space="preserve">Andreß, H.-J., Golsch, K., and Schmidt, A. W. (2013). </w:t>
      </w:r>
      <w:r w:rsidR="008C4EB1">
        <w:rPr>
          <w:i/>
          <w:iCs/>
        </w:rPr>
        <w:t>Applied Panel Data Analysis for Economic and Social Surveys</w:t>
      </w:r>
      <w:r w:rsidR="008C4EB1">
        <w:t>. Berlin, Heidelberg: Springer Berlin Heidelberg. https://doi.org/10.1007/978-3-642-32914-2</w:t>
      </w:r>
    </w:p>
    <w:p w14:paraId="580FDE70" w14:textId="77777777" w:rsidR="008C4EB1" w:rsidRDefault="008C4EB1" w:rsidP="008C4EB1">
      <w:pPr>
        <w:pStyle w:val="Bibliography"/>
      </w:pPr>
      <w:r>
        <w:t xml:space="preserve">Ares, M. (2020). Changing classes, changing preferences: How social class mobility affects economic preferences. </w:t>
      </w:r>
      <w:r>
        <w:rPr>
          <w:i/>
          <w:iCs/>
        </w:rPr>
        <w:t>West European Politics</w:t>
      </w:r>
      <w:r>
        <w:t xml:space="preserve">, </w:t>
      </w:r>
      <w:r>
        <w:rPr>
          <w:i/>
          <w:iCs/>
        </w:rPr>
        <w:t>43</w:t>
      </w:r>
      <w:r>
        <w:t>(6), 1211–1237. https://doi.org/10.1080/01402382.2019.1644575</w:t>
      </w:r>
    </w:p>
    <w:p w14:paraId="73D54F0B" w14:textId="77777777" w:rsidR="008C4EB1" w:rsidRPr="000B5B6C" w:rsidRDefault="008C4EB1" w:rsidP="008C4EB1">
      <w:pPr>
        <w:pStyle w:val="Bibliography"/>
        <w:rPr>
          <w:lang w:val="es-CL"/>
        </w:rPr>
      </w:pPr>
      <w:r>
        <w:t xml:space="preserve">Ares, M., and Van Ditmars, M. M. (2025). A life course approach to political preference formation across social classes. </w:t>
      </w:r>
      <w:r w:rsidRPr="000B5B6C">
        <w:rPr>
          <w:i/>
          <w:iCs/>
          <w:lang w:val="es-CL"/>
        </w:rPr>
        <w:t>West European Politics</w:t>
      </w:r>
      <w:r w:rsidRPr="000B5B6C">
        <w:rPr>
          <w:lang w:val="es-CL"/>
        </w:rPr>
        <w:t xml:space="preserve">, </w:t>
      </w:r>
      <w:r w:rsidRPr="000B5B6C">
        <w:rPr>
          <w:i/>
          <w:iCs/>
          <w:lang w:val="es-CL"/>
        </w:rPr>
        <w:t>48</w:t>
      </w:r>
      <w:r w:rsidRPr="000B5B6C">
        <w:rPr>
          <w:lang w:val="es-CL"/>
        </w:rPr>
        <w:t>(4), 951–976. https://doi.org/10.1080/01402382.2024.2415845</w:t>
      </w:r>
    </w:p>
    <w:p w14:paraId="59464976" w14:textId="77777777" w:rsidR="008C4EB1" w:rsidRPr="000B5B6C" w:rsidRDefault="008C4EB1" w:rsidP="008C4EB1">
      <w:pPr>
        <w:pStyle w:val="Bibliography"/>
        <w:rPr>
          <w:lang w:val="es-CL"/>
        </w:rPr>
      </w:pPr>
      <w:r w:rsidRPr="000B5B6C">
        <w:rPr>
          <w:lang w:val="es-CL"/>
        </w:rPr>
        <w:t xml:space="preserve">Arrizabalo, X. (1995). </w:t>
      </w:r>
      <w:r w:rsidRPr="000B5B6C">
        <w:rPr>
          <w:i/>
          <w:iCs/>
          <w:lang w:val="es-CL"/>
        </w:rPr>
        <w:t>Milagro o Quimera. La Economía Chilena Durante La Dictadura</w:t>
      </w:r>
      <w:r w:rsidRPr="000B5B6C">
        <w:rPr>
          <w:lang w:val="es-CL"/>
        </w:rPr>
        <w:t>. Madrid: Los libros de la catarata.</w:t>
      </w:r>
    </w:p>
    <w:p w14:paraId="787D266E" w14:textId="77777777" w:rsidR="008C4EB1" w:rsidRDefault="008C4EB1" w:rsidP="008C4EB1">
      <w:pPr>
        <w:pStyle w:val="Bibliography"/>
      </w:pPr>
      <w:r w:rsidRPr="000B5B6C">
        <w:rPr>
          <w:lang w:val="es-CL"/>
        </w:rPr>
        <w:t xml:space="preserve">Blau, P. (1977). A Macrosociological Theory of Social Structure. </w:t>
      </w:r>
      <w:r>
        <w:rPr>
          <w:i/>
          <w:iCs/>
        </w:rPr>
        <w:t>American Journal of Sociology</w:t>
      </w:r>
      <w:r>
        <w:t xml:space="preserve">, </w:t>
      </w:r>
      <w:r>
        <w:rPr>
          <w:i/>
          <w:iCs/>
        </w:rPr>
        <w:t>83</w:t>
      </w:r>
      <w:r>
        <w:t>(1), 26–54.</w:t>
      </w:r>
    </w:p>
    <w:p w14:paraId="74383FBF" w14:textId="77777777" w:rsidR="008C4EB1" w:rsidRDefault="008C4EB1" w:rsidP="008C4EB1">
      <w:pPr>
        <w:pStyle w:val="Bibliography"/>
      </w:pPr>
      <w:r>
        <w:t xml:space="preserve">Burt, R. S. (2004). Structural Holes and Good Ideas. </w:t>
      </w:r>
      <w:r>
        <w:rPr>
          <w:i/>
          <w:iCs/>
        </w:rPr>
        <w:t>American Journal of Sociology</w:t>
      </w:r>
      <w:r>
        <w:t xml:space="preserve">, </w:t>
      </w:r>
      <w:r>
        <w:rPr>
          <w:i/>
          <w:iCs/>
        </w:rPr>
        <w:t>110</w:t>
      </w:r>
      <w:r>
        <w:t>(2), 349–399. https://doi.org/10.1086/421787</w:t>
      </w:r>
    </w:p>
    <w:p w14:paraId="2CF270E8" w14:textId="77777777" w:rsidR="008C4EB1" w:rsidRDefault="008C4EB1" w:rsidP="008C4EB1">
      <w:pPr>
        <w:pStyle w:val="Bibliography"/>
      </w:pPr>
      <w:r>
        <w:t xml:space="preserve">Busemeyer, M. R., Garritzmann, J. L., and Neimanns, E. (2020). </w:t>
      </w:r>
      <w:r>
        <w:rPr>
          <w:i/>
          <w:iCs/>
        </w:rPr>
        <w:t>A Loud but Noisy Signal?: Public Opinion and Education Reform in Western Europe</w:t>
      </w:r>
      <w:r>
        <w:t>. Cambridge University Press.</w:t>
      </w:r>
    </w:p>
    <w:p w14:paraId="6BE24B1F" w14:textId="77777777" w:rsidR="008C4EB1" w:rsidRDefault="008C4EB1" w:rsidP="008C4EB1">
      <w:pPr>
        <w:pStyle w:val="Bibliography"/>
      </w:pPr>
      <w:r>
        <w:t xml:space="preserve">Busemeyer, M. R., and Iversen, T. (2020). The Welfare State with Private Alternatives: The Transformation of Popular Support for Social Insurance. </w:t>
      </w:r>
      <w:r>
        <w:rPr>
          <w:i/>
          <w:iCs/>
        </w:rPr>
        <w:t>The Journal of Politics</w:t>
      </w:r>
      <w:r>
        <w:t xml:space="preserve">, </w:t>
      </w:r>
      <w:r>
        <w:rPr>
          <w:i/>
          <w:iCs/>
        </w:rPr>
        <w:t>82</w:t>
      </w:r>
      <w:r>
        <w:t>(2), 671–686. https://doi.org/10.1086/706980</w:t>
      </w:r>
    </w:p>
    <w:p w14:paraId="6368D21B" w14:textId="77777777" w:rsidR="008C4EB1" w:rsidRDefault="008C4EB1" w:rsidP="008C4EB1">
      <w:pPr>
        <w:pStyle w:val="Bibliography"/>
      </w:pPr>
      <w:r>
        <w:lastRenderedPageBreak/>
        <w:t xml:space="preserve">Castillo, J. C. (2011). Legitimacy of Inequality in a Highly Unequal Context: Evidence from the Chilean Case. </w:t>
      </w:r>
      <w:r>
        <w:rPr>
          <w:i/>
          <w:iCs/>
        </w:rPr>
        <w:t>Social Justice Research</w:t>
      </w:r>
      <w:r>
        <w:t xml:space="preserve">, </w:t>
      </w:r>
      <w:r>
        <w:rPr>
          <w:i/>
          <w:iCs/>
        </w:rPr>
        <w:t>24</w:t>
      </w:r>
      <w:r>
        <w:t>(4), 314–340. https://doi.org/10.1007/s11211-011-0144-5</w:t>
      </w:r>
    </w:p>
    <w:p w14:paraId="47513ABD" w14:textId="77777777" w:rsidR="008C4EB1" w:rsidRDefault="008C4EB1" w:rsidP="008C4EB1">
      <w:pPr>
        <w:pStyle w:val="Bibliography"/>
      </w:pPr>
      <w:r>
        <w:t xml:space="preserve">Castillo, J. C., Laffert, A., Carrasco, K., and Iturra-Sanhueza, J. (2025). Perceptions of Inequality and Meritocracy: Their Interplay in Shaping Preferences for Market Justice in Chile (2016-2023). </w:t>
      </w:r>
      <w:r>
        <w:rPr>
          <w:i/>
          <w:iCs/>
        </w:rPr>
        <w:t>Frontiers in Sociology</w:t>
      </w:r>
      <w:r>
        <w:t xml:space="preserve">, </w:t>
      </w:r>
      <w:r>
        <w:rPr>
          <w:i/>
          <w:iCs/>
        </w:rPr>
        <w:t>10</w:t>
      </w:r>
      <w:r>
        <w:t>. https://doi.org/10.3389/fsoc.2025.1634219</w:t>
      </w:r>
    </w:p>
    <w:p w14:paraId="124731D7" w14:textId="77777777" w:rsidR="008C4EB1" w:rsidRPr="000B5B6C" w:rsidRDefault="008C4EB1" w:rsidP="008C4EB1">
      <w:pPr>
        <w:pStyle w:val="Bibliography"/>
        <w:rPr>
          <w:lang w:val="es-CL"/>
        </w:rPr>
      </w:pPr>
      <w:r>
        <w:t xml:space="preserve">Castillo, J. C., Madero-Cabib, I., and Salamovich, A. (2013). </w:t>
      </w:r>
      <w:r w:rsidRPr="000B5B6C">
        <w:rPr>
          <w:lang w:val="es-CL"/>
        </w:rPr>
        <w:t xml:space="preserve">Clivajes Partidarios y Cambios en las Preferencias Distributivas en Chile. </w:t>
      </w:r>
      <w:r w:rsidRPr="000B5B6C">
        <w:rPr>
          <w:i/>
          <w:iCs/>
          <w:lang w:val="es-CL"/>
        </w:rPr>
        <w:t>Revista de Ciencia Política (Santiago)</w:t>
      </w:r>
      <w:r w:rsidRPr="000B5B6C">
        <w:rPr>
          <w:lang w:val="es-CL"/>
        </w:rPr>
        <w:t xml:space="preserve">, </w:t>
      </w:r>
      <w:r w:rsidRPr="000B5B6C">
        <w:rPr>
          <w:i/>
          <w:iCs/>
          <w:lang w:val="es-CL"/>
        </w:rPr>
        <w:t>33</w:t>
      </w:r>
      <w:r w:rsidRPr="000B5B6C">
        <w:rPr>
          <w:lang w:val="es-CL"/>
        </w:rPr>
        <w:t>(2), 469–488. https://doi.org/10.4067/S0718-090X2013000200003</w:t>
      </w:r>
    </w:p>
    <w:p w14:paraId="504FBC07" w14:textId="77777777" w:rsidR="008C4EB1" w:rsidRDefault="008C4EB1" w:rsidP="008C4EB1">
      <w:pPr>
        <w:pStyle w:val="Bibliography"/>
      </w:pPr>
      <w:r w:rsidRPr="000B5B6C">
        <w:rPr>
          <w:lang w:val="es-CL"/>
        </w:rPr>
        <w:t xml:space="preserve">Castillo, J. C., Salgado, M., Carrasco, K., and Laffert, A. (2024). </w:t>
      </w:r>
      <w:r>
        <w:t xml:space="preserve">The Socialization of Meritocracy and Market Justice Preferences at School. </w:t>
      </w:r>
      <w:r>
        <w:rPr>
          <w:i/>
          <w:iCs/>
        </w:rPr>
        <w:t>Societies</w:t>
      </w:r>
      <w:r>
        <w:t xml:space="preserve">, </w:t>
      </w:r>
      <w:r>
        <w:rPr>
          <w:i/>
          <w:iCs/>
        </w:rPr>
        <w:t>14</w:t>
      </w:r>
      <w:r>
        <w:t>(11), 214. https://doi.org/10.3390/soc14110214</w:t>
      </w:r>
    </w:p>
    <w:p w14:paraId="1DED37DB" w14:textId="77777777" w:rsidR="008C4EB1" w:rsidRDefault="008C4EB1" w:rsidP="008C4EB1">
      <w:pPr>
        <w:pStyle w:val="Bibliography"/>
      </w:pPr>
      <w:r>
        <w:t xml:space="preserve">Chan, J., To, H.-P., and Chan, E. (2006). Reconsidering Social Cohesion: Developing a Definition and Analytical Framework for Empirical Research. </w:t>
      </w:r>
      <w:r>
        <w:rPr>
          <w:i/>
          <w:iCs/>
        </w:rPr>
        <w:t>Social Indicators Research</w:t>
      </w:r>
      <w:r>
        <w:t xml:space="preserve">, </w:t>
      </w:r>
      <w:r>
        <w:rPr>
          <w:i/>
          <w:iCs/>
        </w:rPr>
        <w:t>75</w:t>
      </w:r>
      <w:r>
        <w:t>(2), 273–302. https://doi.org/10.1007/s11205-005-2118-1</w:t>
      </w:r>
    </w:p>
    <w:p w14:paraId="308481D5" w14:textId="77777777" w:rsidR="008C4EB1" w:rsidRDefault="008C4EB1" w:rsidP="008C4EB1">
      <w:pPr>
        <w:pStyle w:val="Bibliography"/>
      </w:pPr>
      <w:r>
        <w:t xml:space="preserve">Christensen, M. E., Dinesen, P. T., and Sønderskov, K. M. (2024). Unequal and Unsupportive: Exposure to Poor People Weakens Support for Redistribution among the Rich. </w:t>
      </w:r>
      <w:r>
        <w:rPr>
          <w:i/>
          <w:iCs/>
        </w:rPr>
        <w:t>British Journal of Political Science</w:t>
      </w:r>
      <w:r>
        <w:t xml:space="preserve">, </w:t>
      </w:r>
      <w:r>
        <w:rPr>
          <w:i/>
          <w:iCs/>
        </w:rPr>
        <w:t>54</w:t>
      </w:r>
      <w:r>
        <w:t>(4), 1424–1434. https://doi.org/10.1017/S0007123424000061</w:t>
      </w:r>
    </w:p>
    <w:p w14:paraId="6675A7D6" w14:textId="77777777" w:rsidR="008C4EB1" w:rsidRPr="000B5B6C" w:rsidRDefault="008C4EB1" w:rsidP="008C4EB1">
      <w:pPr>
        <w:pStyle w:val="Bibliography"/>
        <w:rPr>
          <w:lang w:val="es-CL"/>
        </w:rPr>
      </w:pPr>
      <w:r>
        <w:t xml:space="preserve">Cobo-Arroyo, P. (2022). </w:t>
      </w:r>
      <w:r w:rsidRPr="000B5B6C">
        <w:rPr>
          <w:i/>
          <w:iCs/>
          <w:lang w:val="es-CL"/>
        </w:rPr>
        <w:t>Influencia de las redes sobre la percepción subjetiva de la distribución de ingresos en España</w:t>
      </w:r>
      <w:r w:rsidRPr="000B5B6C">
        <w:rPr>
          <w:lang w:val="es-CL"/>
        </w:rPr>
        <w:t xml:space="preserve"> (Universidade da Coruña). Universidade da Coruña. Retrieved from https://ruc.udc.es/dspace/handle/2183/36667</w:t>
      </w:r>
    </w:p>
    <w:p w14:paraId="4AB4A651" w14:textId="77777777" w:rsidR="008C4EB1" w:rsidRDefault="008C4EB1" w:rsidP="008C4EB1">
      <w:pPr>
        <w:pStyle w:val="Bibliography"/>
      </w:pPr>
      <w:r w:rsidRPr="000B5B6C">
        <w:rPr>
          <w:lang w:val="es-CL"/>
        </w:rPr>
        <w:t xml:space="preserve">Contreras, D., Otero, G., Díaz, J. D., and Suárez, N. (2019). </w:t>
      </w:r>
      <w:r>
        <w:t xml:space="preserve">Inequality in social capital in Chile: Assessing the importance of network size and contacts’ occupational </w:t>
      </w:r>
      <w:r>
        <w:lastRenderedPageBreak/>
        <w:t xml:space="preserve">prestige on status attainment. </w:t>
      </w:r>
      <w:r>
        <w:rPr>
          <w:i/>
          <w:iCs/>
        </w:rPr>
        <w:t>Social Networks</w:t>
      </w:r>
      <w:r>
        <w:t xml:space="preserve">, </w:t>
      </w:r>
      <w:r>
        <w:rPr>
          <w:i/>
          <w:iCs/>
        </w:rPr>
        <w:t>58</w:t>
      </w:r>
      <w:r>
        <w:t>, 59–77. https://doi.org/10.1016/j.socnet.2019.02.002</w:t>
      </w:r>
    </w:p>
    <w:p w14:paraId="0F5D48A5" w14:textId="77777777" w:rsidR="008C4EB1" w:rsidRDefault="008C4EB1" w:rsidP="008C4EB1">
      <w:pPr>
        <w:pStyle w:val="Bibliography"/>
      </w:pPr>
      <w:r>
        <w:t xml:space="preserve">Croissant, Y., and Millo, G. (2008). Panel data econometrics in R: The “plm” package. </w:t>
      </w:r>
      <w:r>
        <w:rPr>
          <w:i/>
          <w:iCs/>
        </w:rPr>
        <w:t>Journal of Statistical Software</w:t>
      </w:r>
      <w:r>
        <w:t xml:space="preserve">, </w:t>
      </w:r>
      <w:r>
        <w:rPr>
          <w:i/>
          <w:iCs/>
        </w:rPr>
        <w:t>27</w:t>
      </w:r>
      <w:r>
        <w:t>(2), 1–43. https://doi.org/10.18637/jss.v027.i02</w:t>
      </w:r>
    </w:p>
    <w:p w14:paraId="08B8A5E8" w14:textId="77777777" w:rsidR="008C4EB1" w:rsidRPr="000B5B6C" w:rsidRDefault="008C4EB1" w:rsidP="008C4EB1">
      <w:pPr>
        <w:pStyle w:val="Bibliography"/>
        <w:rPr>
          <w:lang w:val="de-DE"/>
        </w:rPr>
      </w:pPr>
      <w:r>
        <w:t xml:space="preserve">Delhey, J., Dragolov, G., and Boehnke, K. (2023). Social Cohesion in International Comparison: A Review of Key Measures and Findings. </w:t>
      </w:r>
      <w:r w:rsidRPr="000B5B6C">
        <w:rPr>
          <w:i/>
          <w:iCs/>
          <w:lang w:val="de-DE"/>
        </w:rPr>
        <w:t>KZfSS Kölner Zeitschrift Für Soziologie Und Sozialpsychologie</w:t>
      </w:r>
      <w:r w:rsidRPr="000B5B6C">
        <w:rPr>
          <w:lang w:val="de-DE"/>
        </w:rPr>
        <w:t xml:space="preserve">, </w:t>
      </w:r>
      <w:r w:rsidRPr="000B5B6C">
        <w:rPr>
          <w:i/>
          <w:iCs/>
          <w:lang w:val="de-DE"/>
        </w:rPr>
        <w:t>75</w:t>
      </w:r>
      <w:r w:rsidRPr="000B5B6C">
        <w:rPr>
          <w:lang w:val="de-DE"/>
        </w:rPr>
        <w:t>(1), 95–120. https://doi.org/10.1007/s11577-023-00891-6</w:t>
      </w:r>
    </w:p>
    <w:p w14:paraId="2EC15F18" w14:textId="77777777" w:rsidR="008C4EB1" w:rsidRDefault="008C4EB1" w:rsidP="008C4EB1">
      <w:pPr>
        <w:pStyle w:val="Bibliography"/>
      </w:pPr>
      <w:r>
        <w:t xml:space="preserve">Druckman, J. N., and Lupia, A. (2000). Preference Formation. </w:t>
      </w:r>
      <w:r>
        <w:rPr>
          <w:i/>
          <w:iCs/>
        </w:rPr>
        <w:t>Annual Review of Political Science</w:t>
      </w:r>
      <w:r>
        <w:t xml:space="preserve">, </w:t>
      </w:r>
      <w:r>
        <w:rPr>
          <w:i/>
          <w:iCs/>
        </w:rPr>
        <w:t>3</w:t>
      </w:r>
      <w:r>
        <w:t>(1), 1–24. https://doi.org/10.1146/annurev.polisci.3.1.1</w:t>
      </w:r>
    </w:p>
    <w:p w14:paraId="4B69DCD5" w14:textId="77777777" w:rsidR="008C4EB1" w:rsidRDefault="008C4EB1" w:rsidP="008C4EB1">
      <w:pPr>
        <w:pStyle w:val="Bibliography"/>
      </w:pPr>
      <w:r>
        <w:t xml:space="preserve">ELSOC, S. T. (2022). </w:t>
      </w:r>
      <w:r>
        <w:rPr>
          <w:i/>
          <w:iCs/>
        </w:rPr>
        <w:t>Estudio Longitudinal Social de Chile</w:t>
      </w:r>
      <w:r>
        <w:t xml:space="preserve"> [Data set]. Harvard Dataverse. https://doi.org/10.7910/dvn/0kirbj</w:t>
      </w:r>
    </w:p>
    <w:p w14:paraId="3749AB4D" w14:textId="77777777" w:rsidR="008C4EB1" w:rsidRPr="000B5B6C" w:rsidRDefault="008C4EB1" w:rsidP="008C4EB1">
      <w:pPr>
        <w:pStyle w:val="Bibliography"/>
        <w:rPr>
          <w:lang w:val="es-CL"/>
        </w:rPr>
      </w:pPr>
      <w:r w:rsidRPr="000B5B6C">
        <w:rPr>
          <w:lang w:val="es-CL"/>
        </w:rPr>
        <w:t xml:space="preserve">Espinoza, V., and Núñez, J. (2014). Movilidad ocupacional en Chile 2001-2009. ¿Desigualdad de ingresos con igualdad de oportunidades? </w:t>
      </w:r>
      <w:r w:rsidRPr="000B5B6C">
        <w:rPr>
          <w:i/>
          <w:iCs/>
          <w:lang w:val="es-CL"/>
        </w:rPr>
        <w:t>Revista Internacional de Sociología</w:t>
      </w:r>
      <w:r w:rsidRPr="000B5B6C">
        <w:rPr>
          <w:lang w:val="es-CL"/>
        </w:rPr>
        <w:t xml:space="preserve">, </w:t>
      </w:r>
      <w:r w:rsidRPr="000B5B6C">
        <w:rPr>
          <w:i/>
          <w:iCs/>
          <w:lang w:val="es-CL"/>
        </w:rPr>
        <w:t>72</w:t>
      </w:r>
      <w:r w:rsidRPr="000B5B6C">
        <w:rPr>
          <w:lang w:val="es-CL"/>
        </w:rPr>
        <w:t>(1), 57–82. https://doi.org/10.3989/ris.2011.11.08</w:t>
      </w:r>
    </w:p>
    <w:p w14:paraId="203D6D3C" w14:textId="77777777" w:rsidR="008C4EB1" w:rsidRDefault="008C4EB1" w:rsidP="008C4EB1">
      <w:pPr>
        <w:pStyle w:val="Bibliography"/>
      </w:pPr>
      <w:r>
        <w:t xml:space="preserve">Feld, S. L. (1981). The Focused Organization of Social Ties. </w:t>
      </w:r>
      <w:r>
        <w:rPr>
          <w:i/>
          <w:iCs/>
        </w:rPr>
        <w:t>American Journal of Sociology</w:t>
      </w:r>
      <w:r>
        <w:t xml:space="preserve">, </w:t>
      </w:r>
      <w:r>
        <w:rPr>
          <w:i/>
          <w:iCs/>
        </w:rPr>
        <w:t>86</w:t>
      </w:r>
      <w:r>
        <w:t>(5), 1015–1035.</w:t>
      </w:r>
    </w:p>
    <w:p w14:paraId="6F945C7A" w14:textId="77777777" w:rsidR="008C4EB1" w:rsidRDefault="008C4EB1" w:rsidP="008C4EB1">
      <w:pPr>
        <w:pStyle w:val="Bibliography"/>
      </w:pPr>
      <w:r>
        <w:t xml:space="preserve">Ferre, J. C. (2023). Welfare regimes in twenty-first-century Latin America. </w:t>
      </w:r>
      <w:r>
        <w:rPr>
          <w:i/>
          <w:iCs/>
        </w:rPr>
        <w:t>Journal of International and Comparative Social Policy</w:t>
      </w:r>
      <w:r>
        <w:t xml:space="preserve">, </w:t>
      </w:r>
      <w:r>
        <w:rPr>
          <w:i/>
          <w:iCs/>
        </w:rPr>
        <w:t>39</w:t>
      </w:r>
      <w:r>
        <w:t>(2), 101–127. https://doi.org/10.1017/ics.2023.16</w:t>
      </w:r>
    </w:p>
    <w:p w14:paraId="29ACB1AD" w14:textId="77777777" w:rsidR="008C4EB1" w:rsidRDefault="008C4EB1" w:rsidP="008C4EB1">
      <w:pPr>
        <w:pStyle w:val="Bibliography"/>
      </w:pPr>
      <w:r>
        <w:t xml:space="preserve">Ganzeboom,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p>
    <w:p w14:paraId="61290F57" w14:textId="77777777" w:rsidR="008C4EB1" w:rsidRDefault="008C4EB1" w:rsidP="008C4EB1">
      <w:pPr>
        <w:pStyle w:val="Bibliography"/>
      </w:pPr>
      <w:r>
        <w:t xml:space="preserve">Garreton, M., Basauri, A., and Valenzuela, L. (2020). Exploring the correlation between city size and residential segregation: Comparing Chilean cities with spatially </w:t>
      </w:r>
      <w:r>
        <w:lastRenderedPageBreak/>
        <w:t xml:space="preserve">unbiased indexes. </w:t>
      </w:r>
      <w:r>
        <w:rPr>
          <w:i/>
          <w:iCs/>
        </w:rPr>
        <w:t>Environment and Urbanization</w:t>
      </w:r>
      <w:r>
        <w:t xml:space="preserve">, </w:t>
      </w:r>
      <w:r>
        <w:rPr>
          <w:i/>
          <w:iCs/>
        </w:rPr>
        <w:t>32</w:t>
      </w:r>
      <w:r>
        <w:t>(2), 569–588. https://doi.org/10.1177/0956247820918983</w:t>
      </w:r>
    </w:p>
    <w:p w14:paraId="7F3E601B" w14:textId="77777777" w:rsidR="008C4EB1" w:rsidRDefault="008C4EB1" w:rsidP="008C4EB1">
      <w:pPr>
        <w:pStyle w:val="Bibliography"/>
      </w:pPr>
      <w:r>
        <w:t xml:space="preserve">Harvey, D. (2020). </w:t>
      </w:r>
      <w:r>
        <w:rPr>
          <w:i/>
          <w:iCs/>
        </w:rPr>
        <w:t>A brief history of neoliberalism</w:t>
      </w:r>
      <w:r>
        <w:t>. Oxford: Oxford University Press. https://doi.org/10.1093/oso/9780199283262.001.0001</w:t>
      </w:r>
    </w:p>
    <w:p w14:paraId="16F9F468" w14:textId="77777777" w:rsidR="008C4EB1" w:rsidRDefault="008C4EB1" w:rsidP="008C4EB1">
      <w:pPr>
        <w:pStyle w:val="Bibliography"/>
      </w:pPr>
      <w:r w:rsidRPr="000B5B6C">
        <w:rPr>
          <w:lang w:val="de-DE"/>
        </w:rPr>
        <w:t xml:space="preserve">Häusermann, S., Kurer, T., and Schwander, H. (2015). </w:t>
      </w:r>
      <w:r>
        <w:t xml:space="preserve">High-skilled outsiders? Labor market vulnerability, education and welfare state preferences. </w:t>
      </w:r>
      <w:r>
        <w:rPr>
          <w:i/>
          <w:iCs/>
        </w:rPr>
        <w:t>Socio-Economic Review</w:t>
      </w:r>
      <w:r>
        <w:t xml:space="preserve">, </w:t>
      </w:r>
      <w:r>
        <w:rPr>
          <w:i/>
          <w:iCs/>
        </w:rPr>
        <w:t>13</w:t>
      </w:r>
      <w:r>
        <w:t>(2), 235–258. https://doi.org/10.1093/ser/mwu026</w:t>
      </w:r>
    </w:p>
    <w:p w14:paraId="0E21F25B" w14:textId="77777777" w:rsidR="008C4EB1" w:rsidRDefault="008C4EB1" w:rsidP="008C4EB1">
      <w:pPr>
        <w:pStyle w:val="Bibliography"/>
      </w:pPr>
      <w:r>
        <w:t xml:space="preserve">Helgason, A. F., and Rehm, P. (2023). Long-term income trajectories and the evolution of political attitudes. </w:t>
      </w:r>
      <w:r>
        <w:rPr>
          <w:i/>
          <w:iCs/>
        </w:rPr>
        <w:t>European Journal of Political Research</w:t>
      </w:r>
      <w:r>
        <w:t xml:space="preserve">, </w:t>
      </w:r>
      <w:r>
        <w:rPr>
          <w:i/>
          <w:iCs/>
        </w:rPr>
        <w:t>62</w:t>
      </w:r>
      <w:r>
        <w:t>(1), 264–284. https://doi.org/10.1111/1475-6765.12506</w:t>
      </w:r>
    </w:p>
    <w:p w14:paraId="475B45DB" w14:textId="77777777" w:rsidR="008C4EB1" w:rsidRDefault="008C4EB1" w:rsidP="008C4EB1">
      <w:pPr>
        <w:pStyle w:val="Bibliography"/>
      </w:pPr>
      <w:r>
        <w:t xml:space="preserve">Helgason, A. F., and Rehm, P. (2024). Class experiences and the long-term evolution of economic values. </w:t>
      </w:r>
      <w:r>
        <w:rPr>
          <w:i/>
          <w:iCs/>
        </w:rPr>
        <w:t>Social Forces</w:t>
      </w:r>
      <w:r>
        <w:t>, soae135. https://doi.org/10.1093/sf/soae135</w:t>
      </w:r>
    </w:p>
    <w:p w14:paraId="1393B043" w14:textId="77777777" w:rsidR="008C4EB1" w:rsidRDefault="008C4EB1" w:rsidP="008C4EB1">
      <w:pPr>
        <w:pStyle w:val="Bibliography"/>
      </w:pPr>
      <w:r>
        <w:t xml:space="preserve">Hollstein, B. (2023). Personal network dynamics across the life course: A relationship-related structural approach. </w:t>
      </w:r>
      <w:r>
        <w:rPr>
          <w:i/>
          <w:iCs/>
        </w:rPr>
        <w:t>Advances in Life Course Research</w:t>
      </w:r>
      <w:r>
        <w:t xml:space="preserve">, </w:t>
      </w:r>
      <w:r>
        <w:rPr>
          <w:i/>
          <w:iCs/>
        </w:rPr>
        <w:t>58</w:t>
      </w:r>
      <w:r>
        <w:t>, 100567. https://doi.org/10.1016/j.alcr.2023.100567</w:t>
      </w:r>
    </w:p>
    <w:p w14:paraId="23DDBBAE" w14:textId="77777777" w:rsidR="008C4EB1" w:rsidRDefault="008C4EB1" w:rsidP="008C4EB1">
      <w:pPr>
        <w:pStyle w:val="Bibliography"/>
      </w:pPr>
      <w:r>
        <w:t xml:space="preserve">Huber, E., and Stephens, J. D. (2012). </w:t>
      </w:r>
      <w:r>
        <w:rPr>
          <w:i/>
          <w:iCs/>
        </w:rPr>
        <w:t>Democracy and the left: Social policy and inequality in Latin America</w:t>
      </w:r>
      <w:r>
        <w:t>. Chicago: University of Chicago Press.</w:t>
      </w:r>
    </w:p>
    <w:p w14:paraId="0C75C4AD" w14:textId="77777777" w:rsidR="008C4EB1" w:rsidRDefault="008C4EB1" w:rsidP="008C4EB1">
      <w:pPr>
        <w:pStyle w:val="Bibliography"/>
      </w:pPr>
      <w:r>
        <w:t xml:space="preserve">Immergut, E. M., and Schneider, S. M. (2020). Is it unfair for the affluent to be able to purchase “better” healthcare? Existential standards and institutional norms in healthcare attitudes across 28 countries. </w:t>
      </w:r>
      <w:r>
        <w:rPr>
          <w:i/>
          <w:iCs/>
        </w:rPr>
        <w:t>Social Science &amp; Medicine</w:t>
      </w:r>
      <w:r>
        <w:t xml:space="preserve">, </w:t>
      </w:r>
      <w:r>
        <w:rPr>
          <w:i/>
          <w:iCs/>
        </w:rPr>
        <w:t>267</w:t>
      </w:r>
      <w:r>
        <w:t>, 113146. https://doi.org/10.1016/j.socscimed.2020.113146</w:t>
      </w:r>
    </w:p>
    <w:p w14:paraId="1D06D8BF" w14:textId="77777777" w:rsidR="008C4EB1" w:rsidRDefault="008C4EB1" w:rsidP="008C4EB1">
      <w:pPr>
        <w:pStyle w:val="Bibliography"/>
      </w:pPr>
      <w:r>
        <w:t xml:space="preserve">Iturra-Sanhueza, J. (2025). Class-based network segregation, Economic Inequality, and Redistributive Preferences across societies. </w:t>
      </w:r>
      <w:r>
        <w:rPr>
          <w:i/>
          <w:iCs/>
        </w:rPr>
        <w:t>European Economic Review</w:t>
      </w:r>
      <w:r>
        <w:t>. https://doi.org/10.1093/esr/jcaf048</w:t>
      </w:r>
    </w:p>
    <w:p w14:paraId="2AB5DE32" w14:textId="77777777" w:rsidR="008C4EB1" w:rsidRDefault="008C4EB1" w:rsidP="008C4EB1">
      <w:pPr>
        <w:pStyle w:val="Bibliography"/>
      </w:pPr>
      <w:r>
        <w:lastRenderedPageBreak/>
        <w:t xml:space="preserve">Kahn, R. L., and Antonucci, T. C. (1980). Convoys over the life course: Attachment, roles, and social support. In P. B. Baltes and G. B. Orville (Eds.), </w:t>
      </w:r>
      <w:r>
        <w:rPr>
          <w:i/>
          <w:iCs/>
        </w:rPr>
        <w:t>Life-span development and behavior</w:t>
      </w:r>
      <w:r>
        <w:t xml:space="preserve"> (pp. 253–286). Academic Press.</w:t>
      </w:r>
    </w:p>
    <w:p w14:paraId="1E19F098" w14:textId="77777777" w:rsidR="008C4EB1" w:rsidRDefault="008C4EB1" w:rsidP="008C4EB1">
      <w:pPr>
        <w:pStyle w:val="Bibliography"/>
      </w:pPr>
      <w:r>
        <w:t xml:space="preserve">Kluegel, J. R., Mason, D. S., and Wegener, B. (1999). The Legitimation of Capitalism in the Postcommunist Transition Public Opinion about Market Justice, 1991—1996. </w:t>
      </w:r>
      <w:r>
        <w:rPr>
          <w:i/>
          <w:iCs/>
        </w:rPr>
        <w:t>European Sociological Review</w:t>
      </w:r>
      <w:r>
        <w:t xml:space="preserve">, </w:t>
      </w:r>
      <w:r>
        <w:rPr>
          <w:i/>
          <w:iCs/>
        </w:rPr>
        <w:t>15</w:t>
      </w:r>
      <w:r>
        <w:t>(3), 251–283. https://doi.org/10.1093/oxfordjournals.esr.a018263</w:t>
      </w:r>
    </w:p>
    <w:p w14:paraId="642FB52F" w14:textId="77777777" w:rsidR="008C4EB1" w:rsidRDefault="008C4EB1" w:rsidP="008C4EB1">
      <w:pPr>
        <w:pStyle w:val="Bibliography"/>
      </w:pPr>
      <w:r>
        <w:t xml:space="preserve">Kluegel, J. R., and Smith, E. R. (1981). Beliefs About Stratification. </w:t>
      </w:r>
      <w:r>
        <w:rPr>
          <w:i/>
          <w:iCs/>
        </w:rPr>
        <w:t>Annual Review of Sociology</w:t>
      </w:r>
      <w:r>
        <w:t>, 29–56.</w:t>
      </w:r>
    </w:p>
    <w:p w14:paraId="1546AE3C" w14:textId="77777777" w:rsidR="008C4EB1" w:rsidRDefault="008C4EB1" w:rsidP="008C4EB1">
      <w:pPr>
        <w:pStyle w:val="Bibliography"/>
      </w:pPr>
      <w:r>
        <w:t xml:space="preserve">Koopmans, R., and Schaeffer, M. (2015). Relational diversity and neighbourhood cohesion. Unpacking variety, balance and in-group size. </w:t>
      </w:r>
      <w:r>
        <w:rPr>
          <w:i/>
          <w:iCs/>
        </w:rPr>
        <w:t>Social Science Research</w:t>
      </w:r>
      <w:r>
        <w:t xml:space="preserve">, </w:t>
      </w:r>
      <w:r>
        <w:rPr>
          <w:i/>
          <w:iCs/>
        </w:rPr>
        <w:t>53</w:t>
      </w:r>
      <w:r>
        <w:t>, 162–176. https://doi.org/10.1016/j.ssresearch.2015.05.010</w:t>
      </w:r>
    </w:p>
    <w:p w14:paraId="5396E553" w14:textId="77777777" w:rsidR="008C4EB1" w:rsidRDefault="008C4EB1" w:rsidP="008C4EB1">
      <w:pPr>
        <w:pStyle w:val="Bibliography"/>
      </w:pPr>
      <w:r>
        <w:t xml:space="preserve">Koos, S., and Sachweh, P. (2019). The moral economies of market societies: Popular attitudes towards market competition, redistribution and reciprocity in comparative perspective. </w:t>
      </w:r>
      <w:r>
        <w:rPr>
          <w:i/>
          <w:iCs/>
        </w:rPr>
        <w:t>Socio-Economic Review</w:t>
      </w:r>
      <w:r>
        <w:t xml:space="preserve">, </w:t>
      </w:r>
      <w:r>
        <w:rPr>
          <w:i/>
          <w:iCs/>
        </w:rPr>
        <w:t>17</w:t>
      </w:r>
      <w:r>
        <w:t>(4), 793–821. https://doi.org/10.1093/ser/mwx045</w:t>
      </w:r>
    </w:p>
    <w:p w14:paraId="5EE87D76" w14:textId="77777777" w:rsidR="008C4EB1" w:rsidRDefault="008C4EB1" w:rsidP="008C4EB1">
      <w:pPr>
        <w:pStyle w:val="Bibliography"/>
      </w:pPr>
      <w:r>
        <w:t xml:space="preserve">Kulin, J., and Svallfors, S. (2013). Class, values, and attitudes towards redistribution: A European comparison. </w:t>
      </w:r>
      <w:r>
        <w:rPr>
          <w:i/>
          <w:iCs/>
        </w:rPr>
        <w:t>European Sociological Review</w:t>
      </w:r>
      <w:r>
        <w:t xml:space="preserve">, </w:t>
      </w:r>
      <w:r>
        <w:rPr>
          <w:i/>
          <w:iCs/>
        </w:rPr>
        <w:t>29</w:t>
      </w:r>
      <w:r>
        <w:t>(2), 155–167. https://doi.org/10.1093/esr/jcr046</w:t>
      </w:r>
    </w:p>
    <w:p w14:paraId="18220FAE" w14:textId="77777777" w:rsidR="008C4EB1" w:rsidRDefault="008C4EB1" w:rsidP="008C4EB1">
      <w:pPr>
        <w:pStyle w:val="Bibliography"/>
      </w:pPr>
      <w:r>
        <w:t xml:space="preserve">Lancee, B. (2017). Diversity, trust and social cohesion. In European Commission. Directorate General for Research and Innovation., </w:t>
      </w:r>
      <w:r>
        <w:rPr>
          <w:i/>
          <w:iCs/>
        </w:rPr>
        <w:t>Trust at Risk: Implications for EU Policies and Institutions</w:t>
      </w:r>
      <w:r>
        <w:t xml:space="preserve"> (p. rust in Justice In: Heiko Prange-Gstöhl 152).</w:t>
      </w:r>
    </w:p>
    <w:p w14:paraId="6DC04AB1" w14:textId="77777777" w:rsidR="008C4EB1" w:rsidRDefault="008C4EB1" w:rsidP="008C4EB1">
      <w:pPr>
        <w:pStyle w:val="Bibliography"/>
      </w:pPr>
      <w:r>
        <w:t xml:space="preserve">Lane, R. E. (1986). Market Justice, Political Justice. </w:t>
      </w:r>
      <w:r>
        <w:rPr>
          <w:i/>
          <w:iCs/>
        </w:rPr>
        <w:t>American Political Science Review</w:t>
      </w:r>
      <w:r>
        <w:t xml:space="preserve">, </w:t>
      </w:r>
      <w:r>
        <w:rPr>
          <w:i/>
          <w:iCs/>
        </w:rPr>
        <w:t>80</w:t>
      </w:r>
      <w:r>
        <w:t>(2), 383–402. https://doi.org/10.2307/1958264</w:t>
      </w:r>
    </w:p>
    <w:p w14:paraId="04FE6942" w14:textId="77777777" w:rsidR="008C4EB1" w:rsidRDefault="008C4EB1" w:rsidP="008C4EB1">
      <w:pPr>
        <w:pStyle w:val="Bibliography"/>
      </w:pPr>
      <w:r>
        <w:lastRenderedPageBreak/>
        <w:t xml:space="preserve">Langsæther, P. E., Evans, G., and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(2), 958–967. https://doi.org/10.1017/S0007123420000599</w:t>
      </w:r>
    </w:p>
    <w:p w14:paraId="2F18AD51" w14:textId="77777777" w:rsidR="008C4EB1" w:rsidRDefault="008C4EB1" w:rsidP="008C4EB1">
      <w:pPr>
        <w:pStyle w:val="Bibliography"/>
      </w:pPr>
      <w:r>
        <w:t xml:space="preserve">Lee, J.-S., and Stacey, M. (2023). Fairness perceptions of income-based educational inequality: The impact of social class and ideological orientations. </w:t>
      </w:r>
      <w:r>
        <w:rPr>
          <w:i/>
          <w:iCs/>
        </w:rPr>
        <w:t>Australian Journal of Social Issues</w:t>
      </w:r>
      <w:r>
        <w:t xml:space="preserve">, </w:t>
      </w:r>
      <w:r>
        <w:rPr>
          <w:i/>
          <w:iCs/>
        </w:rPr>
        <w:t>00</w:t>
      </w:r>
      <w:r>
        <w:t>(n/a), 1–22. https://doi.org/10.1002/ajs4.321</w:t>
      </w:r>
    </w:p>
    <w:p w14:paraId="60BDD9EF" w14:textId="77777777" w:rsidR="008C4EB1" w:rsidRDefault="008C4EB1" w:rsidP="008C4EB1">
      <w:pPr>
        <w:pStyle w:val="Bibliography"/>
      </w:pPr>
      <w:r>
        <w:t xml:space="preserve">Lin, N. (2001). Building a Network Theory of Social Capital. In N. Lin, K. Cook, and R. S. Burt, </w:t>
      </w:r>
      <w:r>
        <w:rPr>
          <w:i/>
          <w:iCs/>
        </w:rPr>
        <w:t>Social Capital</w:t>
      </w:r>
      <w:r>
        <w:t xml:space="preserve"> (1st ed., pp. 3–28). Routledge. https://doi.org/10.4324/9781315129457-1</w:t>
      </w:r>
    </w:p>
    <w:p w14:paraId="6E5E9A09" w14:textId="77777777" w:rsidR="008C4EB1" w:rsidRDefault="008C4EB1" w:rsidP="008C4EB1">
      <w:pPr>
        <w:pStyle w:val="Bibliography"/>
      </w:pPr>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(7), 887–910. https://doi.org/10.1111/spol.12105</w:t>
      </w:r>
    </w:p>
    <w:p w14:paraId="3E4840E8" w14:textId="77777777" w:rsidR="008C4EB1" w:rsidRDefault="008C4EB1" w:rsidP="008C4EB1">
      <w:pPr>
        <w:pStyle w:val="Bibliography"/>
      </w:pPr>
      <w:r>
        <w:t xml:space="preserve">Lindh, A., and Andersson, A. B. (2024). Social networks and distributive conflict: The class divide in social ties and attitudes to income inequality across 29 countries. </w:t>
      </w:r>
      <w:r>
        <w:rPr>
          <w:i/>
          <w:iCs/>
        </w:rPr>
        <w:t>European Sociological Review</w:t>
      </w:r>
      <w:r>
        <w:t>, jcae039. https://doi.org/10.1093/esr/jcae039</w:t>
      </w:r>
    </w:p>
    <w:p w14:paraId="74EEE503" w14:textId="77777777" w:rsidR="008C4EB1" w:rsidRDefault="008C4EB1" w:rsidP="008C4EB1">
      <w:pPr>
        <w:pStyle w:val="Bibliography"/>
      </w:pPr>
      <w:r>
        <w:t xml:space="preserve">Lindh, A., Andersson, A. B., and Völker, B. (2021). The Missing Link: Network Influences on Class Divides in Political Attitudes. </w:t>
      </w:r>
      <w:r>
        <w:rPr>
          <w:i/>
          <w:iCs/>
        </w:rPr>
        <w:t>European Sociological Review</w:t>
      </w:r>
      <w:r>
        <w:t xml:space="preserve">, </w:t>
      </w:r>
      <w:r>
        <w:rPr>
          <w:i/>
          <w:iCs/>
        </w:rPr>
        <w:t>37</w:t>
      </w:r>
      <w:r>
        <w:t>(5), 695–712. https://doi.org/10.1093/esr/jcab010</w:t>
      </w:r>
    </w:p>
    <w:p w14:paraId="0BD4910A" w14:textId="77777777" w:rsidR="008C4EB1" w:rsidRDefault="008C4EB1" w:rsidP="008C4EB1">
      <w:pPr>
        <w:pStyle w:val="Bibliography"/>
      </w:pPr>
      <w:r>
        <w:t xml:space="preserve">Lindh, A., and McCall, L. (2020). Class Position and Political Opinion in Rich Democracies. </w:t>
      </w:r>
      <w:r>
        <w:rPr>
          <w:i/>
          <w:iCs/>
        </w:rPr>
        <w:t>Annual Review of Sociology</w:t>
      </w:r>
      <w:r>
        <w:t xml:space="preserve">, </w:t>
      </w:r>
      <w:r>
        <w:rPr>
          <w:i/>
          <w:iCs/>
        </w:rPr>
        <w:t>46</w:t>
      </w:r>
      <w:r>
        <w:t>(1), 419–441. https://doi.org/10.1146/annurev-soc-121919-054609</w:t>
      </w:r>
    </w:p>
    <w:p w14:paraId="74CCE44D" w14:textId="77777777" w:rsidR="008C4EB1" w:rsidRDefault="008C4EB1" w:rsidP="008C4EB1">
      <w:pPr>
        <w:pStyle w:val="Bibliography"/>
      </w:pPr>
      <w:r>
        <w:t xml:space="preserve">Londoño-Vélez, J. (2022). The impact of diversity on perceptions of income distribution and preferences for redistribution. </w:t>
      </w:r>
      <w:r>
        <w:rPr>
          <w:i/>
          <w:iCs/>
        </w:rPr>
        <w:t>Journal of Public Economics</w:t>
      </w:r>
      <w:r>
        <w:t xml:space="preserve">, </w:t>
      </w:r>
      <w:r>
        <w:rPr>
          <w:i/>
          <w:iCs/>
        </w:rPr>
        <w:t>214</w:t>
      </w:r>
      <w:r>
        <w:t>, 104732. https://doi.org/10.1016/j.jpubeco.2022.104732</w:t>
      </w:r>
    </w:p>
    <w:p w14:paraId="735F5C99" w14:textId="77777777" w:rsidR="008C4EB1" w:rsidRDefault="008C4EB1" w:rsidP="008C4EB1">
      <w:pPr>
        <w:pStyle w:val="Bibliography"/>
      </w:pPr>
      <w:r>
        <w:lastRenderedPageBreak/>
        <w:t xml:space="preserve">Maldonado, L., Olivos, F., Castillo, J. C., Atria, J., and Azar, A. (2019). Risk Exposure, Humanitarianism and Willingness to Pay for Universal Healthcare: A Cross-National Analysis of 28 Countries. </w:t>
      </w:r>
      <w:r>
        <w:rPr>
          <w:i/>
          <w:iCs/>
        </w:rPr>
        <w:t>Social Justice Research</w:t>
      </w:r>
      <w:r>
        <w:t xml:space="preserve">, </w:t>
      </w:r>
      <w:r>
        <w:rPr>
          <w:i/>
          <w:iCs/>
        </w:rPr>
        <w:t>32</w:t>
      </w:r>
      <w:r>
        <w:t>, 349 283. https://doi.org/10.1007/s11211-019-00336-6</w:t>
      </w:r>
    </w:p>
    <w:p w14:paraId="2C7058E3" w14:textId="77777777" w:rsidR="008C4EB1" w:rsidRDefault="008C4EB1" w:rsidP="008C4EB1">
      <w:pPr>
        <w:pStyle w:val="Bibliography"/>
      </w:pPr>
      <w:r>
        <w:t xml:space="preserve">McCall, L., Burk, D., Laperrière, M., and Richeson, J. A. (2017). Exposure to Rising Inequality Shapes Americans’ Opportunity Beliefs and Policy Support. </w:t>
      </w:r>
      <w:r>
        <w:rPr>
          <w:i/>
          <w:iCs/>
        </w:rPr>
        <w:t>Proceedings of the National Academy of Sciences</w:t>
      </w:r>
      <w:r>
        <w:t>, 201706253.</w:t>
      </w:r>
    </w:p>
    <w:p w14:paraId="6D0EC751" w14:textId="77777777" w:rsidR="008C4EB1" w:rsidRDefault="008C4EB1" w:rsidP="008C4EB1">
      <w:pPr>
        <w:pStyle w:val="Bibliography"/>
      </w:pPr>
      <w:r>
        <w:t xml:space="preserve">Mijs, J. (2018). Inequality Is a Problem of Inference: How People Solve the Social Puzzle of Unequal Outcomes. </w:t>
      </w:r>
      <w:r>
        <w:rPr>
          <w:i/>
          <w:iCs/>
        </w:rPr>
        <w:t>Societies</w:t>
      </w:r>
      <w:r>
        <w:t xml:space="preserve">, </w:t>
      </w:r>
      <w:r>
        <w:rPr>
          <w:i/>
          <w:iCs/>
        </w:rPr>
        <w:t>8</w:t>
      </w:r>
      <w:r>
        <w:t>(3), 64. https://doi.org/10.3390/soc8030064</w:t>
      </w:r>
    </w:p>
    <w:p w14:paraId="6B0159DF" w14:textId="77777777" w:rsidR="008C4EB1" w:rsidRDefault="008C4EB1" w:rsidP="008C4EB1">
      <w:pPr>
        <w:pStyle w:val="Bibliography"/>
      </w:pPr>
      <w:r>
        <w:t xml:space="preserve">Mijs, J., and Usmani, A. (2024). How Segregation Ruins Inference: A Sociological Simulation of the Inequality Equilibrium. </w:t>
      </w:r>
      <w:r>
        <w:rPr>
          <w:i/>
          <w:iCs/>
        </w:rPr>
        <w:t>Social Forces</w:t>
      </w:r>
      <w:r>
        <w:t xml:space="preserve">, </w:t>
      </w:r>
      <w:r>
        <w:rPr>
          <w:i/>
          <w:iCs/>
        </w:rPr>
        <w:t>103</w:t>
      </w:r>
      <w:r>
        <w:t>(1), 45–65. https://doi.org/10.1093/sf/soae033</w:t>
      </w:r>
    </w:p>
    <w:p w14:paraId="2DE1AC22" w14:textId="77777777" w:rsidR="008C4EB1" w:rsidRDefault="008C4EB1" w:rsidP="008C4EB1">
      <w:pPr>
        <w:pStyle w:val="Bibliography"/>
      </w:pPr>
      <w:r>
        <w:t xml:space="preserve">Otero, G., and Mendoza, M. (2023). The Power of Diversity: Class, Networks and Attitudes Towards Inequality. </w:t>
      </w:r>
      <w:r>
        <w:rPr>
          <w:i/>
          <w:iCs/>
        </w:rPr>
        <w:t>Sociology</w:t>
      </w:r>
      <w:r>
        <w:t>, 00380385231217625. https://doi.org/10.1177/00380385231217625</w:t>
      </w:r>
    </w:p>
    <w:p w14:paraId="45957263" w14:textId="77777777" w:rsidR="008C4EB1" w:rsidRDefault="008C4EB1" w:rsidP="008C4EB1">
      <w:pPr>
        <w:pStyle w:val="Bibliography"/>
      </w:pPr>
      <w:r>
        <w:t xml:space="preserve">Otero, G., Völker, B., and Rözer, J. (2021). Open But Segregated? Class Divisions And the Network Structure of Social Capital in Chile. </w:t>
      </w:r>
      <w:r>
        <w:rPr>
          <w:i/>
          <w:iCs/>
        </w:rPr>
        <w:t>Social Forces</w:t>
      </w:r>
      <w:r>
        <w:t xml:space="preserve">, </w:t>
      </w:r>
      <w:r>
        <w:rPr>
          <w:i/>
          <w:iCs/>
        </w:rPr>
        <w:t>100</w:t>
      </w:r>
      <w:r>
        <w:t>(2), 649–679. https://doi.org/10.1093/sf/soab005</w:t>
      </w:r>
    </w:p>
    <w:p w14:paraId="1152183C" w14:textId="77777777" w:rsidR="008C4EB1" w:rsidRDefault="008C4EB1" w:rsidP="008C4EB1">
      <w:pPr>
        <w:pStyle w:val="Bibliography"/>
      </w:pPr>
      <w:r>
        <w:t xml:space="preserve">Otero, G., Völker, B., and Rözer, J. (2022). Space and social capital: Social contacts in a segregated city. </w:t>
      </w:r>
      <w:r>
        <w:rPr>
          <w:i/>
          <w:iCs/>
        </w:rPr>
        <w:t>Urban Geography</w:t>
      </w:r>
      <w:r>
        <w:t xml:space="preserve">, </w:t>
      </w:r>
      <w:r>
        <w:rPr>
          <w:i/>
          <w:iCs/>
        </w:rPr>
        <w:t>43</w:t>
      </w:r>
      <w:r>
        <w:t>(10), 1638–1661. https://doi.org/10.1080/02723638.2021.1950982</w:t>
      </w:r>
    </w:p>
    <w:p w14:paraId="1578683A" w14:textId="77777777" w:rsidR="008C4EB1" w:rsidRDefault="008C4EB1" w:rsidP="008C4EB1">
      <w:pPr>
        <w:pStyle w:val="Bibliography"/>
      </w:pPr>
      <w:r>
        <w:t xml:space="preserve">Otero, G., Völker, B., Rözer, J., and Mollenhorst, G. (2022). The lives of others: Class divisions, network segregation, and attachment to society in Chile. </w:t>
      </w:r>
      <w:r>
        <w:rPr>
          <w:i/>
          <w:iCs/>
        </w:rPr>
        <w:t>The British Journal of Sociology</w:t>
      </w:r>
      <w:r>
        <w:t xml:space="preserve">, </w:t>
      </w:r>
      <w:r>
        <w:rPr>
          <w:i/>
          <w:iCs/>
        </w:rPr>
        <w:t>73</w:t>
      </w:r>
      <w:r>
        <w:t>(4), 754–785. https://doi.org/10.1111/1468-4446.12966</w:t>
      </w:r>
    </w:p>
    <w:p w14:paraId="474335E9" w14:textId="77777777" w:rsidR="008C4EB1" w:rsidRDefault="008C4EB1" w:rsidP="008C4EB1">
      <w:pPr>
        <w:pStyle w:val="Bibliography"/>
      </w:pPr>
      <w:r>
        <w:lastRenderedPageBreak/>
        <w:t xml:space="preserve">Otero, G., Völker, B., Rözer, J., and Mollenhorst, G. (2024). Differences in access to social capital across societies. </w:t>
      </w:r>
      <w:r>
        <w:rPr>
          <w:i/>
          <w:iCs/>
        </w:rPr>
        <w:t>European Sociological Review</w:t>
      </w:r>
      <w:r>
        <w:t xml:space="preserve">, </w:t>
      </w:r>
      <w:r>
        <w:rPr>
          <w:i/>
          <w:iCs/>
        </w:rPr>
        <w:t>40</w:t>
      </w:r>
      <w:r>
        <w:t>(3), 493–510. https://doi.org/10.1093/esr/jcad035</w:t>
      </w:r>
    </w:p>
    <w:p w14:paraId="7878185D" w14:textId="77777777" w:rsidR="008C4EB1" w:rsidRDefault="008C4EB1" w:rsidP="008C4EB1">
      <w:pPr>
        <w:pStyle w:val="Bibliography"/>
      </w:pPr>
      <w:r>
        <w:t xml:space="preserve">Paskov, M., and Weisstanner, D. (2022). Cross-Class Embeddedness through Family Ties and Support for Income Redistribution. </w:t>
      </w:r>
      <w:r>
        <w:rPr>
          <w:i/>
          <w:iCs/>
        </w:rPr>
        <w:t>European Sociological Review</w:t>
      </w:r>
      <w:r>
        <w:t xml:space="preserve">, </w:t>
      </w:r>
      <w:r>
        <w:rPr>
          <w:i/>
          <w:iCs/>
        </w:rPr>
        <w:t>38</w:t>
      </w:r>
      <w:r>
        <w:t>(2), 286–303. https://doi.org/10.1093/esr/jcab040</w:t>
      </w:r>
    </w:p>
    <w:p w14:paraId="324B9721" w14:textId="77777777" w:rsidR="008C4EB1" w:rsidRDefault="008C4EB1" w:rsidP="008C4EB1">
      <w:pPr>
        <w:pStyle w:val="Bibliography"/>
      </w:pPr>
      <w:r>
        <w:t xml:space="preserve">Plaza, A., Beck, G., Iturra-Sanhueza, J., Otero, G., and Muñoz, B. (2026). Networked inequality: The role of changes in network heterogeneity and network size in attitudes towards inequality. </w:t>
      </w:r>
      <w:r>
        <w:rPr>
          <w:i/>
          <w:iCs/>
        </w:rPr>
        <w:t>Social Networks</w:t>
      </w:r>
      <w:r>
        <w:t xml:space="preserve">, </w:t>
      </w:r>
      <w:r>
        <w:rPr>
          <w:i/>
          <w:iCs/>
        </w:rPr>
        <w:t>84</w:t>
      </w:r>
      <w:r>
        <w:t>, 27–45. https://doi.org/10.1016/j.socnet.2025.07.008</w:t>
      </w:r>
    </w:p>
    <w:p w14:paraId="18F1A3D5" w14:textId="77777777" w:rsidR="008C4EB1" w:rsidRPr="000B5B6C" w:rsidRDefault="008C4EB1" w:rsidP="008C4EB1">
      <w:pPr>
        <w:pStyle w:val="Bibliography"/>
        <w:rPr>
          <w:lang w:val="es-CL"/>
        </w:rPr>
      </w:pPr>
      <w:r>
        <w:t xml:space="preserve">Rodríguez Weber, J. E. (2017). </w:t>
      </w:r>
      <w:r w:rsidRPr="000B5B6C">
        <w:rPr>
          <w:i/>
          <w:iCs/>
          <w:lang w:val="es-CL"/>
        </w:rPr>
        <w:t>Desarrollo y desigualdad en Chile (1850-2009): Historia de su economía política</w:t>
      </w:r>
      <w:r w:rsidRPr="000B5B6C">
        <w:rPr>
          <w:lang w:val="es-CL"/>
        </w:rPr>
        <w:t>.</w:t>
      </w:r>
    </w:p>
    <w:p w14:paraId="0926E9DD" w14:textId="77777777" w:rsidR="008C4EB1" w:rsidRDefault="008C4EB1" w:rsidP="008C4EB1">
      <w:pPr>
        <w:pStyle w:val="Bibliography"/>
      </w:pPr>
      <w:r>
        <w:t xml:space="preserve">Rözer, J. J., Hofstra, B., Brashears, M. E., and Völker, B. (2020). Does unemployment lead to isolation? The consequences of unemployment for social networks. </w:t>
      </w:r>
      <w:r>
        <w:rPr>
          <w:i/>
          <w:iCs/>
        </w:rPr>
        <w:t>Social Networks</w:t>
      </w:r>
      <w:r>
        <w:t xml:space="preserve">, </w:t>
      </w:r>
      <w:r>
        <w:rPr>
          <w:i/>
          <w:iCs/>
        </w:rPr>
        <w:t>63</w:t>
      </w:r>
      <w:r>
        <w:t>, 100–111. https://doi.org/10.1016/j.socnet.2020.06.002</w:t>
      </w:r>
    </w:p>
    <w:p w14:paraId="34E681B4" w14:textId="77777777" w:rsidR="008C4EB1" w:rsidRDefault="008C4EB1" w:rsidP="008C4EB1">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(3), 419–445. https://doi.org/10.1093/ser/mwr023</w:t>
      </w:r>
    </w:p>
    <w:p w14:paraId="0A0A95A2" w14:textId="77777777" w:rsidR="008C4EB1" w:rsidRDefault="008C4EB1" w:rsidP="008C4EB1">
      <w:pPr>
        <w:pStyle w:val="Bibliography"/>
      </w:pPr>
      <w:r>
        <w:t xml:space="preserve">Sapin, M., Joye, D., and Wolf, C. (2020). The ISSP 2017 social networks and social resources module. </w:t>
      </w:r>
      <w:r>
        <w:rPr>
          <w:i/>
          <w:iCs/>
        </w:rPr>
        <w:t>International Journal of Sociology</w:t>
      </w:r>
      <w:r>
        <w:t xml:space="preserve">, </w:t>
      </w:r>
      <w:r>
        <w:rPr>
          <w:i/>
          <w:iCs/>
        </w:rPr>
        <w:t>50</w:t>
      </w:r>
      <w:r>
        <w:t>(1), 1–25. https://doi.org/10.1080/00207659.2020.1712157</w:t>
      </w:r>
    </w:p>
    <w:p w14:paraId="531B2704" w14:textId="77777777" w:rsidR="008C4EB1" w:rsidRDefault="008C4EB1" w:rsidP="008C4EB1">
      <w:pPr>
        <w:pStyle w:val="Bibliography"/>
      </w:pPr>
      <w:r>
        <w:t xml:space="preserve">Shepelak, N. J., and Alwin, D. F. (1986). Beliefs about inequality and perceptions of distributive justice. </w:t>
      </w:r>
      <w:r>
        <w:rPr>
          <w:i/>
          <w:iCs/>
        </w:rPr>
        <w:t>American Sociological Review</w:t>
      </w:r>
      <w:r>
        <w:t>, 30–46.</w:t>
      </w:r>
    </w:p>
    <w:p w14:paraId="53B4A303" w14:textId="77777777" w:rsidR="008C4EB1" w:rsidRDefault="008C4EB1" w:rsidP="008C4EB1">
      <w:pPr>
        <w:pStyle w:val="Bibliography"/>
      </w:pPr>
      <w:r>
        <w:lastRenderedPageBreak/>
        <w:t xml:space="preserve">Somma, N. M., Bargsted, M., Disi Pavlic, R., and Medel, R. M. (2021). No water in the oasis: The Chilean Spring of 2019–2020. </w:t>
      </w:r>
      <w:r>
        <w:rPr>
          <w:i/>
          <w:iCs/>
        </w:rPr>
        <w:t>Social Movement Studies</w:t>
      </w:r>
      <w:r>
        <w:t xml:space="preserve">, </w:t>
      </w:r>
      <w:r>
        <w:rPr>
          <w:i/>
          <w:iCs/>
        </w:rPr>
        <w:t>20</w:t>
      </w:r>
      <w:r>
        <w:t>(4), 495–502. https://doi.org/10.1080/14742837.2020.1727737</w:t>
      </w:r>
    </w:p>
    <w:p w14:paraId="53DE8CC5" w14:textId="77777777" w:rsidR="008C4EB1" w:rsidRDefault="008C4EB1" w:rsidP="008C4EB1">
      <w:pPr>
        <w:pStyle w:val="Bibliography"/>
      </w:pPr>
      <w:r>
        <w:t xml:space="preserve">Stegmueller, D. (2013). Modeling Dynamic Preferences: A Bayesian Robust Dynamic Latent Ordered Probit Model. </w:t>
      </w:r>
      <w:r>
        <w:rPr>
          <w:i/>
          <w:iCs/>
        </w:rPr>
        <w:t>Political Analysis</w:t>
      </w:r>
      <w:r>
        <w:t xml:space="preserve">, </w:t>
      </w:r>
      <w:r>
        <w:rPr>
          <w:i/>
          <w:iCs/>
        </w:rPr>
        <w:t>21</w:t>
      </w:r>
      <w:r>
        <w:t>(3), 314–333.</w:t>
      </w:r>
    </w:p>
    <w:p w14:paraId="1BCB43E0" w14:textId="77777777" w:rsidR="008C4EB1" w:rsidRDefault="008C4EB1" w:rsidP="008C4EB1">
      <w:pPr>
        <w:pStyle w:val="Bibliography"/>
      </w:pPr>
      <w:r>
        <w:t xml:space="preserve">Svallfors, S. (2006). </w:t>
      </w:r>
      <w:r>
        <w:rPr>
          <w:i/>
          <w:iCs/>
        </w:rPr>
        <w:t>The moral economy of class: Class and attitudes in comparative perspective</w:t>
      </w:r>
      <w:r>
        <w:t>. Stanford University Press. https://doi.org/10.1515/9781503625624</w:t>
      </w:r>
    </w:p>
    <w:p w14:paraId="5FF7A7D6" w14:textId="77777777" w:rsidR="008C4EB1" w:rsidRDefault="008C4EB1" w:rsidP="008C4EB1">
      <w:pPr>
        <w:pStyle w:val="Bibliography"/>
      </w:pPr>
      <w:r>
        <w:t xml:space="preserve">Svallfors, S. (2007). Class and Attitudes to Market Inequality. In S. Svallfors (Ed.), </w:t>
      </w:r>
      <w:r>
        <w:rPr>
          <w:i/>
          <w:iCs/>
        </w:rPr>
        <w:t>The Political Sociology of the Welfare State</w:t>
      </w:r>
      <w:r>
        <w:t xml:space="preserve"> (pp. 189–222). Stanford University Press. https://doi.org/10.11126/stanford/9780804754354.003.0006</w:t>
      </w:r>
    </w:p>
    <w:p w14:paraId="3AEEB72D" w14:textId="77777777" w:rsidR="008C4EB1" w:rsidRDefault="008C4EB1" w:rsidP="008C4EB1">
      <w:pPr>
        <w:pStyle w:val="Bibliography"/>
      </w:pPr>
      <w:r>
        <w:t xml:space="preserve">Torche, F. (2005). Unequal But Fluid: Social Mobility in Chile in Comparative Perspective. </w:t>
      </w:r>
      <w:r>
        <w:rPr>
          <w:i/>
          <w:iCs/>
        </w:rPr>
        <w:t>American Sociological Review</w:t>
      </w:r>
      <w:r>
        <w:t xml:space="preserve">, </w:t>
      </w:r>
      <w:r>
        <w:rPr>
          <w:i/>
          <w:iCs/>
        </w:rPr>
        <w:t>70</w:t>
      </w:r>
      <w:r>
        <w:t>(June), 422–450. https://doi.org/10.1177/000312240507000304</w:t>
      </w:r>
    </w:p>
    <w:p w14:paraId="72F60B8B" w14:textId="77777777" w:rsidR="008C4EB1" w:rsidRDefault="008C4EB1" w:rsidP="008C4EB1">
      <w:pPr>
        <w:pStyle w:val="Bibliography"/>
      </w:pPr>
      <w:r>
        <w:t xml:space="preserve">Uslaner, E. M., and Brown, M. (2005). Inequality, Trust, and Civic Engagement. </w:t>
      </w:r>
      <w:r>
        <w:rPr>
          <w:i/>
          <w:iCs/>
        </w:rPr>
        <w:t>American Politics Research</w:t>
      </w:r>
      <w:r>
        <w:t xml:space="preserve">, </w:t>
      </w:r>
      <w:r>
        <w:rPr>
          <w:i/>
          <w:iCs/>
        </w:rPr>
        <w:t>33</w:t>
      </w:r>
      <w:r>
        <w:t>(6), 868–894. https://doi.org/10.1177/1532673X04271903</w:t>
      </w:r>
    </w:p>
    <w:p w14:paraId="6425B74C" w14:textId="77777777" w:rsidR="008C4EB1" w:rsidRDefault="008C4EB1" w:rsidP="008C4EB1">
      <w:pPr>
        <w:pStyle w:val="Bibliography"/>
      </w:pPr>
      <w:r>
        <w:t xml:space="preserve">Vargas Salfate, S., and Stern, C. (2023). Is contact among social class groups associated with legitimation of inequality? An examination across 28 countries. </w:t>
      </w:r>
      <w:r>
        <w:rPr>
          <w:i/>
          <w:iCs/>
        </w:rPr>
        <w:t>The British Journal of Social Psychology</w:t>
      </w:r>
      <w:r>
        <w:t>. https://doi.org/10.1111/bjso.12692</w:t>
      </w:r>
    </w:p>
    <w:p w14:paraId="15F5DCB7" w14:textId="77777777" w:rsidR="008C4EB1" w:rsidRDefault="008C4EB1" w:rsidP="008C4EB1">
      <w:pPr>
        <w:pStyle w:val="Bibliography"/>
      </w:pPr>
      <w:r>
        <w:t xml:space="preserve">Vedres, B. (2022). Network mechanisms in innovation: Borrowing and sparking ideas around structural holes. In K. Gërxhani, N. De Graaf, and W. Raub (Eds.), </w:t>
      </w:r>
      <w:r>
        <w:rPr>
          <w:i/>
          <w:iCs/>
        </w:rPr>
        <w:t>Handbook of Sociological Science</w:t>
      </w:r>
      <w:r>
        <w:t xml:space="preserve"> (pp. 423–442). Edward Elgar Publishing. https://doi.org/10.4337/9781789909432.00031</w:t>
      </w:r>
    </w:p>
    <w:p w14:paraId="142126DC" w14:textId="77777777" w:rsidR="008C4EB1" w:rsidRDefault="008C4EB1" w:rsidP="008C4EB1">
      <w:pPr>
        <w:pStyle w:val="Bibliography"/>
      </w:pPr>
      <w:r>
        <w:lastRenderedPageBreak/>
        <w:t xml:space="preserve">Völker, B. (2022). “Birds of a feather” - forever? Homogeneity in adult friendship networks through the life course. </w:t>
      </w:r>
      <w:r>
        <w:rPr>
          <w:i/>
          <w:iCs/>
        </w:rPr>
        <w:t>Advances in Life Course Research</w:t>
      </w:r>
      <w:r>
        <w:t xml:space="preserve">, </w:t>
      </w:r>
      <w:r>
        <w:rPr>
          <w:i/>
          <w:iCs/>
        </w:rPr>
        <w:t>53</w:t>
      </w:r>
      <w:r>
        <w:t>, 100498. https://doi.org/10.1016/j.alcr.2022.100498</w:t>
      </w:r>
    </w:p>
    <w:p w14:paraId="56DC793F" w14:textId="77777777" w:rsidR="008C4EB1" w:rsidRDefault="008C4EB1" w:rsidP="008C4EB1">
      <w:pPr>
        <w:pStyle w:val="Bibliography"/>
      </w:pPr>
      <w:r w:rsidRPr="000B5B6C">
        <w:rPr>
          <w:lang w:val="de-DE"/>
        </w:rPr>
        <w:t xml:space="preserve">von dem Knesebeck, O., Vonneilich, N., and Kim, T. J. (2016). </w:t>
      </w:r>
      <w:r>
        <w:t xml:space="preserve">Are health care inequalities unfair? A study on public attitudes in 23 countries. </w:t>
      </w:r>
      <w:r>
        <w:rPr>
          <w:i/>
          <w:iCs/>
        </w:rPr>
        <w:t>International Journal for Equity in Health</w:t>
      </w:r>
      <w:r>
        <w:t xml:space="preserve">, </w:t>
      </w:r>
      <w:r>
        <w:rPr>
          <w:i/>
          <w:iCs/>
        </w:rPr>
        <w:t>15</w:t>
      </w:r>
      <w:r>
        <w:t>(1), 61. https://doi.org/10.1186/s12939-016-0350-8</w:t>
      </w:r>
    </w:p>
    <w:p w14:paraId="63244FFC" w14:textId="77777777" w:rsidR="008C4EB1" w:rsidRDefault="008C4EB1" w:rsidP="008C4EB1">
      <w:pPr>
        <w:pStyle w:val="Bibliography"/>
      </w:pPr>
      <w:r>
        <w:t xml:space="preserve">Yamamura, E. (2012). Social capital, household income, and preferences for income redistribution. </w:t>
      </w:r>
      <w:r>
        <w:rPr>
          <w:i/>
          <w:iCs/>
        </w:rPr>
        <w:t>European Journal of Political Economy</w:t>
      </w:r>
      <w:r>
        <w:t xml:space="preserve">, </w:t>
      </w:r>
      <w:r>
        <w:rPr>
          <w:i/>
          <w:iCs/>
        </w:rPr>
        <w:t>28</w:t>
      </w:r>
      <w:r>
        <w:t>(4), 498–511. https://doi.org/10.1016/j.ejpoleco.2012.05.010</w:t>
      </w:r>
    </w:p>
    <w:p w14:paraId="75E70C6B" w14:textId="17CCAA31" w:rsidR="00F55CCD" w:rsidRDefault="00BF68E9" w:rsidP="00F94335">
      <w:pPr>
        <w:pStyle w:val="Heading1"/>
      </w:pPr>
      <w:r w:rsidRPr="00D84938">
        <w:fldChar w:fldCharType="end"/>
      </w:r>
    </w:p>
    <w:sectPr w:rsidR="00F55CCD" w:rsidSect="004E49A8">
      <w:headerReference w:type="default" r:id="rId14"/>
      <w:footerReference w:type="default" r:id="rId15"/>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ulio César Iturra Sanhueza" w:date="2025-07-31T18:00:00Z" w:initials="JI">
    <w:p w14:paraId="050532ED" w14:textId="77777777" w:rsidR="001E4A8F" w:rsidRDefault="001E4A8F" w:rsidP="001E4A8F">
      <w:pPr>
        <w:pStyle w:val="CommentText"/>
        <w:jc w:val="left"/>
      </w:pPr>
      <w:r>
        <w:rPr>
          <w:rStyle w:val="CommentReference"/>
        </w:rPr>
        <w:annotationRef/>
      </w:r>
      <w:r>
        <w:t xml:space="preserve">[ combine this paragraph </w:t>
      </w:r>
    </w:p>
    <w:p w14:paraId="216D6F65" w14:textId="77777777" w:rsidR="001E4A8F" w:rsidRDefault="001E4A8F" w:rsidP="001E4A8F">
      <w:pPr>
        <w:pStyle w:val="CommentText"/>
        <w:jc w:val="left"/>
      </w:pPr>
      <w:r>
        <w:t>with the next one]</w:t>
      </w:r>
    </w:p>
  </w:comment>
  <w:comment w:id="2" w:author="Gastbenutzer" w:date="2025-09-15T17:16:00Z" w:initials="Ga">
    <w:p w14:paraId="4ADC1192" w14:textId="77777777" w:rsidR="00414971" w:rsidRDefault="00414971" w:rsidP="00414971">
      <w:pPr>
        <w:pStyle w:val="CommentText"/>
      </w:pPr>
      <w:r>
        <w:rPr>
          <w:rStyle w:val="CommentReference"/>
        </w:rPr>
        <w:annotationRef/>
      </w:r>
      <w:r w:rsidRPr="601FFAFD">
        <w:t xml:space="preserve">Maybe systematize and separate knowledge gaps in substantial and methodological issues. The general point here is as a narrative you want to make it clear to which research you speak and why. </w:t>
      </w:r>
    </w:p>
  </w:comment>
  <w:comment w:id="3" w:author="Gastbenutzer" w:date="2025-09-15T17:22:00Z" w:initials="Ga">
    <w:p w14:paraId="7FBF0401" w14:textId="13AEFA8E" w:rsidR="002F677A" w:rsidRDefault="002F677A">
      <w:pPr>
        <w:pStyle w:val="CommentText"/>
      </w:pPr>
      <w:r>
        <w:rPr>
          <w:rStyle w:val="CommentReference"/>
        </w:rPr>
        <w:annotationRef/>
      </w:r>
      <w:r w:rsidRPr="275E337F">
        <w:t>This is a double research gap in its own right - (1) filling the gap for latin american countries, (2) testing the supposed generalitzation  of research for Western countries.</w:t>
      </w:r>
    </w:p>
  </w:comment>
  <w:comment w:id="5" w:author="Julio César Iturra Sanhueza" w:date="2024-11-18T10:59:00Z" w:initials="JI">
    <w:p w14:paraId="67A70554" w14:textId="77777777" w:rsidR="0072606E" w:rsidRPr="00D84938" w:rsidRDefault="0072606E" w:rsidP="0072606E">
      <w:pPr>
        <w:pStyle w:val="CommentText"/>
        <w:jc w:val="left"/>
      </w:pPr>
      <w:r w:rsidRPr="00D84938">
        <w:rPr>
          <w:rStyle w:val="CommentReference"/>
        </w:rPr>
        <w:annotationRef/>
      </w:r>
      <w:r w:rsidRPr="00D84938">
        <w:t>This is in line with Paskov (Europe) and Lee (US). Also, Edlund (2003)</w:t>
      </w:r>
    </w:p>
  </w:comment>
  <w:comment w:id="6" w:author="Gastbenutzer" w:date="2025-09-15T17:50:00Z" w:initials="Ga">
    <w:p w14:paraId="663C2462" w14:textId="05607793" w:rsidR="002F677A" w:rsidRDefault="002F677A">
      <w:pPr>
        <w:pStyle w:val="CommentText"/>
      </w:pPr>
      <w:r>
        <w:rPr>
          <w:rStyle w:val="CommentReference"/>
        </w:rPr>
        <w:annotationRef/>
      </w:r>
      <w:r w:rsidRPr="25D5741F">
        <w:t>I also use a lot of such constructions. They are bad replacements for substantial interconnections in the sense. This must intuitively flow from sentence to sentence as not to ask how does this content, statement, interpretation connect with the next or the one before.</w:t>
      </w:r>
    </w:p>
  </w:comment>
  <w:comment w:id="7" w:author="Gastbenutzer" w:date="2025-09-15T17:54:00Z" w:initials="Ga">
    <w:p w14:paraId="129F270F" w14:textId="6AB324C5" w:rsidR="002F677A" w:rsidRDefault="002F677A">
      <w:pPr>
        <w:pStyle w:val="CommentText"/>
      </w:pPr>
      <w:r>
        <w:rPr>
          <w:rStyle w:val="CommentReference"/>
        </w:rPr>
        <w:annotationRef/>
      </w:r>
      <w:r w:rsidRPr="76C309E5">
        <w:t>Isn't the argument that abstract ideals are generalizations of concrete realities? why position the one against the other?</w:t>
      </w:r>
    </w:p>
  </w:comment>
  <w:comment w:id="8" w:author="Iturra, Julio" w:date="2025-10-01T11:48:00Z" w:initials="JI">
    <w:p w14:paraId="6FC53DEE" w14:textId="77777777" w:rsidR="001F40A0" w:rsidRDefault="001F40A0" w:rsidP="001F40A0">
      <w:pPr>
        <w:pStyle w:val="CommentText"/>
        <w:jc w:val="left"/>
      </w:pPr>
      <w:r>
        <w:rPr>
          <w:rStyle w:val="CommentReference"/>
        </w:rPr>
        <w:annotationRef/>
      </w:r>
      <w:r>
        <w:t xml:space="preserve">True, the mechanism suggests that concrete interactions shape perceived reality (generalization) and those nurture distributive justice principles </w:t>
      </w:r>
    </w:p>
  </w:comment>
  <w:comment w:id="9" w:author="Julio César Iturra Sanhueza" w:date="2025-07-31T18:28:00Z" w:initials="JI">
    <w:p w14:paraId="508469ED" w14:textId="2AC875C8" w:rsidR="00E219DC" w:rsidRDefault="00E219DC" w:rsidP="00E219DC">
      <w:pPr>
        <w:pStyle w:val="CommentText"/>
        <w:jc w:val="left"/>
      </w:pPr>
      <w:r>
        <w:rPr>
          <w:rStyle w:val="CommentReference"/>
        </w:rPr>
        <w:annotationRef/>
      </w:r>
      <w:r>
        <w:rPr>
          <w:lang w:val="es-CL"/>
        </w:rPr>
        <w:t>Here Paper Plaza, et al NSUM</w:t>
      </w:r>
    </w:p>
  </w:comment>
  <w:comment w:id="10" w:author="Iturra, Julio" w:date="2025-03-26T11:39:00Z" w:initials="JI">
    <w:p w14:paraId="5B572C42" w14:textId="7826BCCF" w:rsidR="00DB0401" w:rsidRDefault="00DB0401" w:rsidP="00DB0401">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11" w:author="Gastbenutzer" w:date="2025-09-15T18:00:00Z" w:initials="Ga">
    <w:p w14:paraId="780BBFD2" w14:textId="7EB2E8A9" w:rsidR="002F677A" w:rsidRDefault="002F677A">
      <w:pPr>
        <w:pStyle w:val="CommentText"/>
      </w:pPr>
      <w:r>
        <w:rPr>
          <w:rStyle w:val="CommentReference"/>
        </w:rPr>
        <w:annotationRef/>
      </w:r>
      <w:r w:rsidRPr="5A139193">
        <w:t>Suggestion: reduce the number of different terms for the potentially same thing: socioeconomic diverse aquaintances, socioeconomic composition of sociability. I go by therule that the less poetic and the more clearer the better for (most of your) readers (and also less beuautiful and more boring but in the end i read a paper, i want to concentrate on the content and not invest energy on the language and/or terminology)</w:t>
      </w:r>
    </w:p>
    <w:p w14:paraId="143B6D0D" w14:textId="08EF21E1" w:rsidR="002F677A" w:rsidRDefault="002F677A">
      <w:pPr>
        <w:pStyle w:val="CommentText"/>
      </w:pPr>
    </w:p>
  </w:comment>
  <w:comment w:id="13" w:author="Gastbenutzer" w:date="2025-09-15T18:06:00Z" w:initials="Ga">
    <w:p w14:paraId="0B73C6D3" w14:textId="6C1CD0F6" w:rsidR="002F677A" w:rsidRDefault="002F677A">
      <w:pPr>
        <w:pStyle w:val="CommentText"/>
      </w:pPr>
      <w:r>
        <w:rPr>
          <w:rStyle w:val="CommentReference"/>
        </w:rPr>
        <w:annotationRef/>
      </w:r>
      <w:r w:rsidRPr="28670D81">
        <w:t>Why is that?</w:t>
      </w:r>
    </w:p>
  </w:comment>
  <w:comment w:id="14" w:author="Gastbenutzer" w:date="2025-09-15T18:08:00Z" w:initials="Ga">
    <w:p w14:paraId="1957226C" w14:textId="78337E30" w:rsidR="002F677A" w:rsidRDefault="002F677A">
      <w:pPr>
        <w:pStyle w:val="CommentText"/>
      </w:pPr>
      <w:r>
        <w:rPr>
          <w:rStyle w:val="CommentReference"/>
        </w:rPr>
        <w:annotationRef/>
      </w:r>
      <w:r w:rsidRPr="5DA78A0D">
        <w:t>I really think that the theoretic body is much too full to only lead to this hypothesis. I mean there is so much in there and it is highly interesting but if you want to test this hypothesis, i would suggest to really strreamline it and boil it down to the really only explain how H1 works and why it might be wrong (that is what could theretically explain rejecting H1 given the data)</w:t>
      </w:r>
    </w:p>
  </w:comment>
  <w:comment w:id="16"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18"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19" w:author="Gastbenutzer" w:date="2025-09-15T18:10:00Z" w:initials="Ga">
    <w:p w14:paraId="1F430510" w14:textId="7507DC57" w:rsidR="002F677A" w:rsidRDefault="002F677A">
      <w:pPr>
        <w:pStyle w:val="CommentText"/>
      </w:pPr>
      <w:r>
        <w:rPr>
          <w:rStyle w:val="CommentReference"/>
        </w:rPr>
        <w:annotationRef/>
      </w:r>
      <w:r w:rsidRPr="3E379932">
        <w:t>Do you use weights? if not why given this complex sampling strategy. Good reasons to do or don't!</w:t>
      </w:r>
    </w:p>
  </w:comment>
  <w:comment w:id="20" w:author="Gastbenutzer" w:date="2025-09-15T18:10:00Z" w:initials="Ga">
    <w:p w14:paraId="7C29F9D4" w14:textId="1F5A5A4E" w:rsidR="002F677A" w:rsidRDefault="002F677A">
      <w:pPr>
        <w:pStyle w:val="CommentText"/>
      </w:pPr>
      <w:r>
        <w:rPr>
          <w:rStyle w:val="CommentReference"/>
        </w:rPr>
        <w:annotationRef/>
      </w:r>
      <w:r w:rsidRPr="4497AD18">
        <w:t>Besides showing panel attrittion also argue what this could mean for sample composition and generalization. Also prepare an appendix using multiple imputation instead of listwise deletion if possible with your methods or argue why you prefer listwise deletion.</w:t>
      </w:r>
    </w:p>
  </w:comment>
  <w:comment w:id="21"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22"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23" w:author="Gastbenutzer" w:date="2025-09-15T18:13:00Z" w:initials="Ga">
    <w:p w14:paraId="1C86A84B" w14:textId="3971D0C2" w:rsidR="002F677A" w:rsidRDefault="002F677A">
      <w:pPr>
        <w:pStyle w:val="CommentText"/>
      </w:pPr>
      <w:r>
        <w:rPr>
          <w:rStyle w:val="CommentReference"/>
        </w:rPr>
        <w:annotationRef/>
      </w:r>
      <w:r w:rsidRPr="6B8B4B0D">
        <w:t>Also ISEI and income is not totally independent. But why is income post-treatment and ISEI not? drive the point here home with the argument spelled out.</w:t>
      </w:r>
    </w:p>
  </w:comment>
  <w:comment w:id="24"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25" w:author="Gastbenutzer" w:date="2025-09-16T09:50:00Z" w:initials="Ga">
    <w:p w14:paraId="4C0EB072" w14:textId="3F7C357C" w:rsidR="002F677A" w:rsidRDefault="002F677A">
      <w:pPr>
        <w:pStyle w:val="CommentText"/>
      </w:pPr>
      <w:r>
        <w:rPr>
          <w:rStyle w:val="CommentReference"/>
        </w:rPr>
        <w:annotationRef/>
      </w:r>
      <w:r w:rsidRPr="422945AD">
        <w:t>I would sugest you write only what you do and consider potential problems of operationalization heads-on with the usual disclaimer this is the best to do with the data and if really necessary add a section to the discussion with possible problems of your approach, data, etc. and propositions how they can be addressed in future data collection efforts.</w:t>
      </w:r>
    </w:p>
  </w:comment>
  <w:comment w:id="26" w:author="Gastbenutzer" w:date="2025-09-16T09:54:00Z" w:initials="Ga">
    <w:p w14:paraId="394591D0" w14:textId="59C0DD32" w:rsidR="002F677A" w:rsidRDefault="002F677A">
      <w:pPr>
        <w:pStyle w:val="CommentText"/>
      </w:pPr>
      <w:r>
        <w:rPr>
          <w:rStyle w:val="CommentReference"/>
        </w:rPr>
        <w:annotationRef/>
      </w:r>
      <w:r w:rsidRPr="4CFFC658">
        <w:t>maybe more information here? This is your focal variable.</w:t>
      </w:r>
    </w:p>
  </w:comment>
  <w:comment w:id="27" w:author="Gastbenutzer" w:date="2025-09-16T09:53:00Z" w:initials="Ga">
    <w:p w14:paraId="3C8CACCD" w14:textId="253F47D7" w:rsidR="002F677A" w:rsidRDefault="002F677A">
      <w:pPr>
        <w:pStyle w:val="CommentText"/>
      </w:pPr>
      <w:r>
        <w:rPr>
          <w:rStyle w:val="CommentReference"/>
        </w:rPr>
        <w:annotationRef/>
      </w:r>
      <w:r w:rsidRPr="3BB2D617">
        <w:t>how exactly? Maybe in footnote 1? I couldn't find it.</w:t>
      </w:r>
    </w:p>
  </w:comment>
  <w:comment w:id="28" w:author="Gastbenutzer" w:date="2025-09-16T09:56:00Z" w:initials="Ga">
    <w:p w14:paraId="0F6422D1" w14:textId="6362E55A" w:rsidR="002F677A" w:rsidRDefault="002F677A">
      <w:pPr>
        <w:pStyle w:val="CommentText"/>
      </w:pPr>
      <w:r>
        <w:rPr>
          <w:rStyle w:val="CommentReference"/>
        </w:rPr>
        <w:annotationRef/>
      </w:r>
      <w:r w:rsidRPr="0FE290F4">
        <w:t>Is it the same if the aquaintances occupations are spread out over the whole range of ISEI or have similar number of aquaintances occupations near to individual occupation? I remeber that i didn't undertsand that also in Rabat.</w:t>
      </w:r>
    </w:p>
  </w:comment>
  <w:comment w:id="29" w:author="Gastbenutzer" w:date="2025-10-14T13:31:00Z" w:initials="Ga">
    <w:p w14:paraId="2051473F" w14:textId="5F587374" w:rsidR="0078656D" w:rsidRDefault="0078656D">
      <w:pPr>
        <w:pStyle w:val="CommentText"/>
      </w:pPr>
      <w:r>
        <w:rPr>
          <w:rStyle w:val="CommentReference"/>
        </w:rPr>
        <w:annotationRef/>
      </w:r>
      <w:r w:rsidRPr="669AC76D">
        <w:t xml:space="preserve">How is this created? Did you z-standardise the two measures and that used the mean? </w:t>
      </w:r>
    </w:p>
  </w:comment>
  <w:comment w:id="32" w:author="Gastbenutzer" w:date="2025-09-16T09:57:00Z" w:initials="Ga">
    <w:p w14:paraId="07E8C45E" w14:textId="77777777" w:rsidR="00A31F76" w:rsidRDefault="00A31F76" w:rsidP="00A31F76">
      <w:pPr>
        <w:pStyle w:val="CommentText"/>
      </w:pPr>
      <w:r>
        <w:rPr>
          <w:rStyle w:val="CommentReference"/>
        </w:rPr>
        <w:annotationRef/>
      </w:r>
      <w:r w:rsidRPr="2759A439">
        <w:t>using a quadratic term is one type of non-linear relationship. I prefer in these cases to explicitly argue why this type and not others.</w:t>
      </w:r>
    </w:p>
  </w:comment>
  <w:comment w:id="33" w:author="Gastbenutzer" w:date="2025-10-14T13:32:00Z" w:initials="Ga">
    <w:p w14:paraId="07C1FD7A" w14:textId="77777777" w:rsidR="00A31F76" w:rsidRDefault="00A31F76" w:rsidP="00A31F76">
      <w:pPr>
        <w:pStyle w:val="CommentText"/>
      </w:pPr>
      <w:r>
        <w:rPr>
          <w:rStyle w:val="CommentReference"/>
        </w:rPr>
        <w:annotationRef/>
      </w:r>
      <w:r w:rsidRPr="220F73B0">
        <w:t>I think this is too much (see below)</w:t>
      </w:r>
    </w:p>
  </w:comment>
  <w:comment w:id="34" w:author="Gastbenutzer" w:date="2025-09-16T10:22:00Z" w:initials="Ga">
    <w:p w14:paraId="4A8CE2B5" w14:textId="07D6297A" w:rsidR="002F677A" w:rsidRDefault="002F677A">
      <w:pPr>
        <w:pStyle w:val="CommentText"/>
      </w:pPr>
      <w:r>
        <w:rPr>
          <w:rStyle w:val="CommentReference"/>
        </w:rPr>
        <w:annotationRef/>
      </w:r>
      <w:r w:rsidRPr="207884F9">
        <w:t>Because the var is standardized with a mean of 0 and sd of 1 the quadratic interaction is assuming a U-shaped association, right? I.e. to expect that particularly high and low values of network diversity are in relationsship with marlet justice preferences? I considered higher polygonials (or rather splines) but maybe that is unnecessary. But if you write out what it means it becomes and substantially interesting modelling choice instead of just "consider a possible non-linear relationship"</w:t>
      </w:r>
    </w:p>
  </w:comment>
  <w:comment w:id="35" w:author="Gastbenutzer" w:date="2025-10-14T12:49:00Z" w:initials="Ga">
    <w:p w14:paraId="64932B3A" w14:textId="3CA5E18D" w:rsidR="0078656D" w:rsidRDefault="0078656D">
      <w:pPr>
        <w:pStyle w:val="CommentText"/>
      </w:pPr>
      <w:r>
        <w:rPr>
          <w:rStyle w:val="CommentReference"/>
        </w:rPr>
        <w:annotationRef/>
      </w:r>
      <w:r w:rsidRPr="20E8E5EC">
        <w:t>My guess here is that modelling a non-linear relationship might go too far here and overstretch the validity and reliability of the network diversity measure (and the DV as well).</w:t>
      </w:r>
    </w:p>
  </w:comment>
  <w:comment w:id="36" w:author="Gastbenutzer" w:date="2025-09-16T10:29:00Z" w:initials="Ga">
    <w:p w14:paraId="6B46F745" w14:textId="4204A138" w:rsidR="002F677A" w:rsidRDefault="002F677A">
      <w:pPr>
        <w:pStyle w:val="CommentText"/>
      </w:pPr>
      <w:r>
        <w:rPr>
          <w:rStyle w:val="CommentReference"/>
        </w:rPr>
        <w:annotationRef/>
      </w:r>
      <w:r w:rsidRPr="5CC7E362">
        <w:t>I really like how you bind the results back to the original scale and make them understandable! But i find percent with an intervall measured item always difficult to interpret. Wouldn't it be more informative to know how much more heterogeneous would a network have to be to move from 1 to 3, 3 to 5, for example? is this at all possible given the real data distribution? What would be the effect on the market justice preferences when moving from the 25percentile  to the 75 percentile in network diversity?</w:t>
      </w:r>
    </w:p>
  </w:comment>
  <w:comment w:id="37" w:author="Gastbenutzer" w:date="2025-09-16T10:29:00Z" w:initials="Ga">
    <w:p w14:paraId="25369C4D" w14:textId="0F669379" w:rsidR="002F677A" w:rsidRDefault="002F677A">
      <w:pPr>
        <w:pStyle w:val="CommentText"/>
      </w:pPr>
      <w:r>
        <w:rPr>
          <w:rStyle w:val="CommentReference"/>
        </w:rPr>
        <w:annotationRef/>
      </w:r>
      <w:r w:rsidRPr="6EFD53E3">
        <w:t>equally within the agreement range, or not?</w:t>
      </w:r>
    </w:p>
  </w:comment>
  <w:comment w:id="38" w:author="Gastbenutzer" w:date="2025-09-16T10:33:00Z" w:initials="Ga">
    <w:p w14:paraId="6700EAE9" w14:textId="4DD25E1C" w:rsidR="002F677A" w:rsidRDefault="002F677A">
      <w:pPr>
        <w:pStyle w:val="CommentText"/>
      </w:pPr>
      <w:r>
        <w:rPr>
          <w:rStyle w:val="CommentReference"/>
        </w:rPr>
        <w:annotationRef/>
      </w:r>
      <w:r w:rsidRPr="2674DC8D">
        <w:t>Suggestion: Make this a focus in the introduction with regard to substantial interest, knowledge gap, etc. and cut the side battles.</w:t>
      </w:r>
    </w:p>
  </w:comment>
  <w:comment w:id="39" w:author="Gastbenutzer" w:date="2025-09-16T10:32:00Z" w:initials="Ga">
    <w:p w14:paraId="5B1E4AE1" w14:textId="661A310E" w:rsidR="002F677A" w:rsidRDefault="002F677A">
      <w:pPr>
        <w:pStyle w:val="CommentText"/>
      </w:pPr>
      <w:r>
        <w:rPr>
          <w:rStyle w:val="CommentReference"/>
        </w:rPr>
        <w:annotationRef/>
      </w:r>
      <w:r w:rsidRPr="764B5208">
        <w:t>Suggestion: Rewrite theory part to focus single mindedly on the discussion whether these or alternative explanations find more empirical support for explaining the outcome!</w:t>
      </w:r>
    </w:p>
  </w:comment>
  <w:comment w:id="40" w:author="Gastbenutzer" w:date="2025-09-16T10:34:00Z" w:initials="Ga">
    <w:p w14:paraId="4E5194C1" w14:textId="4CC0FAB1" w:rsidR="002F677A" w:rsidRDefault="002F677A">
      <w:pPr>
        <w:pStyle w:val="CommentText"/>
      </w:pPr>
      <w:r>
        <w:rPr>
          <w:rStyle w:val="CommentReference"/>
        </w:rPr>
        <w:annotationRef/>
      </w:r>
      <w:r w:rsidRPr="06BCF7A1">
        <w:t>In a way that is not what is studied here, so it is hard to interpret your evidence here as more than a necessary condition for the theory to hold, or?</w:t>
      </w:r>
    </w:p>
  </w:comment>
  <w:comment w:id="41" w:author="Gastbenutzer" w:date="2025-09-16T10:36:00Z" w:initials="Ga">
    <w:p w14:paraId="350B0BE0" w14:textId="32B0EFC5" w:rsidR="002F677A" w:rsidRDefault="002F677A">
      <w:pPr>
        <w:pStyle w:val="CommentText"/>
      </w:pPr>
      <w:r>
        <w:rPr>
          <w:rStyle w:val="CommentReference"/>
        </w:rPr>
        <w:annotationRef/>
      </w:r>
      <w:r w:rsidRPr="559071C0">
        <w:t>ISEI is not really class now, is it? I mean it is a hierarchically ordered status scale that explicitly assumes that there are no categorically different groups of positions as is argued in virtually all class accounts - whether micro, meso or macro classes, whether weberian, marxist, work logics or industry sector based accounts!</w:t>
      </w:r>
    </w:p>
  </w:comment>
  <w:comment w:id="42" w:author="Gastbenutzer" w:date="2025-09-16T10:37:00Z" w:initials="Ga">
    <w:p w14:paraId="044BBD00" w14:textId="35F01557" w:rsidR="002F677A" w:rsidRDefault="002F677A">
      <w:pPr>
        <w:pStyle w:val="CommentText"/>
      </w:pPr>
      <w:r>
        <w:rPr>
          <w:rStyle w:val="CommentReference"/>
        </w:rPr>
        <w:annotationRef/>
      </w:r>
      <w:r w:rsidRPr="2DF59617">
        <w:t>This point i would move to the top and strengthen because that is really new, or not?</w:t>
      </w:r>
    </w:p>
  </w:comment>
  <w:comment w:id="43" w:author="Gastbenutzer" w:date="2025-09-16T10:40:00Z" w:initials="Ga">
    <w:p w14:paraId="1FBF10E7" w14:textId="18505E29" w:rsidR="002F677A" w:rsidRDefault="002F677A">
      <w:pPr>
        <w:pStyle w:val="CommentText"/>
      </w:pPr>
      <w:r>
        <w:rPr>
          <w:rStyle w:val="CommentReference"/>
        </w:rPr>
        <w:annotationRef/>
      </w:r>
      <w:r w:rsidRPr="7F13FB1E">
        <w:t xml:space="preserve">Given todays politics of separation, one could also argue the other way around. That by institutionally segregating individuals by class, less egalitarian attitudes are prone to become stronger like in a vicious circle.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6D6F65" w15:done="1"/>
  <w15:commentEx w15:paraId="4ADC1192" w15:done="1"/>
  <w15:commentEx w15:paraId="7FBF0401" w15:done="1"/>
  <w15:commentEx w15:paraId="67A70554" w15:done="1"/>
  <w15:commentEx w15:paraId="663C2462" w15:done="1"/>
  <w15:commentEx w15:paraId="129F270F" w15:done="1"/>
  <w15:commentEx w15:paraId="6FC53DEE" w15:paraIdParent="129F270F" w15:done="1"/>
  <w15:commentEx w15:paraId="508469ED" w15:done="1"/>
  <w15:commentEx w15:paraId="5B572C42" w15:done="1"/>
  <w15:commentEx w15:paraId="143B6D0D" w15:done="1"/>
  <w15:commentEx w15:paraId="0B73C6D3" w15:done="1"/>
  <w15:commentEx w15:paraId="1957226C" w15:done="1"/>
  <w15:commentEx w15:paraId="15237464" w15:done="1"/>
  <w15:commentEx w15:paraId="1B85231A" w15:done="1"/>
  <w15:commentEx w15:paraId="1F430510" w15:done="1"/>
  <w15:commentEx w15:paraId="7C29F9D4" w15:done="0"/>
  <w15:commentEx w15:paraId="7C28739A" w15:done="0"/>
  <w15:commentEx w15:paraId="60F4DED7" w15:paraIdParent="7C28739A" w15:done="0"/>
  <w15:commentEx w15:paraId="1C86A84B" w15:paraIdParent="7C28739A" w15:done="0"/>
  <w15:commentEx w15:paraId="10CA498B" w15:done="0"/>
  <w15:commentEx w15:paraId="4C0EB072" w15:done="0"/>
  <w15:commentEx w15:paraId="394591D0" w15:done="0"/>
  <w15:commentEx w15:paraId="3C8CACCD" w15:done="0"/>
  <w15:commentEx w15:paraId="0F6422D1" w15:done="0"/>
  <w15:commentEx w15:paraId="2051473F" w15:done="0"/>
  <w15:commentEx w15:paraId="07E8C45E" w15:done="0"/>
  <w15:commentEx w15:paraId="07C1FD7A" w15:paraIdParent="07E8C45E" w15:done="0"/>
  <w15:commentEx w15:paraId="4A8CE2B5" w15:done="0"/>
  <w15:commentEx w15:paraId="64932B3A" w15:paraIdParent="4A8CE2B5" w15:done="0"/>
  <w15:commentEx w15:paraId="6B46F745" w15:done="0"/>
  <w15:commentEx w15:paraId="25369C4D" w15:done="1"/>
  <w15:commentEx w15:paraId="6700EAE9" w15:done="0"/>
  <w15:commentEx w15:paraId="5B1E4AE1" w15:done="0"/>
  <w15:commentEx w15:paraId="4E5194C1" w15:done="0"/>
  <w15:commentEx w15:paraId="350B0BE0" w15:done="0"/>
  <w15:commentEx w15:paraId="044BBD00" w15:done="0"/>
  <w15:commentEx w15:paraId="1FBF10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BEC250" w16cex:dateUtc="2025-07-31T16:00:00Z"/>
  <w16cex:commentExtensible w16cex:durableId="6E014577" w16cex:dateUtc="2025-09-15T15:16:00Z"/>
  <w16cex:commentExtensible w16cex:durableId="667C18E4" w16cex:dateUtc="2025-09-15T15:22:00Z"/>
  <w16cex:commentExtensible w16cex:durableId="0F69BEED" w16cex:dateUtc="2024-11-18T09:59:00Z"/>
  <w16cex:commentExtensible w16cex:durableId="39CC57EF" w16cex:dateUtc="2025-09-15T15:50:00Z"/>
  <w16cex:commentExtensible w16cex:durableId="706FC393" w16cex:dateUtc="2025-09-15T15:54:00Z"/>
  <w16cex:commentExtensible w16cex:durableId="5B0D8417" w16cex:dateUtc="2025-10-01T09:48:00Z"/>
  <w16cex:commentExtensible w16cex:durableId="25479A76" w16cex:dateUtc="2025-07-31T16:28:00Z"/>
  <w16cex:commentExtensible w16cex:durableId="30895938" w16cex:dateUtc="2025-03-26T10:39:00Z"/>
  <w16cex:commentExtensible w16cex:durableId="3556E117" w16cex:dateUtc="2025-09-15T16:00:00Z"/>
  <w16cex:commentExtensible w16cex:durableId="4CE3FE49" w16cex:dateUtc="2025-09-15T16:06:00Z"/>
  <w16cex:commentExtensible w16cex:durableId="47C20508" w16cex:dateUtc="2025-09-15T16:08:00Z"/>
  <w16cex:commentExtensible w16cex:durableId="4C0E579B" w16cex:dateUtc="2024-11-12T13:22:00Z"/>
  <w16cex:commentExtensible w16cex:durableId="25D0FA76" w16cex:dateUtc="2025-09-15T16:10:00Z"/>
  <w16cex:commentExtensible w16cex:durableId="1DB68254" w16cex:dateUtc="2025-09-15T16:10:00Z"/>
  <w16cex:commentExtensible w16cex:durableId="235348BC" w16cex:dateUtc="2024-11-25T14:02:00Z"/>
  <w16cex:commentExtensible w16cex:durableId="311BFFF7" w16cex:dateUtc="2024-11-26T15:46:00Z"/>
  <w16cex:commentExtensible w16cex:durableId="1466D4AA" w16cex:dateUtc="2025-09-15T16:13:00Z"/>
  <w16cex:commentExtensible w16cex:durableId="09161C91" w16cex:dateUtc="2024-12-11T11:06:00Z"/>
  <w16cex:commentExtensible w16cex:durableId="2F6A4031" w16cex:dateUtc="2025-09-16T07:50:00Z"/>
  <w16cex:commentExtensible w16cex:durableId="070C50AD" w16cex:dateUtc="2025-09-16T07:54:00Z"/>
  <w16cex:commentExtensible w16cex:durableId="1B4DEACD" w16cex:dateUtc="2025-09-16T07:53:00Z"/>
  <w16cex:commentExtensible w16cex:durableId="66B7EA6F" w16cex:dateUtc="2025-09-16T07:56:00Z"/>
  <w16cex:commentExtensible w16cex:durableId="276406DB" w16cex:dateUtc="2025-10-14T11:31:00Z"/>
  <w16cex:commentExtensible w16cex:durableId="1A547068" w16cex:dateUtc="2025-09-16T07:57:00Z"/>
  <w16cex:commentExtensible w16cex:durableId="2EBD2406" w16cex:dateUtc="2025-10-14T11:32:00Z"/>
  <w16cex:commentExtensible w16cex:durableId="1486BD58" w16cex:dateUtc="2025-09-16T08:22:00Z"/>
  <w16cex:commentExtensible w16cex:durableId="44A5D5F8" w16cex:dateUtc="2025-10-14T10:49:00Z"/>
  <w16cex:commentExtensible w16cex:durableId="6E106FC4" w16cex:dateUtc="2025-09-16T08:29:00Z"/>
  <w16cex:commentExtensible w16cex:durableId="3A32D73C" w16cex:dateUtc="2025-09-16T08:29:00Z"/>
  <w16cex:commentExtensible w16cex:durableId="5170BCDC" w16cex:dateUtc="2025-09-16T08:33:00Z"/>
  <w16cex:commentExtensible w16cex:durableId="20579B42" w16cex:dateUtc="2025-09-16T08:32:00Z"/>
  <w16cex:commentExtensible w16cex:durableId="6EA6D071" w16cex:dateUtc="2025-09-16T08:34:00Z"/>
  <w16cex:commentExtensible w16cex:durableId="2317008B" w16cex:dateUtc="2025-09-16T08:36:00Z"/>
  <w16cex:commentExtensible w16cex:durableId="058F7FA1" w16cex:dateUtc="2025-09-16T08:37:00Z"/>
  <w16cex:commentExtensible w16cex:durableId="6C4EBDE5" w16cex:dateUtc="2025-09-16T08: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6D6F65" w16cid:durableId="08BEC250"/>
  <w16cid:commentId w16cid:paraId="4ADC1192" w16cid:durableId="6E014577"/>
  <w16cid:commentId w16cid:paraId="7FBF0401" w16cid:durableId="667C18E4"/>
  <w16cid:commentId w16cid:paraId="67A70554" w16cid:durableId="0F69BEED"/>
  <w16cid:commentId w16cid:paraId="663C2462" w16cid:durableId="39CC57EF"/>
  <w16cid:commentId w16cid:paraId="129F270F" w16cid:durableId="706FC393"/>
  <w16cid:commentId w16cid:paraId="6FC53DEE" w16cid:durableId="5B0D8417"/>
  <w16cid:commentId w16cid:paraId="508469ED" w16cid:durableId="25479A76"/>
  <w16cid:commentId w16cid:paraId="5B572C42" w16cid:durableId="30895938"/>
  <w16cid:commentId w16cid:paraId="143B6D0D" w16cid:durableId="3556E117"/>
  <w16cid:commentId w16cid:paraId="0B73C6D3" w16cid:durableId="4CE3FE49"/>
  <w16cid:commentId w16cid:paraId="1957226C" w16cid:durableId="47C20508"/>
  <w16cid:commentId w16cid:paraId="15237464" w16cid:durableId="3276702B"/>
  <w16cid:commentId w16cid:paraId="1B85231A" w16cid:durableId="4C0E579B"/>
  <w16cid:commentId w16cid:paraId="1F430510" w16cid:durableId="25D0FA76"/>
  <w16cid:commentId w16cid:paraId="7C29F9D4" w16cid:durableId="1DB68254"/>
  <w16cid:commentId w16cid:paraId="7C28739A" w16cid:durableId="235348BC"/>
  <w16cid:commentId w16cid:paraId="60F4DED7" w16cid:durableId="311BFFF7"/>
  <w16cid:commentId w16cid:paraId="1C86A84B" w16cid:durableId="1466D4AA"/>
  <w16cid:commentId w16cid:paraId="10CA498B" w16cid:durableId="09161C91"/>
  <w16cid:commentId w16cid:paraId="4C0EB072" w16cid:durableId="2F6A4031"/>
  <w16cid:commentId w16cid:paraId="394591D0" w16cid:durableId="070C50AD"/>
  <w16cid:commentId w16cid:paraId="3C8CACCD" w16cid:durableId="1B4DEACD"/>
  <w16cid:commentId w16cid:paraId="0F6422D1" w16cid:durableId="66B7EA6F"/>
  <w16cid:commentId w16cid:paraId="2051473F" w16cid:durableId="276406DB"/>
  <w16cid:commentId w16cid:paraId="07E8C45E" w16cid:durableId="1A547068"/>
  <w16cid:commentId w16cid:paraId="07C1FD7A" w16cid:durableId="2EBD2406"/>
  <w16cid:commentId w16cid:paraId="4A8CE2B5" w16cid:durableId="1486BD58"/>
  <w16cid:commentId w16cid:paraId="64932B3A" w16cid:durableId="44A5D5F8"/>
  <w16cid:commentId w16cid:paraId="6B46F745" w16cid:durableId="6E106FC4"/>
  <w16cid:commentId w16cid:paraId="25369C4D" w16cid:durableId="3A32D73C"/>
  <w16cid:commentId w16cid:paraId="6700EAE9" w16cid:durableId="5170BCDC"/>
  <w16cid:commentId w16cid:paraId="5B1E4AE1" w16cid:durableId="20579B42"/>
  <w16cid:commentId w16cid:paraId="4E5194C1" w16cid:durableId="6EA6D071"/>
  <w16cid:commentId w16cid:paraId="350B0BE0" w16cid:durableId="2317008B"/>
  <w16cid:commentId w16cid:paraId="044BBD00" w16cid:durableId="058F7FA1"/>
  <w16cid:commentId w16cid:paraId="1FBF10E7" w16cid:durableId="6C4EBD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EC0DA" w14:textId="77777777" w:rsidR="00F1323F" w:rsidRPr="00D84938" w:rsidRDefault="00F1323F" w:rsidP="0099255D">
      <w:pPr>
        <w:spacing w:before="0" w:after="0"/>
      </w:pPr>
      <w:r w:rsidRPr="00D84938">
        <w:separator/>
      </w:r>
    </w:p>
  </w:endnote>
  <w:endnote w:type="continuationSeparator" w:id="0">
    <w:p w14:paraId="10A70A38" w14:textId="77777777" w:rsidR="00F1323F" w:rsidRPr="00D84938" w:rsidRDefault="00F1323F" w:rsidP="0099255D">
      <w:pPr>
        <w:spacing w:before="0" w:after="0"/>
      </w:pPr>
      <w:r w:rsidRPr="00D84938">
        <w:continuationSeparator/>
      </w:r>
    </w:p>
  </w:endnote>
  <w:endnote w:type="continuationNotice" w:id="1">
    <w:p w14:paraId="6E4A04A6" w14:textId="77777777" w:rsidR="00F1323F" w:rsidRPr="00D84938" w:rsidRDefault="00F132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C328D" w14:textId="77777777" w:rsidR="00F1323F" w:rsidRPr="00D84938" w:rsidRDefault="00F1323F" w:rsidP="0099255D">
      <w:pPr>
        <w:spacing w:before="0" w:after="0"/>
      </w:pPr>
      <w:r w:rsidRPr="00D84938">
        <w:separator/>
      </w:r>
    </w:p>
  </w:footnote>
  <w:footnote w:type="continuationSeparator" w:id="0">
    <w:p w14:paraId="522C1B9C" w14:textId="77777777" w:rsidR="00F1323F" w:rsidRPr="00D84938" w:rsidRDefault="00F1323F" w:rsidP="0099255D">
      <w:pPr>
        <w:spacing w:before="0" w:after="0"/>
      </w:pPr>
      <w:r w:rsidRPr="00D84938">
        <w:continuationSeparator/>
      </w:r>
    </w:p>
  </w:footnote>
  <w:footnote w:type="continuationNotice" w:id="1">
    <w:p w14:paraId="0FCF2B47" w14:textId="77777777" w:rsidR="00F1323F" w:rsidRPr="00D84938" w:rsidRDefault="00F1323F">
      <w:pPr>
        <w:spacing w:before="0" w:after="0"/>
      </w:pPr>
    </w:p>
  </w:footnote>
  <w:footnote w:id="2">
    <w:p w14:paraId="0C6A3DF2" w14:textId="0FEEC1E9" w:rsidR="00526CDD" w:rsidRPr="00526CDD" w:rsidRDefault="00526CDD">
      <w:pPr>
        <w:pStyle w:val="FootnoteText"/>
      </w:pPr>
      <w:r>
        <w:rPr>
          <w:rStyle w:val="FootnoteReference"/>
        </w:rPr>
        <w:footnoteRef/>
      </w:r>
      <w:r>
        <w:t xml:space="preserve"> </w:t>
      </w:r>
      <w:r w:rsidR="004D7D61">
        <w:t>Alternative operationalizations and modeling strategies were implemented as robustness tests. First, I used a categorical version of ISEI, dividing respondents into bottom, intermediate, top</w:t>
      </w:r>
      <w:r w:rsidR="00417302">
        <w:t xml:space="preserve"> tertiles</w:t>
      </w:r>
      <w:r w:rsidR="00A77E21">
        <w:t>,</w:t>
      </w:r>
      <w:r w:rsidR="00417302">
        <w:t xml:space="preserve"> plus a </w:t>
      </w:r>
      <w:r w:rsidR="004D7D61">
        <w:t>NEET group. Second, I estimated a within-between multilevel model that distinguishes between time-varying and time-invariant characteristics. Third, instead of assigning an ISEI score of 10, I tested an alternative specification with a lower value of 0. Across all these strategies, the coefficient for network diversity remained robust.</w:t>
      </w:r>
    </w:p>
  </w:footnote>
  <w:footnote w:id="3">
    <w:p w14:paraId="321CFEA7" w14:textId="470D361E" w:rsidR="005B178D" w:rsidRPr="005B178D" w:rsidRDefault="005B178D" w:rsidP="00AA2042">
      <w:pPr>
        <w:spacing w:before="0" w:after="0"/>
      </w:pPr>
      <w:r>
        <w:rPr>
          <w:rStyle w:val="FootnoteReference"/>
        </w:rPr>
        <w:footnoteRef/>
      </w:r>
      <w:r w:rsidR="007F75F6" w:rsidRPr="00A07D20">
        <w:rPr>
          <w:sz w:val="20"/>
          <w:szCs w:val="20"/>
        </w:rPr>
        <w:t>The formula is depicted as</w:t>
      </w:r>
      <w:r w:rsidRPr="00A07D20">
        <w:rPr>
          <w:sz w:val="20"/>
          <w:szCs w:val="20"/>
        </w:rPr>
        <w:t xml:space="preserve"> </w:t>
      </w:r>
      <m:oMath>
        <m:r>
          <w:rPr>
            <w:rFonts w:ascii="Cambria Math" w:hAnsi="Cambria Math" w:cs="Times New Roman"/>
            <w:sz w:val="20"/>
            <w:szCs w:val="20"/>
          </w:rPr>
          <m:t>H=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13</m:t>
            </m:r>
          </m:sup>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j</m:t>
                    </m:r>
                  </m:sub>
                </m:sSub>
                <m:r>
                  <w:rPr>
                    <w:rFonts w:ascii="Cambria Math" w:hAnsi="Cambria Math" w:cs="Times New Roman"/>
                    <w:sz w:val="20"/>
                    <w:szCs w:val="20"/>
                  </w:rPr>
                  <m:t>)</m:t>
                </m:r>
              </m:e>
            </m:func>
          </m:e>
        </m:nary>
      </m:oMath>
      <w:r w:rsidR="00BB6CEF" w:rsidRPr="00A07D20">
        <w:rPr>
          <w:sz w:val="20"/>
          <w:szCs w:val="20"/>
        </w:rPr>
        <w:t xml:space="preserve">, where </w:t>
      </w:r>
      <w:r w:rsidR="00BB6CEF" w:rsidRPr="00A07D20">
        <w:rPr>
          <w:rStyle w:val="katex-mathml"/>
          <w:sz w:val="20"/>
          <w:szCs w:val="20"/>
        </w:rPr>
        <w:t>p</w:t>
      </w:r>
      <w:r w:rsidR="00BB6CEF" w:rsidRPr="00A07D20">
        <w:rPr>
          <w:rStyle w:val="katex-mathml"/>
          <w:sz w:val="20"/>
          <w:szCs w:val="20"/>
          <w:vertAlign w:val="subscript"/>
        </w:rPr>
        <w:t>j</w:t>
      </w:r>
      <w:r w:rsidR="00BB6CEF" w:rsidRPr="00A07D20">
        <w:rPr>
          <w:rStyle w:val="vlist-s"/>
          <w:sz w:val="20"/>
          <w:szCs w:val="20"/>
        </w:rPr>
        <w:t>​</w:t>
      </w:r>
      <w:r w:rsidR="00BB6CEF" w:rsidRPr="00A07D20">
        <w:rPr>
          <w:sz w:val="20"/>
          <w:szCs w:val="20"/>
        </w:rPr>
        <w:t xml:space="preserve"> is the </w:t>
      </w:r>
      <w:r w:rsidR="00BB6CEF" w:rsidRPr="00A07D20">
        <w:rPr>
          <w:rStyle w:val="Strong"/>
          <w:b w:val="0"/>
          <w:bCs w:val="0"/>
          <w:sz w:val="20"/>
          <w:szCs w:val="20"/>
        </w:rPr>
        <w:t>proportion</w:t>
      </w:r>
      <w:r w:rsidR="00BB6CEF" w:rsidRPr="00A07D20">
        <w:rPr>
          <w:sz w:val="20"/>
          <w:szCs w:val="20"/>
        </w:rPr>
        <w:t xml:space="preserve"> of ties in category </w:t>
      </w:r>
      <w:r w:rsidR="00BB6CEF" w:rsidRPr="00A07D20">
        <w:rPr>
          <w:rStyle w:val="katex-mathml"/>
          <w:i/>
          <w:iCs/>
          <w:sz w:val="20"/>
          <w:szCs w:val="20"/>
        </w:rPr>
        <w:t xml:space="preserve">j </w:t>
      </w:r>
      <w:r w:rsidR="00BB6CEF" w:rsidRPr="00A07D20">
        <w:rPr>
          <w:sz w:val="20"/>
          <w:szCs w:val="20"/>
        </w:rPr>
        <w:t xml:space="preserve">(e.g., the proportion of social ties that belong to occupation </w:t>
      </w:r>
      <w:r w:rsidR="00BB6CEF" w:rsidRPr="00A07D20">
        <w:rPr>
          <w:rStyle w:val="katex-mathml"/>
          <w:i/>
          <w:iCs/>
          <w:sz w:val="20"/>
          <w:szCs w:val="20"/>
        </w:rPr>
        <w:t>j</w:t>
      </w:r>
      <w:r w:rsidR="00BB6CEF" w:rsidRPr="00A07D20">
        <w:rPr>
          <w:sz w:val="20"/>
          <w:szCs w:val="20"/>
        </w:rPr>
        <w:t>).</w:t>
      </w:r>
      <w:r w:rsidR="00A42BD5">
        <w:rPr>
          <w:sz w:val="20"/>
          <w:szCs w:val="20"/>
        </w:rPr>
        <w:t xml:space="preserve"> This </w:t>
      </w:r>
      <w:r w:rsidR="00C1041F">
        <w:rPr>
          <w:sz w:val="20"/>
          <w:szCs w:val="20"/>
        </w:rPr>
        <w:t>excludes</w:t>
      </w:r>
      <w:r w:rsidR="00A42BD5">
        <w:rPr>
          <w:sz w:val="20"/>
          <w:szCs w:val="20"/>
        </w:rPr>
        <w:t xml:space="preserve"> observations with no network ties (which </w:t>
      </w:r>
      <w:r w:rsidR="00C1041F">
        <w:rPr>
          <w:sz w:val="20"/>
          <w:szCs w:val="20"/>
        </w:rPr>
        <w:t>represent</w:t>
      </w:r>
      <w:r w:rsidR="00A42BD5">
        <w:rPr>
          <w:sz w:val="20"/>
          <w:szCs w:val="20"/>
        </w:rPr>
        <w:t xml:space="preserve"> around 3% of the total sample).</w:t>
      </w:r>
    </w:p>
  </w:footnote>
  <w:footnote w:id="4">
    <w:p w14:paraId="34838F77" w14:textId="77777777" w:rsidR="00BA442B" w:rsidRPr="00F058C4" w:rsidRDefault="00BA442B" w:rsidP="00BA442B">
      <w:pPr>
        <w:pStyle w:val="FootnoteText"/>
      </w:pPr>
      <w:r>
        <w:rPr>
          <w:rStyle w:val="FootnoteReference"/>
        </w:rPr>
        <w:footnoteRef/>
      </w:r>
      <w:r>
        <w:t xml:space="preserve"> More details about the construction of the panel weights can be found at </w:t>
      </w:r>
      <w:hyperlink r:id="rId1" w:history="1">
        <w:r w:rsidRPr="006C6042">
          <w:rPr>
            <w:rStyle w:val="Hyperlink"/>
          </w:rPr>
          <w:t>https://coes.cl/elsoc/</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24E2BA13" w:rsidR="0099255D" w:rsidRPr="00D84938" w:rsidRDefault="003854A5">
    <w:pPr>
      <w:pStyle w:val="Header"/>
    </w:pPr>
    <w:r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Gastbenutzer">
    <w15:presenceInfo w15:providerId="AD" w15:userId="S::urn:spo:tenantanon#5ff5d9fa-f83f-4ac1-a4d2-eb48ea0a00d2::"/>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3154"/>
    <w:rsid w:val="000033D9"/>
    <w:rsid w:val="0000383D"/>
    <w:rsid w:val="00003877"/>
    <w:rsid w:val="000039F8"/>
    <w:rsid w:val="000045B2"/>
    <w:rsid w:val="000046DC"/>
    <w:rsid w:val="00006784"/>
    <w:rsid w:val="000068EB"/>
    <w:rsid w:val="00006927"/>
    <w:rsid w:val="000076F5"/>
    <w:rsid w:val="0000786D"/>
    <w:rsid w:val="0001028D"/>
    <w:rsid w:val="00010690"/>
    <w:rsid w:val="0001177C"/>
    <w:rsid w:val="00011AE4"/>
    <w:rsid w:val="00011CA0"/>
    <w:rsid w:val="00011CFC"/>
    <w:rsid w:val="00012681"/>
    <w:rsid w:val="000134E6"/>
    <w:rsid w:val="00013C34"/>
    <w:rsid w:val="000141D1"/>
    <w:rsid w:val="000142D1"/>
    <w:rsid w:val="0001471D"/>
    <w:rsid w:val="00014B45"/>
    <w:rsid w:val="00014F8A"/>
    <w:rsid w:val="00015626"/>
    <w:rsid w:val="00016138"/>
    <w:rsid w:val="000179E9"/>
    <w:rsid w:val="00017BC6"/>
    <w:rsid w:val="0002048D"/>
    <w:rsid w:val="00022702"/>
    <w:rsid w:val="00022A68"/>
    <w:rsid w:val="00022BDF"/>
    <w:rsid w:val="00023F2B"/>
    <w:rsid w:val="00024042"/>
    <w:rsid w:val="00024A62"/>
    <w:rsid w:val="00025EF3"/>
    <w:rsid w:val="00027D27"/>
    <w:rsid w:val="00027E6A"/>
    <w:rsid w:val="00027ECD"/>
    <w:rsid w:val="000305F7"/>
    <w:rsid w:val="000312A7"/>
    <w:rsid w:val="000312F5"/>
    <w:rsid w:val="00031718"/>
    <w:rsid w:val="0003177A"/>
    <w:rsid w:val="00032B3B"/>
    <w:rsid w:val="00032C41"/>
    <w:rsid w:val="000332A3"/>
    <w:rsid w:val="00033AF5"/>
    <w:rsid w:val="00033C9B"/>
    <w:rsid w:val="00034289"/>
    <w:rsid w:val="00034330"/>
    <w:rsid w:val="00035F55"/>
    <w:rsid w:val="000364C0"/>
    <w:rsid w:val="00036797"/>
    <w:rsid w:val="00037EC9"/>
    <w:rsid w:val="00040EC1"/>
    <w:rsid w:val="000410D8"/>
    <w:rsid w:val="00042BB2"/>
    <w:rsid w:val="000432F5"/>
    <w:rsid w:val="000434BE"/>
    <w:rsid w:val="00045106"/>
    <w:rsid w:val="00045616"/>
    <w:rsid w:val="0004572F"/>
    <w:rsid w:val="00045836"/>
    <w:rsid w:val="000461C3"/>
    <w:rsid w:val="00046F0D"/>
    <w:rsid w:val="000470BA"/>
    <w:rsid w:val="000509CE"/>
    <w:rsid w:val="00051B57"/>
    <w:rsid w:val="00053110"/>
    <w:rsid w:val="0005391E"/>
    <w:rsid w:val="00053954"/>
    <w:rsid w:val="00053B5B"/>
    <w:rsid w:val="000545C9"/>
    <w:rsid w:val="00054D85"/>
    <w:rsid w:val="00054D93"/>
    <w:rsid w:val="00054FA7"/>
    <w:rsid w:val="00056F12"/>
    <w:rsid w:val="00057303"/>
    <w:rsid w:val="00057AB0"/>
    <w:rsid w:val="00057D8F"/>
    <w:rsid w:val="00060503"/>
    <w:rsid w:val="000609B4"/>
    <w:rsid w:val="00061268"/>
    <w:rsid w:val="000619F9"/>
    <w:rsid w:val="00062721"/>
    <w:rsid w:val="00063910"/>
    <w:rsid w:val="00063F5B"/>
    <w:rsid w:val="0006500B"/>
    <w:rsid w:val="0006570C"/>
    <w:rsid w:val="00065F26"/>
    <w:rsid w:val="000661F3"/>
    <w:rsid w:val="000671A3"/>
    <w:rsid w:val="00070703"/>
    <w:rsid w:val="00070FAC"/>
    <w:rsid w:val="00071221"/>
    <w:rsid w:val="00072371"/>
    <w:rsid w:val="00073182"/>
    <w:rsid w:val="0007330F"/>
    <w:rsid w:val="00073BBB"/>
    <w:rsid w:val="00073FF6"/>
    <w:rsid w:val="000753D2"/>
    <w:rsid w:val="000753D8"/>
    <w:rsid w:val="0007624A"/>
    <w:rsid w:val="0007654B"/>
    <w:rsid w:val="00076619"/>
    <w:rsid w:val="000767D8"/>
    <w:rsid w:val="000769A9"/>
    <w:rsid w:val="000806C7"/>
    <w:rsid w:val="000808A8"/>
    <w:rsid w:val="00080C46"/>
    <w:rsid w:val="00081C4A"/>
    <w:rsid w:val="00082852"/>
    <w:rsid w:val="00082B6F"/>
    <w:rsid w:val="00082D58"/>
    <w:rsid w:val="00082EF1"/>
    <w:rsid w:val="00083147"/>
    <w:rsid w:val="00083358"/>
    <w:rsid w:val="00083AFB"/>
    <w:rsid w:val="00083F9F"/>
    <w:rsid w:val="00084780"/>
    <w:rsid w:val="00084941"/>
    <w:rsid w:val="000849CF"/>
    <w:rsid w:val="000851C9"/>
    <w:rsid w:val="00085D89"/>
    <w:rsid w:val="00085F00"/>
    <w:rsid w:val="000870DF"/>
    <w:rsid w:val="000908CF"/>
    <w:rsid w:val="00092924"/>
    <w:rsid w:val="00092A51"/>
    <w:rsid w:val="00092A7F"/>
    <w:rsid w:val="0009328D"/>
    <w:rsid w:val="00095374"/>
    <w:rsid w:val="00095572"/>
    <w:rsid w:val="000958CD"/>
    <w:rsid w:val="00095CDD"/>
    <w:rsid w:val="000966C2"/>
    <w:rsid w:val="00097789"/>
    <w:rsid w:val="000978EF"/>
    <w:rsid w:val="000A08A4"/>
    <w:rsid w:val="000A2608"/>
    <w:rsid w:val="000A26CD"/>
    <w:rsid w:val="000A2856"/>
    <w:rsid w:val="000A2AB2"/>
    <w:rsid w:val="000A2C7D"/>
    <w:rsid w:val="000A38BA"/>
    <w:rsid w:val="000A44EE"/>
    <w:rsid w:val="000A46B7"/>
    <w:rsid w:val="000A5981"/>
    <w:rsid w:val="000A5AAC"/>
    <w:rsid w:val="000A69A6"/>
    <w:rsid w:val="000A6AB3"/>
    <w:rsid w:val="000A7A63"/>
    <w:rsid w:val="000A7FB1"/>
    <w:rsid w:val="000B0982"/>
    <w:rsid w:val="000B1868"/>
    <w:rsid w:val="000B1D98"/>
    <w:rsid w:val="000B2522"/>
    <w:rsid w:val="000B28BB"/>
    <w:rsid w:val="000B471B"/>
    <w:rsid w:val="000B4D34"/>
    <w:rsid w:val="000B52B2"/>
    <w:rsid w:val="000B578A"/>
    <w:rsid w:val="000B5B6C"/>
    <w:rsid w:val="000B5C03"/>
    <w:rsid w:val="000B5E32"/>
    <w:rsid w:val="000B618C"/>
    <w:rsid w:val="000B6870"/>
    <w:rsid w:val="000B6BB8"/>
    <w:rsid w:val="000B7BA4"/>
    <w:rsid w:val="000C031F"/>
    <w:rsid w:val="000C0571"/>
    <w:rsid w:val="000C1112"/>
    <w:rsid w:val="000C16F0"/>
    <w:rsid w:val="000C1AB1"/>
    <w:rsid w:val="000C2419"/>
    <w:rsid w:val="000C26C7"/>
    <w:rsid w:val="000C2742"/>
    <w:rsid w:val="000C2E13"/>
    <w:rsid w:val="000C2EC9"/>
    <w:rsid w:val="000C3B43"/>
    <w:rsid w:val="000C3E8F"/>
    <w:rsid w:val="000C5317"/>
    <w:rsid w:val="000C5B50"/>
    <w:rsid w:val="000C5CD3"/>
    <w:rsid w:val="000C6149"/>
    <w:rsid w:val="000C6CFE"/>
    <w:rsid w:val="000C76EB"/>
    <w:rsid w:val="000C7950"/>
    <w:rsid w:val="000D0B44"/>
    <w:rsid w:val="000D0BBB"/>
    <w:rsid w:val="000D0D5B"/>
    <w:rsid w:val="000D1773"/>
    <w:rsid w:val="000D1F51"/>
    <w:rsid w:val="000D265B"/>
    <w:rsid w:val="000D2A64"/>
    <w:rsid w:val="000D302B"/>
    <w:rsid w:val="000D31E5"/>
    <w:rsid w:val="000D398C"/>
    <w:rsid w:val="000D3C39"/>
    <w:rsid w:val="000D44F0"/>
    <w:rsid w:val="000D53E0"/>
    <w:rsid w:val="000D5566"/>
    <w:rsid w:val="000D605F"/>
    <w:rsid w:val="000D6599"/>
    <w:rsid w:val="000D70A9"/>
    <w:rsid w:val="000D7F32"/>
    <w:rsid w:val="000E1186"/>
    <w:rsid w:val="000E2052"/>
    <w:rsid w:val="000E26A4"/>
    <w:rsid w:val="000E2739"/>
    <w:rsid w:val="000E2D9D"/>
    <w:rsid w:val="000E302E"/>
    <w:rsid w:val="000E363E"/>
    <w:rsid w:val="000E54CF"/>
    <w:rsid w:val="000E5CA0"/>
    <w:rsid w:val="000E632E"/>
    <w:rsid w:val="000E68EF"/>
    <w:rsid w:val="000E6DBB"/>
    <w:rsid w:val="000F09F5"/>
    <w:rsid w:val="000F0F25"/>
    <w:rsid w:val="000F129F"/>
    <w:rsid w:val="000F1752"/>
    <w:rsid w:val="000F3899"/>
    <w:rsid w:val="000F3B58"/>
    <w:rsid w:val="000F4EE5"/>
    <w:rsid w:val="000F658C"/>
    <w:rsid w:val="000F6711"/>
    <w:rsid w:val="000F6BF4"/>
    <w:rsid w:val="000F77AF"/>
    <w:rsid w:val="000F7FC6"/>
    <w:rsid w:val="00100128"/>
    <w:rsid w:val="00101132"/>
    <w:rsid w:val="00101AEC"/>
    <w:rsid w:val="0010247F"/>
    <w:rsid w:val="00103676"/>
    <w:rsid w:val="00103E5D"/>
    <w:rsid w:val="001051EF"/>
    <w:rsid w:val="001053BC"/>
    <w:rsid w:val="001056AF"/>
    <w:rsid w:val="00106B73"/>
    <w:rsid w:val="00106D4F"/>
    <w:rsid w:val="00106F43"/>
    <w:rsid w:val="00107A5A"/>
    <w:rsid w:val="00107D33"/>
    <w:rsid w:val="00107EAB"/>
    <w:rsid w:val="0011097F"/>
    <w:rsid w:val="00110F94"/>
    <w:rsid w:val="00110FD2"/>
    <w:rsid w:val="00111B9B"/>
    <w:rsid w:val="00111F28"/>
    <w:rsid w:val="0011236B"/>
    <w:rsid w:val="001135AA"/>
    <w:rsid w:val="001138B5"/>
    <w:rsid w:val="00117B84"/>
    <w:rsid w:val="00117D04"/>
    <w:rsid w:val="00120619"/>
    <w:rsid w:val="00120D40"/>
    <w:rsid w:val="001214EE"/>
    <w:rsid w:val="00121A9A"/>
    <w:rsid w:val="00121DF8"/>
    <w:rsid w:val="00121EFB"/>
    <w:rsid w:val="001220B5"/>
    <w:rsid w:val="001220F1"/>
    <w:rsid w:val="001226BC"/>
    <w:rsid w:val="00122714"/>
    <w:rsid w:val="00123AE4"/>
    <w:rsid w:val="00130E67"/>
    <w:rsid w:val="00131075"/>
    <w:rsid w:val="0013362A"/>
    <w:rsid w:val="00134481"/>
    <w:rsid w:val="001346B5"/>
    <w:rsid w:val="00135153"/>
    <w:rsid w:val="001354E0"/>
    <w:rsid w:val="00135954"/>
    <w:rsid w:val="0013633D"/>
    <w:rsid w:val="00136E77"/>
    <w:rsid w:val="001379FE"/>
    <w:rsid w:val="0014009D"/>
    <w:rsid w:val="001400B3"/>
    <w:rsid w:val="00140638"/>
    <w:rsid w:val="0014080A"/>
    <w:rsid w:val="00140B3C"/>
    <w:rsid w:val="00140B90"/>
    <w:rsid w:val="00140D04"/>
    <w:rsid w:val="00141328"/>
    <w:rsid w:val="00141B55"/>
    <w:rsid w:val="0014201C"/>
    <w:rsid w:val="001422B6"/>
    <w:rsid w:val="00142311"/>
    <w:rsid w:val="001424D7"/>
    <w:rsid w:val="001427C0"/>
    <w:rsid w:val="00143729"/>
    <w:rsid w:val="00143ACA"/>
    <w:rsid w:val="00144185"/>
    <w:rsid w:val="0014648C"/>
    <w:rsid w:val="001467F4"/>
    <w:rsid w:val="0014781D"/>
    <w:rsid w:val="001478CC"/>
    <w:rsid w:val="00147FCE"/>
    <w:rsid w:val="00150EE4"/>
    <w:rsid w:val="00151589"/>
    <w:rsid w:val="00151B0B"/>
    <w:rsid w:val="00151D75"/>
    <w:rsid w:val="00153285"/>
    <w:rsid w:val="001544D2"/>
    <w:rsid w:val="001546BC"/>
    <w:rsid w:val="0015471D"/>
    <w:rsid w:val="00155FD6"/>
    <w:rsid w:val="0015640C"/>
    <w:rsid w:val="001565A6"/>
    <w:rsid w:val="00157312"/>
    <w:rsid w:val="001601E8"/>
    <w:rsid w:val="00160356"/>
    <w:rsid w:val="0016064F"/>
    <w:rsid w:val="001614F3"/>
    <w:rsid w:val="00161C3B"/>
    <w:rsid w:val="001634CD"/>
    <w:rsid w:val="00164119"/>
    <w:rsid w:val="00164C98"/>
    <w:rsid w:val="00164EB2"/>
    <w:rsid w:val="00165B04"/>
    <w:rsid w:val="00165DDD"/>
    <w:rsid w:val="00166258"/>
    <w:rsid w:val="0016626A"/>
    <w:rsid w:val="00166330"/>
    <w:rsid w:val="0016720D"/>
    <w:rsid w:val="00167590"/>
    <w:rsid w:val="001676FE"/>
    <w:rsid w:val="00167C6A"/>
    <w:rsid w:val="00167F16"/>
    <w:rsid w:val="001708AD"/>
    <w:rsid w:val="00170D53"/>
    <w:rsid w:val="001715C6"/>
    <w:rsid w:val="00173C33"/>
    <w:rsid w:val="00173F9D"/>
    <w:rsid w:val="00174326"/>
    <w:rsid w:val="001744CB"/>
    <w:rsid w:val="0017459F"/>
    <w:rsid w:val="0017553B"/>
    <w:rsid w:val="001755FE"/>
    <w:rsid w:val="00175644"/>
    <w:rsid w:val="001762E0"/>
    <w:rsid w:val="00177AC4"/>
    <w:rsid w:val="00177E79"/>
    <w:rsid w:val="00180CDF"/>
    <w:rsid w:val="001813BE"/>
    <w:rsid w:val="00181FD2"/>
    <w:rsid w:val="001834C2"/>
    <w:rsid w:val="0018466C"/>
    <w:rsid w:val="00184CF1"/>
    <w:rsid w:val="0018509A"/>
    <w:rsid w:val="00185357"/>
    <w:rsid w:val="00185B3E"/>
    <w:rsid w:val="00185ECF"/>
    <w:rsid w:val="00186220"/>
    <w:rsid w:val="001864A2"/>
    <w:rsid w:val="00186CD4"/>
    <w:rsid w:val="00187AC5"/>
    <w:rsid w:val="00187E5D"/>
    <w:rsid w:val="00190010"/>
    <w:rsid w:val="001906AA"/>
    <w:rsid w:val="00191248"/>
    <w:rsid w:val="001918B1"/>
    <w:rsid w:val="0019191C"/>
    <w:rsid w:val="00191AA8"/>
    <w:rsid w:val="00191D70"/>
    <w:rsid w:val="00191DEA"/>
    <w:rsid w:val="001931A9"/>
    <w:rsid w:val="00193872"/>
    <w:rsid w:val="00193B0F"/>
    <w:rsid w:val="00193BE0"/>
    <w:rsid w:val="00194A2C"/>
    <w:rsid w:val="001962B8"/>
    <w:rsid w:val="0019644B"/>
    <w:rsid w:val="001A0013"/>
    <w:rsid w:val="001A07AE"/>
    <w:rsid w:val="001A0A34"/>
    <w:rsid w:val="001A1610"/>
    <w:rsid w:val="001A1733"/>
    <w:rsid w:val="001A1F72"/>
    <w:rsid w:val="001A2AD3"/>
    <w:rsid w:val="001A31D8"/>
    <w:rsid w:val="001A324B"/>
    <w:rsid w:val="001A3DB2"/>
    <w:rsid w:val="001A3DF2"/>
    <w:rsid w:val="001A3EA8"/>
    <w:rsid w:val="001A5045"/>
    <w:rsid w:val="001A5417"/>
    <w:rsid w:val="001A572B"/>
    <w:rsid w:val="001A5DBC"/>
    <w:rsid w:val="001A69D9"/>
    <w:rsid w:val="001B05E5"/>
    <w:rsid w:val="001B06BE"/>
    <w:rsid w:val="001B11AB"/>
    <w:rsid w:val="001B18AE"/>
    <w:rsid w:val="001B1A85"/>
    <w:rsid w:val="001B24AC"/>
    <w:rsid w:val="001B2BB8"/>
    <w:rsid w:val="001B37EE"/>
    <w:rsid w:val="001B4019"/>
    <w:rsid w:val="001B4032"/>
    <w:rsid w:val="001B50C3"/>
    <w:rsid w:val="001B5CA7"/>
    <w:rsid w:val="001B5D9A"/>
    <w:rsid w:val="001B61FD"/>
    <w:rsid w:val="001B6495"/>
    <w:rsid w:val="001B6667"/>
    <w:rsid w:val="001B6907"/>
    <w:rsid w:val="001B6F17"/>
    <w:rsid w:val="001B739B"/>
    <w:rsid w:val="001B7B15"/>
    <w:rsid w:val="001C03AB"/>
    <w:rsid w:val="001C05D3"/>
    <w:rsid w:val="001C0602"/>
    <w:rsid w:val="001C0F39"/>
    <w:rsid w:val="001C0FDA"/>
    <w:rsid w:val="001C14AE"/>
    <w:rsid w:val="001C1A8D"/>
    <w:rsid w:val="001C1A95"/>
    <w:rsid w:val="001C1F60"/>
    <w:rsid w:val="001C22F5"/>
    <w:rsid w:val="001C25D0"/>
    <w:rsid w:val="001C285A"/>
    <w:rsid w:val="001C3FB7"/>
    <w:rsid w:val="001C57E5"/>
    <w:rsid w:val="001C57EE"/>
    <w:rsid w:val="001C6581"/>
    <w:rsid w:val="001C73DC"/>
    <w:rsid w:val="001C7F61"/>
    <w:rsid w:val="001D2517"/>
    <w:rsid w:val="001D3B99"/>
    <w:rsid w:val="001D3C4C"/>
    <w:rsid w:val="001D3CA5"/>
    <w:rsid w:val="001D468F"/>
    <w:rsid w:val="001D5F82"/>
    <w:rsid w:val="001D6E0E"/>
    <w:rsid w:val="001D6E2C"/>
    <w:rsid w:val="001D7085"/>
    <w:rsid w:val="001E0760"/>
    <w:rsid w:val="001E0C2C"/>
    <w:rsid w:val="001E0D58"/>
    <w:rsid w:val="001E1FBC"/>
    <w:rsid w:val="001E2D6D"/>
    <w:rsid w:val="001E3522"/>
    <w:rsid w:val="001E41A0"/>
    <w:rsid w:val="001E496E"/>
    <w:rsid w:val="001E4A8F"/>
    <w:rsid w:val="001E4B1D"/>
    <w:rsid w:val="001E5802"/>
    <w:rsid w:val="001F070D"/>
    <w:rsid w:val="001F0F28"/>
    <w:rsid w:val="001F1B38"/>
    <w:rsid w:val="001F24B5"/>
    <w:rsid w:val="001F279D"/>
    <w:rsid w:val="001F3813"/>
    <w:rsid w:val="001F40A0"/>
    <w:rsid w:val="001F444F"/>
    <w:rsid w:val="001F47FA"/>
    <w:rsid w:val="001F48C5"/>
    <w:rsid w:val="001F5545"/>
    <w:rsid w:val="001F56B9"/>
    <w:rsid w:val="001F591D"/>
    <w:rsid w:val="001F5A63"/>
    <w:rsid w:val="001F612E"/>
    <w:rsid w:val="001F6497"/>
    <w:rsid w:val="001F65C8"/>
    <w:rsid w:val="001F6F32"/>
    <w:rsid w:val="001F7391"/>
    <w:rsid w:val="001F740E"/>
    <w:rsid w:val="001F767C"/>
    <w:rsid w:val="002000EB"/>
    <w:rsid w:val="00200B85"/>
    <w:rsid w:val="002016D8"/>
    <w:rsid w:val="00201B09"/>
    <w:rsid w:val="00201F16"/>
    <w:rsid w:val="002026A2"/>
    <w:rsid w:val="00202DE2"/>
    <w:rsid w:val="0020327A"/>
    <w:rsid w:val="0020342B"/>
    <w:rsid w:val="0020395C"/>
    <w:rsid w:val="00203C63"/>
    <w:rsid w:val="0020419F"/>
    <w:rsid w:val="00204BF1"/>
    <w:rsid w:val="00204C70"/>
    <w:rsid w:val="00205877"/>
    <w:rsid w:val="00206959"/>
    <w:rsid w:val="002069F8"/>
    <w:rsid w:val="00207795"/>
    <w:rsid w:val="00207D22"/>
    <w:rsid w:val="002107B3"/>
    <w:rsid w:val="002111EC"/>
    <w:rsid w:val="00211AC1"/>
    <w:rsid w:val="002125F7"/>
    <w:rsid w:val="00212987"/>
    <w:rsid w:val="00213780"/>
    <w:rsid w:val="00213E22"/>
    <w:rsid w:val="00214080"/>
    <w:rsid w:val="002145D8"/>
    <w:rsid w:val="002157E8"/>
    <w:rsid w:val="002158EE"/>
    <w:rsid w:val="00217676"/>
    <w:rsid w:val="002201CA"/>
    <w:rsid w:val="00220F57"/>
    <w:rsid w:val="00221939"/>
    <w:rsid w:val="00221BE7"/>
    <w:rsid w:val="00222009"/>
    <w:rsid w:val="00222C36"/>
    <w:rsid w:val="00223E5B"/>
    <w:rsid w:val="0022455E"/>
    <w:rsid w:val="002245F2"/>
    <w:rsid w:val="00224919"/>
    <w:rsid w:val="00224DC1"/>
    <w:rsid w:val="00225163"/>
    <w:rsid w:val="002261F2"/>
    <w:rsid w:val="0022685F"/>
    <w:rsid w:val="00227DD4"/>
    <w:rsid w:val="00227DFC"/>
    <w:rsid w:val="00231E4C"/>
    <w:rsid w:val="0023271F"/>
    <w:rsid w:val="002339E3"/>
    <w:rsid w:val="002352D8"/>
    <w:rsid w:val="002358BA"/>
    <w:rsid w:val="0023613D"/>
    <w:rsid w:val="0023683F"/>
    <w:rsid w:val="00236885"/>
    <w:rsid w:val="00236F4E"/>
    <w:rsid w:val="0023746E"/>
    <w:rsid w:val="0024062D"/>
    <w:rsid w:val="00240D3B"/>
    <w:rsid w:val="00240E26"/>
    <w:rsid w:val="0024116F"/>
    <w:rsid w:val="00241AE1"/>
    <w:rsid w:val="00243687"/>
    <w:rsid w:val="00243F38"/>
    <w:rsid w:val="00244B49"/>
    <w:rsid w:val="0024507C"/>
    <w:rsid w:val="00245232"/>
    <w:rsid w:val="00246BAB"/>
    <w:rsid w:val="00246C16"/>
    <w:rsid w:val="00246DB3"/>
    <w:rsid w:val="0024758E"/>
    <w:rsid w:val="00247ADB"/>
    <w:rsid w:val="00247DEF"/>
    <w:rsid w:val="0025012D"/>
    <w:rsid w:val="002505AA"/>
    <w:rsid w:val="00250FFD"/>
    <w:rsid w:val="00251673"/>
    <w:rsid w:val="0025183D"/>
    <w:rsid w:val="002518A5"/>
    <w:rsid w:val="00252A89"/>
    <w:rsid w:val="00252BB8"/>
    <w:rsid w:val="00252CD6"/>
    <w:rsid w:val="00253046"/>
    <w:rsid w:val="0025383D"/>
    <w:rsid w:val="00253E68"/>
    <w:rsid w:val="00254E01"/>
    <w:rsid w:val="002559D2"/>
    <w:rsid w:val="00257226"/>
    <w:rsid w:val="0025731B"/>
    <w:rsid w:val="00260CD6"/>
    <w:rsid w:val="00260EC3"/>
    <w:rsid w:val="002619CC"/>
    <w:rsid w:val="00261A75"/>
    <w:rsid w:val="00261C16"/>
    <w:rsid w:val="00262698"/>
    <w:rsid w:val="0026309A"/>
    <w:rsid w:val="002632A2"/>
    <w:rsid w:val="0026341A"/>
    <w:rsid w:val="00264833"/>
    <w:rsid w:val="002649B5"/>
    <w:rsid w:val="002666CB"/>
    <w:rsid w:val="00266A5F"/>
    <w:rsid w:val="00266AFA"/>
    <w:rsid w:val="00266FE2"/>
    <w:rsid w:val="002700E1"/>
    <w:rsid w:val="002700F0"/>
    <w:rsid w:val="00270A28"/>
    <w:rsid w:val="0027113E"/>
    <w:rsid w:val="002721C9"/>
    <w:rsid w:val="002721FC"/>
    <w:rsid w:val="00272B34"/>
    <w:rsid w:val="00272BCA"/>
    <w:rsid w:val="0027327C"/>
    <w:rsid w:val="0027393A"/>
    <w:rsid w:val="00273ECB"/>
    <w:rsid w:val="002740CE"/>
    <w:rsid w:val="00274280"/>
    <w:rsid w:val="00274926"/>
    <w:rsid w:val="00274A3E"/>
    <w:rsid w:val="00274F95"/>
    <w:rsid w:val="0027530A"/>
    <w:rsid w:val="00275696"/>
    <w:rsid w:val="002767B8"/>
    <w:rsid w:val="00276EC9"/>
    <w:rsid w:val="0027714B"/>
    <w:rsid w:val="002779FE"/>
    <w:rsid w:val="00277DED"/>
    <w:rsid w:val="002807F9"/>
    <w:rsid w:val="0028083E"/>
    <w:rsid w:val="00280C44"/>
    <w:rsid w:val="00280D79"/>
    <w:rsid w:val="00280FD4"/>
    <w:rsid w:val="00283C95"/>
    <w:rsid w:val="00283EBF"/>
    <w:rsid w:val="00284241"/>
    <w:rsid w:val="0028439F"/>
    <w:rsid w:val="00284743"/>
    <w:rsid w:val="00285D85"/>
    <w:rsid w:val="00286E98"/>
    <w:rsid w:val="00287106"/>
    <w:rsid w:val="00287AE0"/>
    <w:rsid w:val="00290194"/>
    <w:rsid w:val="002913FA"/>
    <w:rsid w:val="00291420"/>
    <w:rsid w:val="00291A23"/>
    <w:rsid w:val="00292446"/>
    <w:rsid w:val="00292751"/>
    <w:rsid w:val="002932D5"/>
    <w:rsid w:val="002934E0"/>
    <w:rsid w:val="0029451E"/>
    <w:rsid w:val="00295260"/>
    <w:rsid w:val="00295573"/>
    <w:rsid w:val="002963C0"/>
    <w:rsid w:val="002A06DF"/>
    <w:rsid w:val="002A096E"/>
    <w:rsid w:val="002A1CE2"/>
    <w:rsid w:val="002A2903"/>
    <w:rsid w:val="002A3E1E"/>
    <w:rsid w:val="002A3E32"/>
    <w:rsid w:val="002A48E0"/>
    <w:rsid w:val="002A4E81"/>
    <w:rsid w:val="002A4EC3"/>
    <w:rsid w:val="002A5822"/>
    <w:rsid w:val="002A590B"/>
    <w:rsid w:val="002A6713"/>
    <w:rsid w:val="002A68C2"/>
    <w:rsid w:val="002A69F1"/>
    <w:rsid w:val="002A739C"/>
    <w:rsid w:val="002A761F"/>
    <w:rsid w:val="002A774A"/>
    <w:rsid w:val="002A7B29"/>
    <w:rsid w:val="002A7EB0"/>
    <w:rsid w:val="002B0184"/>
    <w:rsid w:val="002B07A9"/>
    <w:rsid w:val="002B07C2"/>
    <w:rsid w:val="002B0878"/>
    <w:rsid w:val="002B0FDA"/>
    <w:rsid w:val="002B140F"/>
    <w:rsid w:val="002B2207"/>
    <w:rsid w:val="002B23E2"/>
    <w:rsid w:val="002B2BAA"/>
    <w:rsid w:val="002B2CA5"/>
    <w:rsid w:val="002B369E"/>
    <w:rsid w:val="002B4D7C"/>
    <w:rsid w:val="002B4ED4"/>
    <w:rsid w:val="002B5316"/>
    <w:rsid w:val="002B557F"/>
    <w:rsid w:val="002B6562"/>
    <w:rsid w:val="002B659A"/>
    <w:rsid w:val="002B7191"/>
    <w:rsid w:val="002B7EDA"/>
    <w:rsid w:val="002C064A"/>
    <w:rsid w:val="002C0958"/>
    <w:rsid w:val="002C0C40"/>
    <w:rsid w:val="002C18B0"/>
    <w:rsid w:val="002C1AEF"/>
    <w:rsid w:val="002C1EA9"/>
    <w:rsid w:val="002C1EDA"/>
    <w:rsid w:val="002C2120"/>
    <w:rsid w:val="002C241F"/>
    <w:rsid w:val="002C2534"/>
    <w:rsid w:val="002C2F35"/>
    <w:rsid w:val="002C4A02"/>
    <w:rsid w:val="002C65E6"/>
    <w:rsid w:val="002C76C5"/>
    <w:rsid w:val="002D0320"/>
    <w:rsid w:val="002D098E"/>
    <w:rsid w:val="002D0AFB"/>
    <w:rsid w:val="002D0DCB"/>
    <w:rsid w:val="002D38E8"/>
    <w:rsid w:val="002D3EAE"/>
    <w:rsid w:val="002D47FF"/>
    <w:rsid w:val="002D4F0F"/>
    <w:rsid w:val="002D5DDA"/>
    <w:rsid w:val="002D6E8D"/>
    <w:rsid w:val="002E0688"/>
    <w:rsid w:val="002E0787"/>
    <w:rsid w:val="002E0849"/>
    <w:rsid w:val="002E0CF9"/>
    <w:rsid w:val="002E10E8"/>
    <w:rsid w:val="002E1622"/>
    <w:rsid w:val="002E1873"/>
    <w:rsid w:val="002E2EDF"/>
    <w:rsid w:val="002E340F"/>
    <w:rsid w:val="002E3BD6"/>
    <w:rsid w:val="002E4128"/>
    <w:rsid w:val="002E4565"/>
    <w:rsid w:val="002E49F1"/>
    <w:rsid w:val="002E5688"/>
    <w:rsid w:val="002E649D"/>
    <w:rsid w:val="002E71B3"/>
    <w:rsid w:val="002F0B08"/>
    <w:rsid w:val="002F18AD"/>
    <w:rsid w:val="002F242E"/>
    <w:rsid w:val="002F2D95"/>
    <w:rsid w:val="002F32C1"/>
    <w:rsid w:val="002F37CE"/>
    <w:rsid w:val="002F4216"/>
    <w:rsid w:val="002F585A"/>
    <w:rsid w:val="002F677A"/>
    <w:rsid w:val="002F67CD"/>
    <w:rsid w:val="002F69D9"/>
    <w:rsid w:val="002F779E"/>
    <w:rsid w:val="00300C95"/>
    <w:rsid w:val="00300FC8"/>
    <w:rsid w:val="0030195D"/>
    <w:rsid w:val="00301D88"/>
    <w:rsid w:val="003027A4"/>
    <w:rsid w:val="00302CDB"/>
    <w:rsid w:val="00302D1A"/>
    <w:rsid w:val="00303215"/>
    <w:rsid w:val="00305B36"/>
    <w:rsid w:val="00305F2D"/>
    <w:rsid w:val="00306060"/>
    <w:rsid w:val="00306593"/>
    <w:rsid w:val="00306B5F"/>
    <w:rsid w:val="003071AA"/>
    <w:rsid w:val="0030755B"/>
    <w:rsid w:val="003127EE"/>
    <w:rsid w:val="003131FE"/>
    <w:rsid w:val="00313B12"/>
    <w:rsid w:val="00313EC9"/>
    <w:rsid w:val="00314A46"/>
    <w:rsid w:val="00314BB4"/>
    <w:rsid w:val="003155CF"/>
    <w:rsid w:val="00315A23"/>
    <w:rsid w:val="0031613F"/>
    <w:rsid w:val="0031737C"/>
    <w:rsid w:val="00317D0A"/>
    <w:rsid w:val="00317F89"/>
    <w:rsid w:val="00320785"/>
    <w:rsid w:val="003213A8"/>
    <w:rsid w:val="00321AA4"/>
    <w:rsid w:val="003223F7"/>
    <w:rsid w:val="00322C20"/>
    <w:rsid w:val="00323711"/>
    <w:rsid w:val="003253F3"/>
    <w:rsid w:val="00325E41"/>
    <w:rsid w:val="003263CA"/>
    <w:rsid w:val="00326C68"/>
    <w:rsid w:val="00326E51"/>
    <w:rsid w:val="0032720F"/>
    <w:rsid w:val="003276C1"/>
    <w:rsid w:val="00327DA6"/>
    <w:rsid w:val="00327DCB"/>
    <w:rsid w:val="00327F0E"/>
    <w:rsid w:val="0033010E"/>
    <w:rsid w:val="003305C6"/>
    <w:rsid w:val="00330933"/>
    <w:rsid w:val="003310A1"/>
    <w:rsid w:val="0033112C"/>
    <w:rsid w:val="00332FFF"/>
    <w:rsid w:val="003339E4"/>
    <w:rsid w:val="00333BC9"/>
    <w:rsid w:val="00333F39"/>
    <w:rsid w:val="003345A5"/>
    <w:rsid w:val="003348F5"/>
    <w:rsid w:val="00334957"/>
    <w:rsid w:val="00334BBC"/>
    <w:rsid w:val="00334CE3"/>
    <w:rsid w:val="00335456"/>
    <w:rsid w:val="00335755"/>
    <w:rsid w:val="003361DA"/>
    <w:rsid w:val="003361F0"/>
    <w:rsid w:val="00336594"/>
    <w:rsid w:val="00336B15"/>
    <w:rsid w:val="00337691"/>
    <w:rsid w:val="003404C9"/>
    <w:rsid w:val="00340B79"/>
    <w:rsid w:val="00340C81"/>
    <w:rsid w:val="00340EBD"/>
    <w:rsid w:val="00341200"/>
    <w:rsid w:val="00341309"/>
    <w:rsid w:val="0034132C"/>
    <w:rsid w:val="00341504"/>
    <w:rsid w:val="00341F9F"/>
    <w:rsid w:val="003424CE"/>
    <w:rsid w:val="003437CF"/>
    <w:rsid w:val="003438E8"/>
    <w:rsid w:val="0034395E"/>
    <w:rsid w:val="00344519"/>
    <w:rsid w:val="0034481D"/>
    <w:rsid w:val="003451A9"/>
    <w:rsid w:val="00345296"/>
    <w:rsid w:val="00346BAA"/>
    <w:rsid w:val="00346D99"/>
    <w:rsid w:val="00347470"/>
    <w:rsid w:val="003501AD"/>
    <w:rsid w:val="00350382"/>
    <w:rsid w:val="003509D7"/>
    <w:rsid w:val="00351642"/>
    <w:rsid w:val="003518B4"/>
    <w:rsid w:val="003526BA"/>
    <w:rsid w:val="00353582"/>
    <w:rsid w:val="00353859"/>
    <w:rsid w:val="00354A9E"/>
    <w:rsid w:val="003557EE"/>
    <w:rsid w:val="003559F6"/>
    <w:rsid w:val="003567FD"/>
    <w:rsid w:val="003568C6"/>
    <w:rsid w:val="00356A79"/>
    <w:rsid w:val="00360054"/>
    <w:rsid w:val="00360540"/>
    <w:rsid w:val="00361848"/>
    <w:rsid w:val="00362244"/>
    <w:rsid w:val="00362779"/>
    <w:rsid w:val="00363356"/>
    <w:rsid w:val="00363590"/>
    <w:rsid w:val="00364A79"/>
    <w:rsid w:val="00364D3F"/>
    <w:rsid w:val="00365CAB"/>
    <w:rsid w:val="00365D34"/>
    <w:rsid w:val="00365F47"/>
    <w:rsid w:val="00366314"/>
    <w:rsid w:val="0036633A"/>
    <w:rsid w:val="0036643D"/>
    <w:rsid w:val="00366656"/>
    <w:rsid w:val="003676B6"/>
    <w:rsid w:val="00367DDB"/>
    <w:rsid w:val="00370234"/>
    <w:rsid w:val="003712F1"/>
    <w:rsid w:val="00371A01"/>
    <w:rsid w:val="00371F03"/>
    <w:rsid w:val="003723F2"/>
    <w:rsid w:val="003728CC"/>
    <w:rsid w:val="00372A36"/>
    <w:rsid w:val="00372DA3"/>
    <w:rsid w:val="00373ACA"/>
    <w:rsid w:val="00374639"/>
    <w:rsid w:val="003749CB"/>
    <w:rsid w:val="00375090"/>
    <w:rsid w:val="003756D1"/>
    <w:rsid w:val="00375712"/>
    <w:rsid w:val="00375F93"/>
    <w:rsid w:val="00376286"/>
    <w:rsid w:val="00376382"/>
    <w:rsid w:val="00376E4B"/>
    <w:rsid w:val="003773B7"/>
    <w:rsid w:val="00377853"/>
    <w:rsid w:val="00380F25"/>
    <w:rsid w:val="0038124C"/>
    <w:rsid w:val="0038143D"/>
    <w:rsid w:val="003822D3"/>
    <w:rsid w:val="00382D00"/>
    <w:rsid w:val="0038353C"/>
    <w:rsid w:val="00384975"/>
    <w:rsid w:val="003852AB"/>
    <w:rsid w:val="003854A5"/>
    <w:rsid w:val="00386150"/>
    <w:rsid w:val="00386200"/>
    <w:rsid w:val="00386A7C"/>
    <w:rsid w:val="00386B85"/>
    <w:rsid w:val="00390455"/>
    <w:rsid w:val="00390EE6"/>
    <w:rsid w:val="003915A2"/>
    <w:rsid w:val="00391C38"/>
    <w:rsid w:val="00391CD9"/>
    <w:rsid w:val="003923CE"/>
    <w:rsid w:val="003924EF"/>
    <w:rsid w:val="00393698"/>
    <w:rsid w:val="003943BE"/>
    <w:rsid w:val="003949C3"/>
    <w:rsid w:val="00396763"/>
    <w:rsid w:val="0039705A"/>
    <w:rsid w:val="003977E4"/>
    <w:rsid w:val="00397A15"/>
    <w:rsid w:val="00397CBE"/>
    <w:rsid w:val="00397F66"/>
    <w:rsid w:val="003A11C9"/>
    <w:rsid w:val="003A1457"/>
    <w:rsid w:val="003A19CF"/>
    <w:rsid w:val="003A1DB9"/>
    <w:rsid w:val="003A3458"/>
    <w:rsid w:val="003A45A7"/>
    <w:rsid w:val="003A509A"/>
    <w:rsid w:val="003A5114"/>
    <w:rsid w:val="003A65E6"/>
    <w:rsid w:val="003A66DF"/>
    <w:rsid w:val="003A675A"/>
    <w:rsid w:val="003A71D5"/>
    <w:rsid w:val="003A7859"/>
    <w:rsid w:val="003A7DFC"/>
    <w:rsid w:val="003A7F35"/>
    <w:rsid w:val="003B04FC"/>
    <w:rsid w:val="003B0832"/>
    <w:rsid w:val="003B09A0"/>
    <w:rsid w:val="003B0CF7"/>
    <w:rsid w:val="003B102D"/>
    <w:rsid w:val="003B115C"/>
    <w:rsid w:val="003B22D1"/>
    <w:rsid w:val="003B2667"/>
    <w:rsid w:val="003B3773"/>
    <w:rsid w:val="003B3CE1"/>
    <w:rsid w:val="003B3E6A"/>
    <w:rsid w:val="003B4BB5"/>
    <w:rsid w:val="003B5A25"/>
    <w:rsid w:val="003B68A1"/>
    <w:rsid w:val="003C07E9"/>
    <w:rsid w:val="003C087A"/>
    <w:rsid w:val="003C0B9F"/>
    <w:rsid w:val="003C1448"/>
    <w:rsid w:val="003C1A2D"/>
    <w:rsid w:val="003C1D6E"/>
    <w:rsid w:val="003C2918"/>
    <w:rsid w:val="003C29C3"/>
    <w:rsid w:val="003C2A63"/>
    <w:rsid w:val="003C3792"/>
    <w:rsid w:val="003C3B7C"/>
    <w:rsid w:val="003C45E0"/>
    <w:rsid w:val="003C5934"/>
    <w:rsid w:val="003C5F3D"/>
    <w:rsid w:val="003C732E"/>
    <w:rsid w:val="003C7355"/>
    <w:rsid w:val="003D01CB"/>
    <w:rsid w:val="003D075A"/>
    <w:rsid w:val="003D0872"/>
    <w:rsid w:val="003D18C2"/>
    <w:rsid w:val="003D1A97"/>
    <w:rsid w:val="003D1E13"/>
    <w:rsid w:val="003D24DD"/>
    <w:rsid w:val="003D24E5"/>
    <w:rsid w:val="003D25CC"/>
    <w:rsid w:val="003D2DC8"/>
    <w:rsid w:val="003D3B28"/>
    <w:rsid w:val="003D584B"/>
    <w:rsid w:val="003D6890"/>
    <w:rsid w:val="003D716A"/>
    <w:rsid w:val="003D759C"/>
    <w:rsid w:val="003E03A8"/>
    <w:rsid w:val="003E0596"/>
    <w:rsid w:val="003E07DD"/>
    <w:rsid w:val="003E15C0"/>
    <w:rsid w:val="003E2147"/>
    <w:rsid w:val="003E2A9E"/>
    <w:rsid w:val="003E2DCE"/>
    <w:rsid w:val="003E3189"/>
    <w:rsid w:val="003E454C"/>
    <w:rsid w:val="003E5F39"/>
    <w:rsid w:val="003E645B"/>
    <w:rsid w:val="003E7231"/>
    <w:rsid w:val="003E79E3"/>
    <w:rsid w:val="003E7D37"/>
    <w:rsid w:val="003F031F"/>
    <w:rsid w:val="003F075F"/>
    <w:rsid w:val="003F0DDB"/>
    <w:rsid w:val="003F0EDB"/>
    <w:rsid w:val="003F0F0E"/>
    <w:rsid w:val="003F22ED"/>
    <w:rsid w:val="003F3773"/>
    <w:rsid w:val="003F47AB"/>
    <w:rsid w:val="003F4B27"/>
    <w:rsid w:val="003F5300"/>
    <w:rsid w:val="003F77EF"/>
    <w:rsid w:val="004002F0"/>
    <w:rsid w:val="00400506"/>
    <w:rsid w:val="00402382"/>
    <w:rsid w:val="004024EF"/>
    <w:rsid w:val="0040327C"/>
    <w:rsid w:val="004049F2"/>
    <w:rsid w:val="00406B80"/>
    <w:rsid w:val="00407E3B"/>
    <w:rsid w:val="00410049"/>
    <w:rsid w:val="00410289"/>
    <w:rsid w:val="00410A7B"/>
    <w:rsid w:val="00410BEC"/>
    <w:rsid w:val="00410E8B"/>
    <w:rsid w:val="004110B4"/>
    <w:rsid w:val="0041132C"/>
    <w:rsid w:val="00411594"/>
    <w:rsid w:val="00411B79"/>
    <w:rsid w:val="0041263D"/>
    <w:rsid w:val="004127E4"/>
    <w:rsid w:val="00413ABC"/>
    <w:rsid w:val="00414971"/>
    <w:rsid w:val="00414A8E"/>
    <w:rsid w:val="00414E1A"/>
    <w:rsid w:val="0041536C"/>
    <w:rsid w:val="004157EA"/>
    <w:rsid w:val="0041587E"/>
    <w:rsid w:val="00415C88"/>
    <w:rsid w:val="004169B7"/>
    <w:rsid w:val="00416BAD"/>
    <w:rsid w:val="00417302"/>
    <w:rsid w:val="004175C4"/>
    <w:rsid w:val="0042100B"/>
    <w:rsid w:val="00421154"/>
    <w:rsid w:val="0042297E"/>
    <w:rsid w:val="0042307C"/>
    <w:rsid w:val="004240AC"/>
    <w:rsid w:val="00424633"/>
    <w:rsid w:val="0042499D"/>
    <w:rsid w:val="004251D2"/>
    <w:rsid w:val="00425BFA"/>
    <w:rsid w:val="0042695C"/>
    <w:rsid w:val="00427045"/>
    <w:rsid w:val="004279B7"/>
    <w:rsid w:val="0043055F"/>
    <w:rsid w:val="00431421"/>
    <w:rsid w:val="0043151D"/>
    <w:rsid w:val="00433323"/>
    <w:rsid w:val="00433AB2"/>
    <w:rsid w:val="004350E0"/>
    <w:rsid w:val="00435862"/>
    <w:rsid w:val="00436CA0"/>
    <w:rsid w:val="00437A2A"/>
    <w:rsid w:val="00441775"/>
    <w:rsid w:val="00441DA2"/>
    <w:rsid w:val="00442249"/>
    <w:rsid w:val="004423B4"/>
    <w:rsid w:val="004435F5"/>
    <w:rsid w:val="00443C42"/>
    <w:rsid w:val="00443FF3"/>
    <w:rsid w:val="00444D43"/>
    <w:rsid w:val="00444ED0"/>
    <w:rsid w:val="00445245"/>
    <w:rsid w:val="00446671"/>
    <w:rsid w:val="00446760"/>
    <w:rsid w:val="00446DE9"/>
    <w:rsid w:val="0045013C"/>
    <w:rsid w:val="0045036F"/>
    <w:rsid w:val="00450A59"/>
    <w:rsid w:val="004514A6"/>
    <w:rsid w:val="0045357E"/>
    <w:rsid w:val="00454CA0"/>
    <w:rsid w:val="00455138"/>
    <w:rsid w:val="004556AB"/>
    <w:rsid w:val="004559A3"/>
    <w:rsid w:val="00457380"/>
    <w:rsid w:val="004603AC"/>
    <w:rsid w:val="00460988"/>
    <w:rsid w:val="004615E8"/>
    <w:rsid w:val="00461FF3"/>
    <w:rsid w:val="0046212B"/>
    <w:rsid w:val="00462255"/>
    <w:rsid w:val="00463A20"/>
    <w:rsid w:val="0046584D"/>
    <w:rsid w:val="00465EE4"/>
    <w:rsid w:val="00470084"/>
    <w:rsid w:val="004702EE"/>
    <w:rsid w:val="00470B49"/>
    <w:rsid w:val="00471CAD"/>
    <w:rsid w:val="00471F1F"/>
    <w:rsid w:val="00472EB1"/>
    <w:rsid w:val="00473059"/>
    <w:rsid w:val="00473AC9"/>
    <w:rsid w:val="00474866"/>
    <w:rsid w:val="00475066"/>
    <w:rsid w:val="0047590A"/>
    <w:rsid w:val="00475D96"/>
    <w:rsid w:val="00475F4C"/>
    <w:rsid w:val="00476592"/>
    <w:rsid w:val="0047666C"/>
    <w:rsid w:val="00480BC4"/>
    <w:rsid w:val="0048205D"/>
    <w:rsid w:val="00482103"/>
    <w:rsid w:val="004833AD"/>
    <w:rsid w:val="0048346B"/>
    <w:rsid w:val="00483C3C"/>
    <w:rsid w:val="00483C85"/>
    <w:rsid w:val="0048432A"/>
    <w:rsid w:val="00485463"/>
    <w:rsid w:val="004865CE"/>
    <w:rsid w:val="004877A3"/>
    <w:rsid w:val="00487BEB"/>
    <w:rsid w:val="00490BE0"/>
    <w:rsid w:val="004912CA"/>
    <w:rsid w:val="004926EB"/>
    <w:rsid w:val="00493094"/>
    <w:rsid w:val="00493F5B"/>
    <w:rsid w:val="004941D0"/>
    <w:rsid w:val="00494241"/>
    <w:rsid w:val="00495609"/>
    <w:rsid w:val="00496477"/>
    <w:rsid w:val="00496DA0"/>
    <w:rsid w:val="00497F46"/>
    <w:rsid w:val="004A0B82"/>
    <w:rsid w:val="004A1367"/>
    <w:rsid w:val="004A2A61"/>
    <w:rsid w:val="004A352D"/>
    <w:rsid w:val="004A3962"/>
    <w:rsid w:val="004A3A14"/>
    <w:rsid w:val="004A3DF0"/>
    <w:rsid w:val="004A517F"/>
    <w:rsid w:val="004A56EB"/>
    <w:rsid w:val="004A590A"/>
    <w:rsid w:val="004B05BA"/>
    <w:rsid w:val="004B1783"/>
    <w:rsid w:val="004B24C4"/>
    <w:rsid w:val="004B27FC"/>
    <w:rsid w:val="004B2962"/>
    <w:rsid w:val="004B3904"/>
    <w:rsid w:val="004B3A32"/>
    <w:rsid w:val="004B4E7F"/>
    <w:rsid w:val="004B5460"/>
    <w:rsid w:val="004B5797"/>
    <w:rsid w:val="004B6B95"/>
    <w:rsid w:val="004C0336"/>
    <w:rsid w:val="004C0506"/>
    <w:rsid w:val="004C0D53"/>
    <w:rsid w:val="004C0F29"/>
    <w:rsid w:val="004C16CD"/>
    <w:rsid w:val="004C1D69"/>
    <w:rsid w:val="004C3CEC"/>
    <w:rsid w:val="004C3FC9"/>
    <w:rsid w:val="004C4AAD"/>
    <w:rsid w:val="004C4C63"/>
    <w:rsid w:val="004C54DD"/>
    <w:rsid w:val="004C7039"/>
    <w:rsid w:val="004D0682"/>
    <w:rsid w:val="004D0896"/>
    <w:rsid w:val="004D08BC"/>
    <w:rsid w:val="004D0A50"/>
    <w:rsid w:val="004D0BFF"/>
    <w:rsid w:val="004D0D2F"/>
    <w:rsid w:val="004D1E83"/>
    <w:rsid w:val="004D1FDD"/>
    <w:rsid w:val="004D205F"/>
    <w:rsid w:val="004D2772"/>
    <w:rsid w:val="004D3D84"/>
    <w:rsid w:val="004D403F"/>
    <w:rsid w:val="004D4208"/>
    <w:rsid w:val="004D47C3"/>
    <w:rsid w:val="004D4B34"/>
    <w:rsid w:val="004D5009"/>
    <w:rsid w:val="004D5394"/>
    <w:rsid w:val="004D60D6"/>
    <w:rsid w:val="004D649B"/>
    <w:rsid w:val="004D67A6"/>
    <w:rsid w:val="004D6B07"/>
    <w:rsid w:val="004D6CDB"/>
    <w:rsid w:val="004D7A18"/>
    <w:rsid w:val="004D7D61"/>
    <w:rsid w:val="004D7F28"/>
    <w:rsid w:val="004E0726"/>
    <w:rsid w:val="004E07E5"/>
    <w:rsid w:val="004E0DD6"/>
    <w:rsid w:val="004E1235"/>
    <w:rsid w:val="004E16F1"/>
    <w:rsid w:val="004E1845"/>
    <w:rsid w:val="004E1D26"/>
    <w:rsid w:val="004E2A73"/>
    <w:rsid w:val="004E3070"/>
    <w:rsid w:val="004E34E4"/>
    <w:rsid w:val="004E393A"/>
    <w:rsid w:val="004E3B64"/>
    <w:rsid w:val="004E3E51"/>
    <w:rsid w:val="004E4311"/>
    <w:rsid w:val="004E49A8"/>
    <w:rsid w:val="004E4A72"/>
    <w:rsid w:val="004E4DC0"/>
    <w:rsid w:val="004E5C1F"/>
    <w:rsid w:val="004E64EA"/>
    <w:rsid w:val="004E687A"/>
    <w:rsid w:val="004E732E"/>
    <w:rsid w:val="004E752B"/>
    <w:rsid w:val="004F0258"/>
    <w:rsid w:val="004F2680"/>
    <w:rsid w:val="004F2A50"/>
    <w:rsid w:val="004F31F4"/>
    <w:rsid w:val="004F337B"/>
    <w:rsid w:val="004F3655"/>
    <w:rsid w:val="004F53AF"/>
    <w:rsid w:val="004F6F0E"/>
    <w:rsid w:val="004F764F"/>
    <w:rsid w:val="004F7911"/>
    <w:rsid w:val="004F79DE"/>
    <w:rsid w:val="00500FB3"/>
    <w:rsid w:val="00502457"/>
    <w:rsid w:val="00502AA9"/>
    <w:rsid w:val="00502CDC"/>
    <w:rsid w:val="00503854"/>
    <w:rsid w:val="00505BE4"/>
    <w:rsid w:val="00506938"/>
    <w:rsid w:val="00506A7C"/>
    <w:rsid w:val="00506CF5"/>
    <w:rsid w:val="005072C8"/>
    <w:rsid w:val="0050740A"/>
    <w:rsid w:val="00507619"/>
    <w:rsid w:val="005077CE"/>
    <w:rsid w:val="00507FF3"/>
    <w:rsid w:val="00511003"/>
    <w:rsid w:val="00512B8E"/>
    <w:rsid w:val="005143BC"/>
    <w:rsid w:val="00514AB8"/>
    <w:rsid w:val="00514ADB"/>
    <w:rsid w:val="00516227"/>
    <w:rsid w:val="005170F2"/>
    <w:rsid w:val="00517673"/>
    <w:rsid w:val="00517730"/>
    <w:rsid w:val="005177C8"/>
    <w:rsid w:val="00520880"/>
    <w:rsid w:val="00520E20"/>
    <w:rsid w:val="00520FF4"/>
    <w:rsid w:val="00521FD6"/>
    <w:rsid w:val="00522C9A"/>
    <w:rsid w:val="00522E88"/>
    <w:rsid w:val="00524D8A"/>
    <w:rsid w:val="0052502F"/>
    <w:rsid w:val="005254E1"/>
    <w:rsid w:val="00525795"/>
    <w:rsid w:val="00525938"/>
    <w:rsid w:val="00525B22"/>
    <w:rsid w:val="00525D84"/>
    <w:rsid w:val="00526CDD"/>
    <w:rsid w:val="005273E9"/>
    <w:rsid w:val="0053045E"/>
    <w:rsid w:val="00530BAE"/>
    <w:rsid w:val="0053106F"/>
    <w:rsid w:val="00531227"/>
    <w:rsid w:val="00531F7F"/>
    <w:rsid w:val="005321FE"/>
    <w:rsid w:val="00533095"/>
    <w:rsid w:val="005332D8"/>
    <w:rsid w:val="00533953"/>
    <w:rsid w:val="00533D1A"/>
    <w:rsid w:val="00533E9B"/>
    <w:rsid w:val="00534753"/>
    <w:rsid w:val="00534975"/>
    <w:rsid w:val="00535E4E"/>
    <w:rsid w:val="00536107"/>
    <w:rsid w:val="00537205"/>
    <w:rsid w:val="005374A1"/>
    <w:rsid w:val="005374A7"/>
    <w:rsid w:val="005403C5"/>
    <w:rsid w:val="005403DF"/>
    <w:rsid w:val="00540837"/>
    <w:rsid w:val="005425D8"/>
    <w:rsid w:val="005438DE"/>
    <w:rsid w:val="00543AFC"/>
    <w:rsid w:val="00543C73"/>
    <w:rsid w:val="005446F6"/>
    <w:rsid w:val="0054505F"/>
    <w:rsid w:val="005457B9"/>
    <w:rsid w:val="00545D30"/>
    <w:rsid w:val="00545F82"/>
    <w:rsid w:val="00550BFC"/>
    <w:rsid w:val="0055155C"/>
    <w:rsid w:val="00551E94"/>
    <w:rsid w:val="00551FE8"/>
    <w:rsid w:val="00552236"/>
    <w:rsid w:val="005524C4"/>
    <w:rsid w:val="00554215"/>
    <w:rsid w:val="00555961"/>
    <w:rsid w:val="00555F03"/>
    <w:rsid w:val="0055648C"/>
    <w:rsid w:val="005574E6"/>
    <w:rsid w:val="0055757F"/>
    <w:rsid w:val="00557D9F"/>
    <w:rsid w:val="005603FA"/>
    <w:rsid w:val="00560479"/>
    <w:rsid w:val="00560E40"/>
    <w:rsid w:val="00560F2E"/>
    <w:rsid w:val="0056101C"/>
    <w:rsid w:val="0056191B"/>
    <w:rsid w:val="00562152"/>
    <w:rsid w:val="005622FC"/>
    <w:rsid w:val="0056312B"/>
    <w:rsid w:val="0056350C"/>
    <w:rsid w:val="005635D4"/>
    <w:rsid w:val="00563B02"/>
    <w:rsid w:val="00563D19"/>
    <w:rsid w:val="00565076"/>
    <w:rsid w:val="00566090"/>
    <w:rsid w:val="00566711"/>
    <w:rsid w:val="005667FA"/>
    <w:rsid w:val="005679DD"/>
    <w:rsid w:val="00570963"/>
    <w:rsid w:val="0057107B"/>
    <w:rsid w:val="00572F8D"/>
    <w:rsid w:val="0057352E"/>
    <w:rsid w:val="00573954"/>
    <w:rsid w:val="0057476B"/>
    <w:rsid w:val="00574B90"/>
    <w:rsid w:val="00574E57"/>
    <w:rsid w:val="00575A9F"/>
    <w:rsid w:val="00576920"/>
    <w:rsid w:val="00576EF6"/>
    <w:rsid w:val="00577137"/>
    <w:rsid w:val="005776B7"/>
    <w:rsid w:val="00577EB8"/>
    <w:rsid w:val="00580B87"/>
    <w:rsid w:val="005819EC"/>
    <w:rsid w:val="00581BC7"/>
    <w:rsid w:val="00582807"/>
    <w:rsid w:val="005831CA"/>
    <w:rsid w:val="0058332D"/>
    <w:rsid w:val="00583533"/>
    <w:rsid w:val="005846DE"/>
    <w:rsid w:val="00585377"/>
    <w:rsid w:val="00585AE0"/>
    <w:rsid w:val="00585EA4"/>
    <w:rsid w:val="00587022"/>
    <w:rsid w:val="0058749D"/>
    <w:rsid w:val="00587666"/>
    <w:rsid w:val="00590223"/>
    <w:rsid w:val="00590309"/>
    <w:rsid w:val="005903C6"/>
    <w:rsid w:val="00590703"/>
    <w:rsid w:val="00590B1D"/>
    <w:rsid w:val="005915AF"/>
    <w:rsid w:val="005931C4"/>
    <w:rsid w:val="005933A0"/>
    <w:rsid w:val="005935DE"/>
    <w:rsid w:val="00593D98"/>
    <w:rsid w:val="00595B13"/>
    <w:rsid w:val="00595C6C"/>
    <w:rsid w:val="005978C9"/>
    <w:rsid w:val="00597DA2"/>
    <w:rsid w:val="00597FC5"/>
    <w:rsid w:val="005A022A"/>
    <w:rsid w:val="005A24B6"/>
    <w:rsid w:val="005A5150"/>
    <w:rsid w:val="005A51D7"/>
    <w:rsid w:val="005A62F5"/>
    <w:rsid w:val="005A6CBA"/>
    <w:rsid w:val="005A7B8F"/>
    <w:rsid w:val="005B00B0"/>
    <w:rsid w:val="005B1606"/>
    <w:rsid w:val="005B178D"/>
    <w:rsid w:val="005B1A9B"/>
    <w:rsid w:val="005B3290"/>
    <w:rsid w:val="005B35DA"/>
    <w:rsid w:val="005B3B93"/>
    <w:rsid w:val="005B3EBB"/>
    <w:rsid w:val="005B509E"/>
    <w:rsid w:val="005B57E4"/>
    <w:rsid w:val="005B6427"/>
    <w:rsid w:val="005B719E"/>
    <w:rsid w:val="005B7FBB"/>
    <w:rsid w:val="005C0006"/>
    <w:rsid w:val="005C00D1"/>
    <w:rsid w:val="005C0E6F"/>
    <w:rsid w:val="005C162A"/>
    <w:rsid w:val="005C1A78"/>
    <w:rsid w:val="005C1ACB"/>
    <w:rsid w:val="005C2088"/>
    <w:rsid w:val="005C23DC"/>
    <w:rsid w:val="005C30EC"/>
    <w:rsid w:val="005C333F"/>
    <w:rsid w:val="005C34EA"/>
    <w:rsid w:val="005C4EED"/>
    <w:rsid w:val="005C5A68"/>
    <w:rsid w:val="005C5C04"/>
    <w:rsid w:val="005C6314"/>
    <w:rsid w:val="005C6C48"/>
    <w:rsid w:val="005C6DEF"/>
    <w:rsid w:val="005C7D04"/>
    <w:rsid w:val="005D07B2"/>
    <w:rsid w:val="005D0FAE"/>
    <w:rsid w:val="005D1666"/>
    <w:rsid w:val="005D271D"/>
    <w:rsid w:val="005D272B"/>
    <w:rsid w:val="005D289A"/>
    <w:rsid w:val="005D323D"/>
    <w:rsid w:val="005D3587"/>
    <w:rsid w:val="005D50FA"/>
    <w:rsid w:val="005D55EB"/>
    <w:rsid w:val="005D62AB"/>
    <w:rsid w:val="005D6B6B"/>
    <w:rsid w:val="005D7B3D"/>
    <w:rsid w:val="005E0FCC"/>
    <w:rsid w:val="005E1061"/>
    <w:rsid w:val="005E1716"/>
    <w:rsid w:val="005E1971"/>
    <w:rsid w:val="005E1D03"/>
    <w:rsid w:val="005E27A1"/>
    <w:rsid w:val="005E320B"/>
    <w:rsid w:val="005E3DE2"/>
    <w:rsid w:val="005E4D36"/>
    <w:rsid w:val="005E57DA"/>
    <w:rsid w:val="005E5866"/>
    <w:rsid w:val="005E7418"/>
    <w:rsid w:val="005F1740"/>
    <w:rsid w:val="005F1860"/>
    <w:rsid w:val="005F1DF0"/>
    <w:rsid w:val="005F1E71"/>
    <w:rsid w:val="005F22A5"/>
    <w:rsid w:val="005F2736"/>
    <w:rsid w:val="005F2C4E"/>
    <w:rsid w:val="005F2D8E"/>
    <w:rsid w:val="005F4170"/>
    <w:rsid w:val="005F446E"/>
    <w:rsid w:val="005F44FA"/>
    <w:rsid w:val="005F48AA"/>
    <w:rsid w:val="005F4EDF"/>
    <w:rsid w:val="005F5145"/>
    <w:rsid w:val="005F6074"/>
    <w:rsid w:val="005F76ED"/>
    <w:rsid w:val="00600FA4"/>
    <w:rsid w:val="0060128E"/>
    <w:rsid w:val="00601ABC"/>
    <w:rsid w:val="006028B5"/>
    <w:rsid w:val="00602ACC"/>
    <w:rsid w:val="006030A2"/>
    <w:rsid w:val="006031ED"/>
    <w:rsid w:val="006039D0"/>
    <w:rsid w:val="006042CE"/>
    <w:rsid w:val="006049D0"/>
    <w:rsid w:val="00604D23"/>
    <w:rsid w:val="006051B4"/>
    <w:rsid w:val="0060585B"/>
    <w:rsid w:val="00606669"/>
    <w:rsid w:val="006078B5"/>
    <w:rsid w:val="00607E96"/>
    <w:rsid w:val="00610688"/>
    <w:rsid w:val="006108BC"/>
    <w:rsid w:val="006112FA"/>
    <w:rsid w:val="00611310"/>
    <w:rsid w:val="006113BD"/>
    <w:rsid w:val="00611B43"/>
    <w:rsid w:val="006129B2"/>
    <w:rsid w:val="00613157"/>
    <w:rsid w:val="00613F91"/>
    <w:rsid w:val="006141AC"/>
    <w:rsid w:val="006141E1"/>
    <w:rsid w:val="00614A8A"/>
    <w:rsid w:val="006156B4"/>
    <w:rsid w:val="00615745"/>
    <w:rsid w:val="00616349"/>
    <w:rsid w:val="0061671B"/>
    <w:rsid w:val="00617487"/>
    <w:rsid w:val="0062071C"/>
    <w:rsid w:val="006210D0"/>
    <w:rsid w:val="00621999"/>
    <w:rsid w:val="00621A51"/>
    <w:rsid w:val="00621FF0"/>
    <w:rsid w:val="006222CF"/>
    <w:rsid w:val="00622B0F"/>
    <w:rsid w:val="00623262"/>
    <w:rsid w:val="00624A93"/>
    <w:rsid w:val="006250E8"/>
    <w:rsid w:val="00625225"/>
    <w:rsid w:val="0062535F"/>
    <w:rsid w:val="00626C5B"/>
    <w:rsid w:val="00626DD4"/>
    <w:rsid w:val="00630254"/>
    <w:rsid w:val="00630A2A"/>
    <w:rsid w:val="00631ACE"/>
    <w:rsid w:val="006322B1"/>
    <w:rsid w:val="00632BC8"/>
    <w:rsid w:val="006348F1"/>
    <w:rsid w:val="00635116"/>
    <w:rsid w:val="0063617F"/>
    <w:rsid w:val="006366B4"/>
    <w:rsid w:val="00636793"/>
    <w:rsid w:val="006369A3"/>
    <w:rsid w:val="00636F02"/>
    <w:rsid w:val="0063718D"/>
    <w:rsid w:val="00637850"/>
    <w:rsid w:val="006379BB"/>
    <w:rsid w:val="00637E20"/>
    <w:rsid w:val="006409A6"/>
    <w:rsid w:val="00641610"/>
    <w:rsid w:val="00641A73"/>
    <w:rsid w:val="00641A8F"/>
    <w:rsid w:val="00642988"/>
    <w:rsid w:val="00642C42"/>
    <w:rsid w:val="006439B0"/>
    <w:rsid w:val="006446B6"/>
    <w:rsid w:val="006446FD"/>
    <w:rsid w:val="00644F26"/>
    <w:rsid w:val="00644FC4"/>
    <w:rsid w:val="00645D91"/>
    <w:rsid w:val="00645EB8"/>
    <w:rsid w:val="006468C2"/>
    <w:rsid w:val="006473B3"/>
    <w:rsid w:val="006500E8"/>
    <w:rsid w:val="00650640"/>
    <w:rsid w:val="0065069A"/>
    <w:rsid w:val="00651215"/>
    <w:rsid w:val="00651C87"/>
    <w:rsid w:val="0065255C"/>
    <w:rsid w:val="00652602"/>
    <w:rsid w:val="006531B4"/>
    <w:rsid w:val="00653405"/>
    <w:rsid w:val="00654D89"/>
    <w:rsid w:val="00654E11"/>
    <w:rsid w:val="00654F78"/>
    <w:rsid w:val="00655689"/>
    <w:rsid w:val="0065579F"/>
    <w:rsid w:val="006559D9"/>
    <w:rsid w:val="00655CE3"/>
    <w:rsid w:val="00656E18"/>
    <w:rsid w:val="00657501"/>
    <w:rsid w:val="006601B4"/>
    <w:rsid w:val="00661B33"/>
    <w:rsid w:val="006621E1"/>
    <w:rsid w:val="00662320"/>
    <w:rsid w:val="00663483"/>
    <w:rsid w:val="0066449C"/>
    <w:rsid w:val="00665AFD"/>
    <w:rsid w:val="00665F2C"/>
    <w:rsid w:val="00666847"/>
    <w:rsid w:val="00666CD2"/>
    <w:rsid w:val="00666D41"/>
    <w:rsid w:val="00666EC1"/>
    <w:rsid w:val="00670D04"/>
    <w:rsid w:val="0067236D"/>
    <w:rsid w:val="00672740"/>
    <w:rsid w:val="00673693"/>
    <w:rsid w:val="006737DB"/>
    <w:rsid w:val="00673F9A"/>
    <w:rsid w:val="0067552B"/>
    <w:rsid w:val="00675FC9"/>
    <w:rsid w:val="006761BA"/>
    <w:rsid w:val="006765DD"/>
    <w:rsid w:val="00676BA9"/>
    <w:rsid w:val="00680036"/>
    <w:rsid w:val="00680163"/>
    <w:rsid w:val="00680363"/>
    <w:rsid w:val="0068063F"/>
    <w:rsid w:val="006822FD"/>
    <w:rsid w:val="006826BF"/>
    <w:rsid w:val="00682986"/>
    <w:rsid w:val="00682C44"/>
    <w:rsid w:val="00683841"/>
    <w:rsid w:val="00683C1D"/>
    <w:rsid w:val="006841A2"/>
    <w:rsid w:val="0068500E"/>
    <w:rsid w:val="0068693F"/>
    <w:rsid w:val="006869E4"/>
    <w:rsid w:val="0068707B"/>
    <w:rsid w:val="00690164"/>
    <w:rsid w:val="006905E0"/>
    <w:rsid w:val="00690F7D"/>
    <w:rsid w:val="0069141C"/>
    <w:rsid w:val="00691CCB"/>
    <w:rsid w:val="00694E60"/>
    <w:rsid w:val="00696434"/>
    <w:rsid w:val="006966FD"/>
    <w:rsid w:val="00697768"/>
    <w:rsid w:val="00697BFD"/>
    <w:rsid w:val="006A0810"/>
    <w:rsid w:val="006A2D08"/>
    <w:rsid w:val="006A56E0"/>
    <w:rsid w:val="006A5A94"/>
    <w:rsid w:val="006A6555"/>
    <w:rsid w:val="006A725F"/>
    <w:rsid w:val="006B0D4C"/>
    <w:rsid w:val="006B1371"/>
    <w:rsid w:val="006B1809"/>
    <w:rsid w:val="006B1A9B"/>
    <w:rsid w:val="006B2492"/>
    <w:rsid w:val="006B250A"/>
    <w:rsid w:val="006B3324"/>
    <w:rsid w:val="006B3D52"/>
    <w:rsid w:val="006B45A0"/>
    <w:rsid w:val="006B5978"/>
    <w:rsid w:val="006B5A5E"/>
    <w:rsid w:val="006B5D8D"/>
    <w:rsid w:val="006B5F56"/>
    <w:rsid w:val="006B6B52"/>
    <w:rsid w:val="006B6DFF"/>
    <w:rsid w:val="006B739F"/>
    <w:rsid w:val="006B7637"/>
    <w:rsid w:val="006B7B8D"/>
    <w:rsid w:val="006B7D7E"/>
    <w:rsid w:val="006B7EDC"/>
    <w:rsid w:val="006C139C"/>
    <w:rsid w:val="006C18AA"/>
    <w:rsid w:val="006C18F8"/>
    <w:rsid w:val="006C22E6"/>
    <w:rsid w:val="006C274D"/>
    <w:rsid w:val="006C28A6"/>
    <w:rsid w:val="006C2A3E"/>
    <w:rsid w:val="006C2F9C"/>
    <w:rsid w:val="006C340A"/>
    <w:rsid w:val="006C347E"/>
    <w:rsid w:val="006C35D8"/>
    <w:rsid w:val="006C3ECE"/>
    <w:rsid w:val="006C5B7D"/>
    <w:rsid w:val="006C5C2D"/>
    <w:rsid w:val="006C5E25"/>
    <w:rsid w:val="006C6919"/>
    <w:rsid w:val="006C7659"/>
    <w:rsid w:val="006C7CDD"/>
    <w:rsid w:val="006D0190"/>
    <w:rsid w:val="006D039A"/>
    <w:rsid w:val="006D0F3B"/>
    <w:rsid w:val="006D1222"/>
    <w:rsid w:val="006D13D0"/>
    <w:rsid w:val="006D1CF5"/>
    <w:rsid w:val="006D2688"/>
    <w:rsid w:val="006D2A4C"/>
    <w:rsid w:val="006D36BF"/>
    <w:rsid w:val="006D3D3C"/>
    <w:rsid w:val="006D453E"/>
    <w:rsid w:val="006D5380"/>
    <w:rsid w:val="006D62C1"/>
    <w:rsid w:val="006D6A1D"/>
    <w:rsid w:val="006D6A3B"/>
    <w:rsid w:val="006D7477"/>
    <w:rsid w:val="006D772D"/>
    <w:rsid w:val="006E0B67"/>
    <w:rsid w:val="006E0D73"/>
    <w:rsid w:val="006E1A44"/>
    <w:rsid w:val="006E2702"/>
    <w:rsid w:val="006E272A"/>
    <w:rsid w:val="006E2D62"/>
    <w:rsid w:val="006E2DCB"/>
    <w:rsid w:val="006E30EA"/>
    <w:rsid w:val="006E32B1"/>
    <w:rsid w:val="006E3F3C"/>
    <w:rsid w:val="006E4365"/>
    <w:rsid w:val="006E49AB"/>
    <w:rsid w:val="006E4AE6"/>
    <w:rsid w:val="006E5091"/>
    <w:rsid w:val="006E545D"/>
    <w:rsid w:val="006E6BEC"/>
    <w:rsid w:val="006E6C6A"/>
    <w:rsid w:val="006E6E63"/>
    <w:rsid w:val="006E703F"/>
    <w:rsid w:val="006E72B8"/>
    <w:rsid w:val="006F1073"/>
    <w:rsid w:val="006F2266"/>
    <w:rsid w:val="006F2C79"/>
    <w:rsid w:val="006F33C8"/>
    <w:rsid w:val="006F3639"/>
    <w:rsid w:val="006F4584"/>
    <w:rsid w:val="006F49E7"/>
    <w:rsid w:val="006F4C43"/>
    <w:rsid w:val="006F6642"/>
    <w:rsid w:val="006F69AF"/>
    <w:rsid w:val="006F6B2E"/>
    <w:rsid w:val="006F7BFA"/>
    <w:rsid w:val="00700518"/>
    <w:rsid w:val="0070094E"/>
    <w:rsid w:val="007014A2"/>
    <w:rsid w:val="00702DCE"/>
    <w:rsid w:val="00703231"/>
    <w:rsid w:val="007033D3"/>
    <w:rsid w:val="0070511A"/>
    <w:rsid w:val="00705F1C"/>
    <w:rsid w:val="0070766E"/>
    <w:rsid w:val="0071014D"/>
    <w:rsid w:val="00710EEE"/>
    <w:rsid w:val="00711441"/>
    <w:rsid w:val="00711ED1"/>
    <w:rsid w:val="00712F4C"/>
    <w:rsid w:val="00713030"/>
    <w:rsid w:val="00713647"/>
    <w:rsid w:val="00714A1B"/>
    <w:rsid w:val="0071576B"/>
    <w:rsid w:val="0071585F"/>
    <w:rsid w:val="0072077F"/>
    <w:rsid w:val="007219A3"/>
    <w:rsid w:val="0072254C"/>
    <w:rsid w:val="007228D8"/>
    <w:rsid w:val="00722ED1"/>
    <w:rsid w:val="0072330B"/>
    <w:rsid w:val="00723BBB"/>
    <w:rsid w:val="00724489"/>
    <w:rsid w:val="00724B0F"/>
    <w:rsid w:val="00724F15"/>
    <w:rsid w:val="00725187"/>
    <w:rsid w:val="0072606E"/>
    <w:rsid w:val="00727E54"/>
    <w:rsid w:val="0073010A"/>
    <w:rsid w:val="00730235"/>
    <w:rsid w:val="007305D1"/>
    <w:rsid w:val="007305F0"/>
    <w:rsid w:val="00730AF4"/>
    <w:rsid w:val="00730FD9"/>
    <w:rsid w:val="007310C3"/>
    <w:rsid w:val="00731FA7"/>
    <w:rsid w:val="007322D3"/>
    <w:rsid w:val="00732CF1"/>
    <w:rsid w:val="007333E2"/>
    <w:rsid w:val="00733667"/>
    <w:rsid w:val="00733B49"/>
    <w:rsid w:val="00733CCB"/>
    <w:rsid w:val="00734193"/>
    <w:rsid w:val="00734218"/>
    <w:rsid w:val="00734590"/>
    <w:rsid w:val="00734B54"/>
    <w:rsid w:val="0073559A"/>
    <w:rsid w:val="007378AF"/>
    <w:rsid w:val="0074057E"/>
    <w:rsid w:val="007410C5"/>
    <w:rsid w:val="007412FD"/>
    <w:rsid w:val="00741975"/>
    <w:rsid w:val="00741C8F"/>
    <w:rsid w:val="00741E20"/>
    <w:rsid w:val="00742EF5"/>
    <w:rsid w:val="00743731"/>
    <w:rsid w:val="007444D0"/>
    <w:rsid w:val="00745002"/>
    <w:rsid w:val="0074512A"/>
    <w:rsid w:val="0074568F"/>
    <w:rsid w:val="0074615B"/>
    <w:rsid w:val="00746948"/>
    <w:rsid w:val="00746D0F"/>
    <w:rsid w:val="0074783F"/>
    <w:rsid w:val="0074784C"/>
    <w:rsid w:val="00747A62"/>
    <w:rsid w:val="00750C90"/>
    <w:rsid w:val="00752077"/>
    <w:rsid w:val="00752085"/>
    <w:rsid w:val="0075355D"/>
    <w:rsid w:val="0075477A"/>
    <w:rsid w:val="00755025"/>
    <w:rsid w:val="007550B3"/>
    <w:rsid w:val="007552BE"/>
    <w:rsid w:val="007558DB"/>
    <w:rsid w:val="007568F9"/>
    <w:rsid w:val="00756D90"/>
    <w:rsid w:val="00757F92"/>
    <w:rsid w:val="00760116"/>
    <w:rsid w:val="00760572"/>
    <w:rsid w:val="00760608"/>
    <w:rsid w:val="0076170A"/>
    <w:rsid w:val="0076192F"/>
    <w:rsid w:val="00761BBB"/>
    <w:rsid w:val="00762398"/>
    <w:rsid w:val="00762441"/>
    <w:rsid w:val="007638C6"/>
    <w:rsid w:val="00763C73"/>
    <w:rsid w:val="00764078"/>
    <w:rsid w:val="007640AE"/>
    <w:rsid w:val="00764B75"/>
    <w:rsid w:val="00764FC3"/>
    <w:rsid w:val="0076568C"/>
    <w:rsid w:val="0076596C"/>
    <w:rsid w:val="00766933"/>
    <w:rsid w:val="00770474"/>
    <w:rsid w:val="007704D5"/>
    <w:rsid w:val="007708AE"/>
    <w:rsid w:val="00771DA4"/>
    <w:rsid w:val="00772728"/>
    <w:rsid w:val="007738D7"/>
    <w:rsid w:val="00773B00"/>
    <w:rsid w:val="00773F59"/>
    <w:rsid w:val="007741A7"/>
    <w:rsid w:val="007742D3"/>
    <w:rsid w:val="007747F1"/>
    <w:rsid w:val="00774FA2"/>
    <w:rsid w:val="00775CD2"/>
    <w:rsid w:val="007766D0"/>
    <w:rsid w:val="007802D1"/>
    <w:rsid w:val="007808A7"/>
    <w:rsid w:val="0078125B"/>
    <w:rsid w:val="00781BF9"/>
    <w:rsid w:val="00781DB0"/>
    <w:rsid w:val="00782671"/>
    <w:rsid w:val="00782E82"/>
    <w:rsid w:val="00783476"/>
    <w:rsid w:val="0078401F"/>
    <w:rsid w:val="00784878"/>
    <w:rsid w:val="00784889"/>
    <w:rsid w:val="00785166"/>
    <w:rsid w:val="007859D6"/>
    <w:rsid w:val="007860F3"/>
    <w:rsid w:val="0078656D"/>
    <w:rsid w:val="00786661"/>
    <w:rsid w:val="00786CC8"/>
    <w:rsid w:val="0078744A"/>
    <w:rsid w:val="00787689"/>
    <w:rsid w:val="00790592"/>
    <w:rsid w:val="007908F5"/>
    <w:rsid w:val="007919CB"/>
    <w:rsid w:val="00791DFE"/>
    <w:rsid w:val="007922D7"/>
    <w:rsid w:val="00792754"/>
    <w:rsid w:val="007927C5"/>
    <w:rsid w:val="00792D0E"/>
    <w:rsid w:val="00793771"/>
    <w:rsid w:val="00796333"/>
    <w:rsid w:val="00797188"/>
    <w:rsid w:val="007A00AE"/>
    <w:rsid w:val="007A134D"/>
    <w:rsid w:val="007A1604"/>
    <w:rsid w:val="007A1A6B"/>
    <w:rsid w:val="007A2005"/>
    <w:rsid w:val="007A2080"/>
    <w:rsid w:val="007A20A6"/>
    <w:rsid w:val="007A307F"/>
    <w:rsid w:val="007A38FF"/>
    <w:rsid w:val="007A3C65"/>
    <w:rsid w:val="007A4B30"/>
    <w:rsid w:val="007A517C"/>
    <w:rsid w:val="007A5692"/>
    <w:rsid w:val="007A78A8"/>
    <w:rsid w:val="007B02EC"/>
    <w:rsid w:val="007B09BC"/>
    <w:rsid w:val="007B0A8C"/>
    <w:rsid w:val="007B0EC6"/>
    <w:rsid w:val="007B1CAE"/>
    <w:rsid w:val="007B29EC"/>
    <w:rsid w:val="007B37D4"/>
    <w:rsid w:val="007B3802"/>
    <w:rsid w:val="007B383D"/>
    <w:rsid w:val="007B4260"/>
    <w:rsid w:val="007B4542"/>
    <w:rsid w:val="007B4608"/>
    <w:rsid w:val="007B4F8D"/>
    <w:rsid w:val="007B64E4"/>
    <w:rsid w:val="007B67C5"/>
    <w:rsid w:val="007B72DB"/>
    <w:rsid w:val="007B75C7"/>
    <w:rsid w:val="007BCCB8"/>
    <w:rsid w:val="007C04E4"/>
    <w:rsid w:val="007C096E"/>
    <w:rsid w:val="007C0F1D"/>
    <w:rsid w:val="007C1310"/>
    <w:rsid w:val="007C1664"/>
    <w:rsid w:val="007C2985"/>
    <w:rsid w:val="007C3302"/>
    <w:rsid w:val="007C43CC"/>
    <w:rsid w:val="007C4408"/>
    <w:rsid w:val="007C44E4"/>
    <w:rsid w:val="007C4685"/>
    <w:rsid w:val="007C4845"/>
    <w:rsid w:val="007C4FC1"/>
    <w:rsid w:val="007C61D2"/>
    <w:rsid w:val="007C667C"/>
    <w:rsid w:val="007C6DEE"/>
    <w:rsid w:val="007C7317"/>
    <w:rsid w:val="007C74F6"/>
    <w:rsid w:val="007C7A9B"/>
    <w:rsid w:val="007C7D91"/>
    <w:rsid w:val="007D01C4"/>
    <w:rsid w:val="007D02AE"/>
    <w:rsid w:val="007D0E43"/>
    <w:rsid w:val="007D11BD"/>
    <w:rsid w:val="007D1E7E"/>
    <w:rsid w:val="007D29BA"/>
    <w:rsid w:val="007D4542"/>
    <w:rsid w:val="007D4917"/>
    <w:rsid w:val="007D4EB8"/>
    <w:rsid w:val="007D5354"/>
    <w:rsid w:val="007D5628"/>
    <w:rsid w:val="007D643D"/>
    <w:rsid w:val="007D67B4"/>
    <w:rsid w:val="007D7CCB"/>
    <w:rsid w:val="007E0E73"/>
    <w:rsid w:val="007E2849"/>
    <w:rsid w:val="007E320C"/>
    <w:rsid w:val="007E3371"/>
    <w:rsid w:val="007E38E6"/>
    <w:rsid w:val="007E3925"/>
    <w:rsid w:val="007E498D"/>
    <w:rsid w:val="007E6A72"/>
    <w:rsid w:val="007E6DE7"/>
    <w:rsid w:val="007E784C"/>
    <w:rsid w:val="007F08D8"/>
    <w:rsid w:val="007F0E0B"/>
    <w:rsid w:val="007F109C"/>
    <w:rsid w:val="007F287E"/>
    <w:rsid w:val="007F2D7B"/>
    <w:rsid w:val="007F35E4"/>
    <w:rsid w:val="007F3643"/>
    <w:rsid w:val="007F3D8C"/>
    <w:rsid w:val="007F4823"/>
    <w:rsid w:val="007F50CD"/>
    <w:rsid w:val="007F53F5"/>
    <w:rsid w:val="007F64F3"/>
    <w:rsid w:val="007F65BC"/>
    <w:rsid w:val="007F65F2"/>
    <w:rsid w:val="007F75F6"/>
    <w:rsid w:val="007F7DB3"/>
    <w:rsid w:val="00800A12"/>
    <w:rsid w:val="008015F5"/>
    <w:rsid w:val="0080279D"/>
    <w:rsid w:val="008030CD"/>
    <w:rsid w:val="008034E7"/>
    <w:rsid w:val="008041C0"/>
    <w:rsid w:val="00804E26"/>
    <w:rsid w:val="0080572E"/>
    <w:rsid w:val="00806C2A"/>
    <w:rsid w:val="00806E4C"/>
    <w:rsid w:val="00806E89"/>
    <w:rsid w:val="008073F0"/>
    <w:rsid w:val="00807A5E"/>
    <w:rsid w:val="00807A81"/>
    <w:rsid w:val="00810453"/>
    <w:rsid w:val="008109A8"/>
    <w:rsid w:val="0081126B"/>
    <w:rsid w:val="00811641"/>
    <w:rsid w:val="00811EC9"/>
    <w:rsid w:val="0081272D"/>
    <w:rsid w:val="00812F97"/>
    <w:rsid w:val="00813299"/>
    <w:rsid w:val="00813AA1"/>
    <w:rsid w:val="00814558"/>
    <w:rsid w:val="0081477B"/>
    <w:rsid w:val="00814CAE"/>
    <w:rsid w:val="00815609"/>
    <w:rsid w:val="00815871"/>
    <w:rsid w:val="00815FDC"/>
    <w:rsid w:val="00816583"/>
    <w:rsid w:val="00816CA4"/>
    <w:rsid w:val="00820287"/>
    <w:rsid w:val="0082067E"/>
    <w:rsid w:val="008218FB"/>
    <w:rsid w:val="00821A5B"/>
    <w:rsid w:val="0082215A"/>
    <w:rsid w:val="0082351F"/>
    <w:rsid w:val="00825DF9"/>
    <w:rsid w:val="00826036"/>
    <w:rsid w:val="00826B61"/>
    <w:rsid w:val="00827904"/>
    <w:rsid w:val="00830188"/>
    <w:rsid w:val="008301A5"/>
    <w:rsid w:val="008310FF"/>
    <w:rsid w:val="00831B83"/>
    <w:rsid w:val="00832338"/>
    <w:rsid w:val="00832B2C"/>
    <w:rsid w:val="008334AE"/>
    <w:rsid w:val="0083356F"/>
    <w:rsid w:val="00834780"/>
    <w:rsid w:val="00836A4E"/>
    <w:rsid w:val="00836B34"/>
    <w:rsid w:val="00837949"/>
    <w:rsid w:val="008401D3"/>
    <w:rsid w:val="0084031D"/>
    <w:rsid w:val="0084054B"/>
    <w:rsid w:val="00840944"/>
    <w:rsid w:val="00840A15"/>
    <w:rsid w:val="00840BC0"/>
    <w:rsid w:val="00840D9E"/>
    <w:rsid w:val="0084193E"/>
    <w:rsid w:val="00842A13"/>
    <w:rsid w:val="00845614"/>
    <w:rsid w:val="00846134"/>
    <w:rsid w:val="00851BE0"/>
    <w:rsid w:val="008522F3"/>
    <w:rsid w:val="00852D57"/>
    <w:rsid w:val="00852D61"/>
    <w:rsid w:val="00852DA7"/>
    <w:rsid w:val="00852E06"/>
    <w:rsid w:val="0085379C"/>
    <w:rsid w:val="008548E3"/>
    <w:rsid w:val="00854D8E"/>
    <w:rsid w:val="00855BFB"/>
    <w:rsid w:val="00855DAA"/>
    <w:rsid w:val="008562C7"/>
    <w:rsid w:val="00856F7B"/>
    <w:rsid w:val="008578EB"/>
    <w:rsid w:val="00860647"/>
    <w:rsid w:val="0086177B"/>
    <w:rsid w:val="008621A8"/>
    <w:rsid w:val="00863133"/>
    <w:rsid w:val="00863367"/>
    <w:rsid w:val="00863974"/>
    <w:rsid w:val="00863E93"/>
    <w:rsid w:val="00865215"/>
    <w:rsid w:val="008653A2"/>
    <w:rsid w:val="00865A21"/>
    <w:rsid w:val="00866048"/>
    <w:rsid w:val="008665BC"/>
    <w:rsid w:val="0086681C"/>
    <w:rsid w:val="0087170F"/>
    <w:rsid w:val="00871A4A"/>
    <w:rsid w:val="00871BB2"/>
    <w:rsid w:val="00872170"/>
    <w:rsid w:val="008722D9"/>
    <w:rsid w:val="00872BF6"/>
    <w:rsid w:val="00872C99"/>
    <w:rsid w:val="00872EF5"/>
    <w:rsid w:val="00873006"/>
    <w:rsid w:val="008748D2"/>
    <w:rsid w:val="00874EC8"/>
    <w:rsid w:val="008756F9"/>
    <w:rsid w:val="00875E72"/>
    <w:rsid w:val="008808E0"/>
    <w:rsid w:val="00881E3E"/>
    <w:rsid w:val="0088316B"/>
    <w:rsid w:val="00883FC7"/>
    <w:rsid w:val="00884BBF"/>
    <w:rsid w:val="008858A8"/>
    <w:rsid w:val="0088593A"/>
    <w:rsid w:val="00885A55"/>
    <w:rsid w:val="00885ADA"/>
    <w:rsid w:val="008867D2"/>
    <w:rsid w:val="00886B6D"/>
    <w:rsid w:val="00887014"/>
    <w:rsid w:val="00887144"/>
    <w:rsid w:val="0088732C"/>
    <w:rsid w:val="008879F7"/>
    <w:rsid w:val="00890421"/>
    <w:rsid w:val="008908EE"/>
    <w:rsid w:val="00891DFA"/>
    <w:rsid w:val="008921CE"/>
    <w:rsid w:val="0089273B"/>
    <w:rsid w:val="008930DA"/>
    <w:rsid w:val="008939EA"/>
    <w:rsid w:val="00893A69"/>
    <w:rsid w:val="00893BE0"/>
    <w:rsid w:val="0089404D"/>
    <w:rsid w:val="00896427"/>
    <w:rsid w:val="00896904"/>
    <w:rsid w:val="00896C96"/>
    <w:rsid w:val="00896D9B"/>
    <w:rsid w:val="00897618"/>
    <w:rsid w:val="00897960"/>
    <w:rsid w:val="008A07BB"/>
    <w:rsid w:val="008A118B"/>
    <w:rsid w:val="008A26D6"/>
    <w:rsid w:val="008A30A7"/>
    <w:rsid w:val="008A311B"/>
    <w:rsid w:val="008A3C62"/>
    <w:rsid w:val="008A5509"/>
    <w:rsid w:val="008A55CB"/>
    <w:rsid w:val="008A6574"/>
    <w:rsid w:val="008A73BF"/>
    <w:rsid w:val="008B0268"/>
    <w:rsid w:val="008B0730"/>
    <w:rsid w:val="008B121E"/>
    <w:rsid w:val="008B1CFA"/>
    <w:rsid w:val="008B1F0B"/>
    <w:rsid w:val="008B20F6"/>
    <w:rsid w:val="008B2227"/>
    <w:rsid w:val="008B2E20"/>
    <w:rsid w:val="008B3046"/>
    <w:rsid w:val="008B3A9D"/>
    <w:rsid w:val="008B401B"/>
    <w:rsid w:val="008B4B5C"/>
    <w:rsid w:val="008B5423"/>
    <w:rsid w:val="008B60E0"/>
    <w:rsid w:val="008B698E"/>
    <w:rsid w:val="008B7722"/>
    <w:rsid w:val="008C0289"/>
    <w:rsid w:val="008C0CAD"/>
    <w:rsid w:val="008C174E"/>
    <w:rsid w:val="008C1DCD"/>
    <w:rsid w:val="008C23E3"/>
    <w:rsid w:val="008C2747"/>
    <w:rsid w:val="008C4C3C"/>
    <w:rsid w:val="008C4EB1"/>
    <w:rsid w:val="008C5292"/>
    <w:rsid w:val="008C612B"/>
    <w:rsid w:val="008C666A"/>
    <w:rsid w:val="008C6DA8"/>
    <w:rsid w:val="008C7E1C"/>
    <w:rsid w:val="008C7E2D"/>
    <w:rsid w:val="008D0936"/>
    <w:rsid w:val="008D1AB8"/>
    <w:rsid w:val="008D2842"/>
    <w:rsid w:val="008D29E1"/>
    <w:rsid w:val="008D3248"/>
    <w:rsid w:val="008D349E"/>
    <w:rsid w:val="008D511E"/>
    <w:rsid w:val="008D67A4"/>
    <w:rsid w:val="008D69D7"/>
    <w:rsid w:val="008D70E5"/>
    <w:rsid w:val="008E05C5"/>
    <w:rsid w:val="008E0A81"/>
    <w:rsid w:val="008E1F6D"/>
    <w:rsid w:val="008E2E6A"/>
    <w:rsid w:val="008E3052"/>
    <w:rsid w:val="008E4C46"/>
    <w:rsid w:val="008E5135"/>
    <w:rsid w:val="008E523D"/>
    <w:rsid w:val="008F0C3E"/>
    <w:rsid w:val="008F0C41"/>
    <w:rsid w:val="008F0D8F"/>
    <w:rsid w:val="008F0F7F"/>
    <w:rsid w:val="008F101D"/>
    <w:rsid w:val="008F1335"/>
    <w:rsid w:val="008F1F86"/>
    <w:rsid w:val="008F24AC"/>
    <w:rsid w:val="008F2F35"/>
    <w:rsid w:val="008F3DA4"/>
    <w:rsid w:val="008F5176"/>
    <w:rsid w:val="008F55B4"/>
    <w:rsid w:val="008F55E7"/>
    <w:rsid w:val="008F578B"/>
    <w:rsid w:val="008F5818"/>
    <w:rsid w:val="008F5A22"/>
    <w:rsid w:val="008F5F33"/>
    <w:rsid w:val="008F7032"/>
    <w:rsid w:val="008F7944"/>
    <w:rsid w:val="00900D4C"/>
    <w:rsid w:val="00901F45"/>
    <w:rsid w:val="009022D6"/>
    <w:rsid w:val="00902BA8"/>
    <w:rsid w:val="00904B4D"/>
    <w:rsid w:val="00904BE3"/>
    <w:rsid w:val="009050B4"/>
    <w:rsid w:val="00905596"/>
    <w:rsid w:val="00905735"/>
    <w:rsid w:val="00905D07"/>
    <w:rsid w:val="00906D6C"/>
    <w:rsid w:val="00910413"/>
    <w:rsid w:val="00911003"/>
    <w:rsid w:val="00912E2D"/>
    <w:rsid w:val="00913BD2"/>
    <w:rsid w:val="00914016"/>
    <w:rsid w:val="0091431F"/>
    <w:rsid w:val="00914585"/>
    <w:rsid w:val="00915543"/>
    <w:rsid w:val="00916583"/>
    <w:rsid w:val="0091679A"/>
    <w:rsid w:val="00916B81"/>
    <w:rsid w:val="009172DB"/>
    <w:rsid w:val="0091767C"/>
    <w:rsid w:val="009209B3"/>
    <w:rsid w:val="009211CB"/>
    <w:rsid w:val="00921BE6"/>
    <w:rsid w:val="00922360"/>
    <w:rsid w:val="00922ACB"/>
    <w:rsid w:val="00924418"/>
    <w:rsid w:val="00925227"/>
    <w:rsid w:val="00925269"/>
    <w:rsid w:val="0092539F"/>
    <w:rsid w:val="009255A4"/>
    <w:rsid w:val="009256C2"/>
    <w:rsid w:val="00925A7E"/>
    <w:rsid w:val="00926353"/>
    <w:rsid w:val="009265D9"/>
    <w:rsid w:val="00926E2F"/>
    <w:rsid w:val="00927B63"/>
    <w:rsid w:val="00927DB9"/>
    <w:rsid w:val="009308AF"/>
    <w:rsid w:val="00930A6C"/>
    <w:rsid w:val="00930B9F"/>
    <w:rsid w:val="00930FBD"/>
    <w:rsid w:val="0093196E"/>
    <w:rsid w:val="0093236B"/>
    <w:rsid w:val="00932459"/>
    <w:rsid w:val="009324CD"/>
    <w:rsid w:val="0093262C"/>
    <w:rsid w:val="0093271E"/>
    <w:rsid w:val="00932FC8"/>
    <w:rsid w:val="009333DF"/>
    <w:rsid w:val="0093381D"/>
    <w:rsid w:val="00933914"/>
    <w:rsid w:val="00933FE7"/>
    <w:rsid w:val="009342AA"/>
    <w:rsid w:val="00934974"/>
    <w:rsid w:val="009349E2"/>
    <w:rsid w:val="00934B20"/>
    <w:rsid w:val="009353C2"/>
    <w:rsid w:val="00935804"/>
    <w:rsid w:val="00935C90"/>
    <w:rsid w:val="00937061"/>
    <w:rsid w:val="009374EA"/>
    <w:rsid w:val="00937D7B"/>
    <w:rsid w:val="00937DC5"/>
    <w:rsid w:val="00940377"/>
    <w:rsid w:val="0094083E"/>
    <w:rsid w:val="009416D3"/>
    <w:rsid w:val="00941CE9"/>
    <w:rsid w:val="009421C1"/>
    <w:rsid w:val="00942767"/>
    <w:rsid w:val="00942833"/>
    <w:rsid w:val="00944232"/>
    <w:rsid w:val="009450C7"/>
    <w:rsid w:val="00945661"/>
    <w:rsid w:val="0094655B"/>
    <w:rsid w:val="00946AF5"/>
    <w:rsid w:val="00946DCB"/>
    <w:rsid w:val="009475A7"/>
    <w:rsid w:val="00947862"/>
    <w:rsid w:val="00950089"/>
    <w:rsid w:val="009508DA"/>
    <w:rsid w:val="00950AA5"/>
    <w:rsid w:val="00950EA4"/>
    <w:rsid w:val="009510B7"/>
    <w:rsid w:val="00951187"/>
    <w:rsid w:val="009513E2"/>
    <w:rsid w:val="009517C5"/>
    <w:rsid w:val="00953534"/>
    <w:rsid w:val="009543FB"/>
    <w:rsid w:val="00954481"/>
    <w:rsid w:val="009545C7"/>
    <w:rsid w:val="0095493F"/>
    <w:rsid w:val="0095547D"/>
    <w:rsid w:val="00955908"/>
    <w:rsid w:val="00955C51"/>
    <w:rsid w:val="00955C59"/>
    <w:rsid w:val="00955E47"/>
    <w:rsid w:val="00955FCC"/>
    <w:rsid w:val="0095640D"/>
    <w:rsid w:val="009568C5"/>
    <w:rsid w:val="00956CDD"/>
    <w:rsid w:val="00956FE6"/>
    <w:rsid w:val="009570C9"/>
    <w:rsid w:val="0095756B"/>
    <w:rsid w:val="0095781E"/>
    <w:rsid w:val="0096072B"/>
    <w:rsid w:val="00960BBF"/>
    <w:rsid w:val="00960EE2"/>
    <w:rsid w:val="00961067"/>
    <w:rsid w:val="00961F94"/>
    <w:rsid w:val="0096232B"/>
    <w:rsid w:val="0096236D"/>
    <w:rsid w:val="00962735"/>
    <w:rsid w:val="00962DBB"/>
    <w:rsid w:val="00963D5F"/>
    <w:rsid w:val="00965B75"/>
    <w:rsid w:val="00965CB2"/>
    <w:rsid w:val="00965CFE"/>
    <w:rsid w:val="00965E25"/>
    <w:rsid w:val="00965E4F"/>
    <w:rsid w:val="00966576"/>
    <w:rsid w:val="0096674E"/>
    <w:rsid w:val="00966A80"/>
    <w:rsid w:val="00966A8F"/>
    <w:rsid w:val="009677F3"/>
    <w:rsid w:val="00967C3E"/>
    <w:rsid w:val="00967CE2"/>
    <w:rsid w:val="00967E63"/>
    <w:rsid w:val="00970027"/>
    <w:rsid w:val="00970644"/>
    <w:rsid w:val="00971825"/>
    <w:rsid w:val="00971BE9"/>
    <w:rsid w:val="00971D2F"/>
    <w:rsid w:val="00972335"/>
    <w:rsid w:val="009725A2"/>
    <w:rsid w:val="0097274D"/>
    <w:rsid w:val="00972879"/>
    <w:rsid w:val="00972E6C"/>
    <w:rsid w:val="0097338E"/>
    <w:rsid w:val="00975052"/>
    <w:rsid w:val="0097514A"/>
    <w:rsid w:val="00976108"/>
    <w:rsid w:val="0097724E"/>
    <w:rsid w:val="0097743D"/>
    <w:rsid w:val="00977998"/>
    <w:rsid w:val="00977FF5"/>
    <w:rsid w:val="00980CF3"/>
    <w:rsid w:val="00980EBB"/>
    <w:rsid w:val="00981495"/>
    <w:rsid w:val="0098197C"/>
    <w:rsid w:val="009838BD"/>
    <w:rsid w:val="00984CFD"/>
    <w:rsid w:val="009850CE"/>
    <w:rsid w:val="00986F59"/>
    <w:rsid w:val="0098745A"/>
    <w:rsid w:val="00987D9E"/>
    <w:rsid w:val="0099029B"/>
    <w:rsid w:val="00990A9F"/>
    <w:rsid w:val="00990BE6"/>
    <w:rsid w:val="00991518"/>
    <w:rsid w:val="00991788"/>
    <w:rsid w:val="00991B6D"/>
    <w:rsid w:val="0099255D"/>
    <w:rsid w:val="00992B74"/>
    <w:rsid w:val="0099360E"/>
    <w:rsid w:val="00993A02"/>
    <w:rsid w:val="00993FD4"/>
    <w:rsid w:val="009945C0"/>
    <w:rsid w:val="0099472C"/>
    <w:rsid w:val="009956C7"/>
    <w:rsid w:val="00995A1F"/>
    <w:rsid w:val="00996C03"/>
    <w:rsid w:val="00996F46"/>
    <w:rsid w:val="00997161"/>
    <w:rsid w:val="009973C1"/>
    <w:rsid w:val="0099743E"/>
    <w:rsid w:val="00997657"/>
    <w:rsid w:val="00997982"/>
    <w:rsid w:val="009A146F"/>
    <w:rsid w:val="009A1B41"/>
    <w:rsid w:val="009A271B"/>
    <w:rsid w:val="009A328C"/>
    <w:rsid w:val="009A37AB"/>
    <w:rsid w:val="009A3E64"/>
    <w:rsid w:val="009A3F8D"/>
    <w:rsid w:val="009A454E"/>
    <w:rsid w:val="009A4CA9"/>
    <w:rsid w:val="009A5585"/>
    <w:rsid w:val="009A68A0"/>
    <w:rsid w:val="009A7157"/>
    <w:rsid w:val="009A76A7"/>
    <w:rsid w:val="009A7C8F"/>
    <w:rsid w:val="009A7F70"/>
    <w:rsid w:val="009B00A3"/>
    <w:rsid w:val="009B0B02"/>
    <w:rsid w:val="009B1DAE"/>
    <w:rsid w:val="009B1E9B"/>
    <w:rsid w:val="009B2FC7"/>
    <w:rsid w:val="009B31F6"/>
    <w:rsid w:val="009B4035"/>
    <w:rsid w:val="009B4064"/>
    <w:rsid w:val="009B4E7D"/>
    <w:rsid w:val="009B5AD9"/>
    <w:rsid w:val="009B5FDA"/>
    <w:rsid w:val="009B622C"/>
    <w:rsid w:val="009C00E8"/>
    <w:rsid w:val="009C2178"/>
    <w:rsid w:val="009C2BB4"/>
    <w:rsid w:val="009C2CD1"/>
    <w:rsid w:val="009C3D27"/>
    <w:rsid w:val="009C3F0F"/>
    <w:rsid w:val="009C52AC"/>
    <w:rsid w:val="009C5501"/>
    <w:rsid w:val="009C776F"/>
    <w:rsid w:val="009D0C10"/>
    <w:rsid w:val="009D106B"/>
    <w:rsid w:val="009D1B2A"/>
    <w:rsid w:val="009D25C4"/>
    <w:rsid w:val="009D2626"/>
    <w:rsid w:val="009D38D5"/>
    <w:rsid w:val="009D4281"/>
    <w:rsid w:val="009D4534"/>
    <w:rsid w:val="009D4561"/>
    <w:rsid w:val="009D4DDD"/>
    <w:rsid w:val="009D58B8"/>
    <w:rsid w:val="009D5D1C"/>
    <w:rsid w:val="009D7ACF"/>
    <w:rsid w:val="009D7DC7"/>
    <w:rsid w:val="009E077F"/>
    <w:rsid w:val="009E0B1F"/>
    <w:rsid w:val="009E1083"/>
    <w:rsid w:val="009E13F7"/>
    <w:rsid w:val="009E1D38"/>
    <w:rsid w:val="009E24E8"/>
    <w:rsid w:val="009E379F"/>
    <w:rsid w:val="009E3AB0"/>
    <w:rsid w:val="009E3BA6"/>
    <w:rsid w:val="009E4230"/>
    <w:rsid w:val="009E495D"/>
    <w:rsid w:val="009E511E"/>
    <w:rsid w:val="009E5C69"/>
    <w:rsid w:val="009E5E0D"/>
    <w:rsid w:val="009E66E4"/>
    <w:rsid w:val="009E6B25"/>
    <w:rsid w:val="009E7221"/>
    <w:rsid w:val="009E777A"/>
    <w:rsid w:val="009F136A"/>
    <w:rsid w:val="009F1670"/>
    <w:rsid w:val="009F176D"/>
    <w:rsid w:val="009F19AE"/>
    <w:rsid w:val="009F34FA"/>
    <w:rsid w:val="009F3812"/>
    <w:rsid w:val="009F3A09"/>
    <w:rsid w:val="009F3E40"/>
    <w:rsid w:val="009F42C3"/>
    <w:rsid w:val="009F44A7"/>
    <w:rsid w:val="009F461E"/>
    <w:rsid w:val="00A00051"/>
    <w:rsid w:val="00A00DAD"/>
    <w:rsid w:val="00A02265"/>
    <w:rsid w:val="00A037C9"/>
    <w:rsid w:val="00A03E17"/>
    <w:rsid w:val="00A0497C"/>
    <w:rsid w:val="00A04E1D"/>
    <w:rsid w:val="00A0511E"/>
    <w:rsid w:val="00A0530C"/>
    <w:rsid w:val="00A053AA"/>
    <w:rsid w:val="00A0551A"/>
    <w:rsid w:val="00A055A4"/>
    <w:rsid w:val="00A05BED"/>
    <w:rsid w:val="00A07D20"/>
    <w:rsid w:val="00A07E05"/>
    <w:rsid w:val="00A100A0"/>
    <w:rsid w:val="00A10B69"/>
    <w:rsid w:val="00A10B88"/>
    <w:rsid w:val="00A11150"/>
    <w:rsid w:val="00A11579"/>
    <w:rsid w:val="00A11F4D"/>
    <w:rsid w:val="00A1349F"/>
    <w:rsid w:val="00A15C51"/>
    <w:rsid w:val="00A15CB2"/>
    <w:rsid w:val="00A17337"/>
    <w:rsid w:val="00A2021C"/>
    <w:rsid w:val="00A210EA"/>
    <w:rsid w:val="00A217DC"/>
    <w:rsid w:val="00A219F5"/>
    <w:rsid w:val="00A21F42"/>
    <w:rsid w:val="00A233CB"/>
    <w:rsid w:val="00A2405E"/>
    <w:rsid w:val="00A251D2"/>
    <w:rsid w:val="00A261FC"/>
    <w:rsid w:val="00A26B14"/>
    <w:rsid w:val="00A274B3"/>
    <w:rsid w:val="00A3011E"/>
    <w:rsid w:val="00A305FB"/>
    <w:rsid w:val="00A30985"/>
    <w:rsid w:val="00A31116"/>
    <w:rsid w:val="00A31F76"/>
    <w:rsid w:val="00A3200E"/>
    <w:rsid w:val="00A320E8"/>
    <w:rsid w:val="00A330AB"/>
    <w:rsid w:val="00A33A91"/>
    <w:rsid w:val="00A345C1"/>
    <w:rsid w:val="00A34C99"/>
    <w:rsid w:val="00A34E51"/>
    <w:rsid w:val="00A35B6B"/>
    <w:rsid w:val="00A3725F"/>
    <w:rsid w:val="00A37F9A"/>
    <w:rsid w:val="00A40116"/>
    <w:rsid w:val="00A40647"/>
    <w:rsid w:val="00A406C7"/>
    <w:rsid w:val="00A415AE"/>
    <w:rsid w:val="00A41F3D"/>
    <w:rsid w:val="00A4292A"/>
    <w:rsid w:val="00A42BD5"/>
    <w:rsid w:val="00A43F0D"/>
    <w:rsid w:val="00A43FC8"/>
    <w:rsid w:val="00A4556E"/>
    <w:rsid w:val="00A45A2E"/>
    <w:rsid w:val="00A475B6"/>
    <w:rsid w:val="00A50DFE"/>
    <w:rsid w:val="00A520DE"/>
    <w:rsid w:val="00A529B5"/>
    <w:rsid w:val="00A52E71"/>
    <w:rsid w:val="00A5403C"/>
    <w:rsid w:val="00A550B6"/>
    <w:rsid w:val="00A5537B"/>
    <w:rsid w:val="00A55431"/>
    <w:rsid w:val="00A55437"/>
    <w:rsid w:val="00A55E7B"/>
    <w:rsid w:val="00A55F2D"/>
    <w:rsid w:val="00A5613E"/>
    <w:rsid w:val="00A56D76"/>
    <w:rsid w:val="00A56FF2"/>
    <w:rsid w:val="00A576F9"/>
    <w:rsid w:val="00A6014D"/>
    <w:rsid w:val="00A615F5"/>
    <w:rsid w:val="00A61B00"/>
    <w:rsid w:val="00A61F8A"/>
    <w:rsid w:val="00A62B33"/>
    <w:rsid w:val="00A63339"/>
    <w:rsid w:val="00A63CAC"/>
    <w:rsid w:val="00A65B68"/>
    <w:rsid w:val="00A66B5D"/>
    <w:rsid w:val="00A66F01"/>
    <w:rsid w:val="00A67A86"/>
    <w:rsid w:val="00A70A3E"/>
    <w:rsid w:val="00A70F0D"/>
    <w:rsid w:val="00A71243"/>
    <w:rsid w:val="00A7309D"/>
    <w:rsid w:val="00A73777"/>
    <w:rsid w:val="00A73C95"/>
    <w:rsid w:val="00A746CA"/>
    <w:rsid w:val="00A7525F"/>
    <w:rsid w:val="00A7648A"/>
    <w:rsid w:val="00A764F8"/>
    <w:rsid w:val="00A77C4B"/>
    <w:rsid w:val="00A77E21"/>
    <w:rsid w:val="00A80221"/>
    <w:rsid w:val="00A80333"/>
    <w:rsid w:val="00A803B5"/>
    <w:rsid w:val="00A81009"/>
    <w:rsid w:val="00A81A19"/>
    <w:rsid w:val="00A83873"/>
    <w:rsid w:val="00A84426"/>
    <w:rsid w:val="00A86BE1"/>
    <w:rsid w:val="00A87C3A"/>
    <w:rsid w:val="00A902DF"/>
    <w:rsid w:val="00A90936"/>
    <w:rsid w:val="00A9095B"/>
    <w:rsid w:val="00A912A6"/>
    <w:rsid w:val="00A91303"/>
    <w:rsid w:val="00A9147D"/>
    <w:rsid w:val="00A9149A"/>
    <w:rsid w:val="00A91AB4"/>
    <w:rsid w:val="00A93427"/>
    <w:rsid w:val="00A93C32"/>
    <w:rsid w:val="00A93C70"/>
    <w:rsid w:val="00A93F61"/>
    <w:rsid w:val="00A94DD2"/>
    <w:rsid w:val="00A94FD0"/>
    <w:rsid w:val="00A95AFD"/>
    <w:rsid w:val="00A96A3D"/>
    <w:rsid w:val="00A96DEC"/>
    <w:rsid w:val="00A96FBC"/>
    <w:rsid w:val="00A97364"/>
    <w:rsid w:val="00A97EC1"/>
    <w:rsid w:val="00AA0935"/>
    <w:rsid w:val="00AA0B94"/>
    <w:rsid w:val="00AA1B24"/>
    <w:rsid w:val="00AA2042"/>
    <w:rsid w:val="00AA20E1"/>
    <w:rsid w:val="00AA2E31"/>
    <w:rsid w:val="00AA3E91"/>
    <w:rsid w:val="00AA3EDB"/>
    <w:rsid w:val="00AA4AD3"/>
    <w:rsid w:val="00AA4FE4"/>
    <w:rsid w:val="00AA5522"/>
    <w:rsid w:val="00AA5EB9"/>
    <w:rsid w:val="00AA5F4E"/>
    <w:rsid w:val="00AA6282"/>
    <w:rsid w:val="00AA7629"/>
    <w:rsid w:val="00AA7A7E"/>
    <w:rsid w:val="00AB08B6"/>
    <w:rsid w:val="00AB2163"/>
    <w:rsid w:val="00AB225D"/>
    <w:rsid w:val="00AB34D0"/>
    <w:rsid w:val="00AB3954"/>
    <w:rsid w:val="00AB3C16"/>
    <w:rsid w:val="00AB467A"/>
    <w:rsid w:val="00AB4F0F"/>
    <w:rsid w:val="00AB5299"/>
    <w:rsid w:val="00AB72FA"/>
    <w:rsid w:val="00AB7869"/>
    <w:rsid w:val="00AB7E68"/>
    <w:rsid w:val="00AC0EC7"/>
    <w:rsid w:val="00AC10B6"/>
    <w:rsid w:val="00AC1409"/>
    <w:rsid w:val="00AC1775"/>
    <w:rsid w:val="00AC1877"/>
    <w:rsid w:val="00AC2033"/>
    <w:rsid w:val="00AC2091"/>
    <w:rsid w:val="00AC2A03"/>
    <w:rsid w:val="00AC2A58"/>
    <w:rsid w:val="00AC2EF3"/>
    <w:rsid w:val="00AC34B8"/>
    <w:rsid w:val="00AC3792"/>
    <w:rsid w:val="00AC39F0"/>
    <w:rsid w:val="00AC3D8E"/>
    <w:rsid w:val="00AC4770"/>
    <w:rsid w:val="00AC4C5F"/>
    <w:rsid w:val="00AC51ED"/>
    <w:rsid w:val="00AC5320"/>
    <w:rsid w:val="00AC5D04"/>
    <w:rsid w:val="00AC7577"/>
    <w:rsid w:val="00AC7FBF"/>
    <w:rsid w:val="00AD06FC"/>
    <w:rsid w:val="00AD12FE"/>
    <w:rsid w:val="00AD15F6"/>
    <w:rsid w:val="00AD234A"/>
    <w:rsid w:val="00AD24DF"/>
    <w:rsid w:val="00AD2624"/>
    <w:rsid w:val="00AD2803"/>
    <w:rsid w:val="00AD2811"/>
    <w:rsid w:val="00AD2F94"/>
    <w:rsid w:val="00AD30D0"/>
    <w:rsid w:val="00AD3613"/>
    <w:rsid w:val="00AD3C17"/>
    <w:rsid w:val="00AD3E33"/>
    <w:rsid w:val="00AD3EDB"/>
    <w:rsid w:val="00AD4C2B"/>
    <w:rsid w:val="00AD544C"/>
    <w:rsid w:val="00AD5B18"/>
    <w:rsid w:val="00AD5EC8"/>
    <w:rsid w:val="00AD6069"/>
    <w:rsid w:val="00AD68DA"/>
    <w:rsid w:val="00AD6A94"/>
    <w:rsid w:val="00AD6D71"/>
    <w:rsid w:val="00AD6E0E"/>
    <w:rsid w:val="00AD70E1"/>
    <w:rsid w:val="00AE0199"/>
    <w:rsid w:val="00AE08EF"/>
    <w:rsid w:val="00AE1A27"/>
    <w:rsid w:val="00AE1EFF"/>
    <w:rsid w:val="00AE2108"/>
    <w:rsid w:val="00AE23F3"/>
    <w:rsid w:val="00AE2FB8"/>
    <w:rsid w:val="00AE36C2"/>
    <w:rsid w:val="00AE4069"/>
    <w:rsid w:val="00AE4AA2"/>
    <w:rsid w:val="00AE61EF"/>
    <w:rsid w:val="00AE67F9"/>
    <w:rsid w:val="00AE6931"/>
    <w:rsid w:val="00AE700F"/>
    <w:rsid w:val="00AE712F"/>
    <w:rsid w:val="00AE73A1"/>
    <w:rsid w:val="00AE743C"/>
    <w:rsid w:val="00AF1570"/>
    <w:rsid w:val="00AF1E5C"/>
    <w:rsid w:val="00AF1EB5"/>
    <w:rsid w:val="00AF275E"/>
    <w:rsid w:val="00AF2E57"/>
    <w:rsid w:val="00AF2FAC"/>
    <w:rsid w:val="00AF36CC"/>
    <w:rsid w:val="00AF3E88"/>
    <w:rsid w:val="00AF6E9B"/>
    <w:rsid w:val="00AF7147"/>
    <w:rsid w:val="00AF7B42"/>
    <w:rsid w:val="00AF7E71"/>
    <w:rsid w:val="00B00BB3"/>
    <w:rsid w:val="00B00F14"/>
    <w:rsid w:val="00B0123E"/>
    <w:rsid w:val="00B02078"/>
    <w:rsid w:val="00B02923"/>
    <w:rsid w:val="00B0319E"/>
    <w:rsid w:val="00B03292"/>
    <w:rsid w:val="00B0514A"/>
    <w:rsid w:val="00B05410"/>
    <w:rsid w:val="00B05D8B"/>
    <w:rsid w:val="00B06BC3"/>
    <w:rsid w:val="00B1031C"/>
    <w:rsid w:val="00B10393"/>
    <w:rsid w:val="00B1109D"/>
    <w:rsid w:val="00B11337"/>
    <w:rsid w:val="00B116E4"/>
    <w:rsid w:val="00B125CD"/>
    <w:rsid w:val="00B12854"/>
    <w:rsid w:val="00B12E93"/>
    <w:rsid w:val="00B134D3"/>
    <w:rsid w:val="00B13937"/>
    <w:rsid w:val="00B140A9"/>
    <w:rsid w:val="00B145F6"/>
    <w:rsid w:val="00B14E48"/>
    <w:rsid w:val="00B15D91"/>
    <w:rsid w:val="00B16439"/>
    <w:rsid w:val="00B17F6E"/>
    <w:rsid w:val="00B2002B"/>
    <w:rsid w:val="00B20356"/>
    <w:rsid w:val="00B20B2A"/>
    <w:rsid w:val="00B20CED"/>
    <w:rsid w:val="00B21038"/>
    <w:rsid w:val="00B21B0F"/>
    <w:rsid w:val="00B21C9F"/>
    <w:rsid w:val="00B225DC"/>
    <w:rsid w:val="00B235D3"/>
    <w:rsid w:val="00B241B1"/>
    <w:rsid w:val="00B24C5F"/>
    <w:rsid w:val="00B24DF9"/>
    <w:rsid w:val="00B25718"/>
    <w:rsid w:val="00B25847"/>
    <w:rsid w:val="00B266F5"/>
    <w:rsid w:val="00B26C15"/>
    <w:rsid w:val="00B26DC8"/>
    <w:rsid w:val="00B27875"/>
    <w:rsid w:val="00B278CC"/>
    <w:rsid w:val="00B301F2"/>
    <w:rsid w:val="00B305B1"/>
    <w:rsid w:val="00B30AB9"/>
    <w:rsid w:val="00B30C86"/>
    <w:rsid w:val="00B30CE3"/>
    <w:rsid w:val="00B31814"/>
    <w:rsid w:val="00B3209F"/>
    <w:rsid w:val="00B32CF2"/>
    <w:rsid w:val="00B336AE"/>
    <w:rsid w:val="00B341AB"/>
    <w:rsid w:val="00B342C5"/>
    <w:rsid w:val="00B344E5"/>
    <w:rsid w:val="00B34904"/>
    <w:rsid w:val="00B34A40"/>
    <w:rsid w:val="00B34A57"/>
    <w:rsid w:val="00B34B7A"/>
    <w:rsid w:val="00B35DBC"/>
    <w:rsid w:val="00B365C4"/>
    <w:rsid w:val="00B36B10"/>
    <w:rsid w:val="00B36D33"/>
    <w:rsid w:val="00B406F7"/>
    <w:rsid w:val="00B42140"/>
    <w:rsid w:val="00B42A4F"/>
    <w:rsid w:val="00B42ECA"/>
    <w:rsid w:val="00B43AD7"/>
    <w:rsid w:val="00B43D60"/>
    <w:rsid w:val="00B43F6B"/>
    <w:rsid w:val="00B443E7"/>
    <w:rsid w:val="00B450F4"/>
    <w:rsid w:val="00B4527E"/>
    <w:rsid w:val="00B454DD"/>
    <w:rsid w:val="00B459A8"/>
    <w:rsid w:val="00B45C16"/>
    <w:rsid w:val="00B462E2"/>
    <w:rsid w:val="00B46643"/>
    <w:rsid w:val="00B466FA"/>
    <w:rsid w:val="00B510BA"/>
    <w:rsid w:val="00B51B16"/>
    <w:rsid w:val="00B52216"/>
    <w:rsid w:val="00B5243B"/>
    <w:rsid w:val="00B529E7"/>
    <w:rsid w:val="00B53044"/>
    <w:rsid w:val="00B53592"/>
    <w:rsid w:val="00B54465"/>
    <w:rsid w:val="00B54DA0"/>
    <w:rsid w:val="00B54FD5"/>
    <w:rsid w:val="00B56C41"/>
    <w:rsid w:val="00B56D14"/>
    <w:rsid w:val="00B60159"/>
    <w:rsid w:val="00B60889"/>
    <w:rsid w:val="00B610AB"/>
    <w:rsid w:val="00B616D0"/>
    <w:rsid w:val="00B629D6"/>
    <w:rsid w:val="00B63191"/>
    <w:rsid w:val="00B63A66"/>
    <w:rsid w:val="00B63E5A"/>
    <w:rsid w:val="00B643C5"/>
    <w:rsid w:val="00B64E77"/>
    <w:rsid w:val="00B66153"/>
    <w:rsid w:val="00B66A07"/>
    <w:rsid w:val="00B671F2"/>
    <w:rsid w:val="00B67416"/>
    <w:rsid w:val="00B67667"/>
    <w:rsid w:val="00B70209"/>
    <w:rsid w:val="00B70504"/>
    <w:rsid w:val="00B70BD6"/>
    <w:rsid w:val="00B70DF1"/>
    <w:rsid w:val="00B71FE8"/>
    <w:rsid w:val="00B7222E"/>
    <w:rsid w:val="00B72B75"/>
    <w:rsid w:val="00B72EF5"/>
    <w:rsid w:val="00B734DA"/>
    <w:rsid w:val="00B748FB"/>
    <w:rsid w:val="00B74E7E"/>
    <w:rsid w:val="00B750DE"/>
    <w:rsid w:val="00B7548A"/>
    <w:rsid w:val="00B756DC"/>
    <w:rsid w:val="00B75762"/>
    <w:rsid w:val="00B75A1C"/>
    <w:rsid w:val="00B76089"/>
    <w:rsid w:val="00B76142"/>
    <w:rsid w:val="00B762D0"/>
    <w:rsid w:val="00B77510"/>
    <w:rsid w:val="00B77F22"/>
    <w:rsid w:val="00B8098C"/>
    <w:rsid w:val="00B80C02"/>
    <w:rsid w:val="00B8101A"/>
    <w:rsid w:val="00B81C4A"/>
    <w:rsid w:val="00B81C70"/>
    <w:rsid w:val="00B82681"/>
    <w:rsid w:val="00B82930"/>
    <w:rsid w:val="00B849BF"/>
    <w:rsid w:val="00B85545"/>
    <w:rsid w:val="00B85644"/>
    <w:rsid w:val="00B86EDA"/>
    <w:rsid w:val="00B90468"/>
    <w:rsid w:val="00B907F5"/>
    <w:rsid w:val="00B90918"/>
    <w:rsid w:val="00B90982"/>
    <w:rsid w:val="00B90D89"/>
    <w:rsid w:val="00B91AE4"/>
    <w:rsid w:val="00B927BA"/>
    <w:rsid w:val="00B93DD7"/>
    <w:rsid w:val="00B9416E"/>
    <w:rsid w:val="00B949DF"/>
    <w:rsid w:val="00B94BB9"/>
    <w:rsid w:val="00B96055"/>
    <w:rsid w:val="00B961B9"/>
    <w:rsid w:val="00B97992"/>
    <w:rsid w:val="00BA0760"/>
    <w:rsid w:val="00BA087D"/>
    <w:rsid w:val="00BA184D"/>
    <w:rsid w:val="00BA2399"/>
    <w:rsid w:val="00BA2766"/>
    <w:rsid w:val="00BA3048"/>
    <w:rsid w:val="00BA362B"/>
    <w:rsid w:val="00BA380A"/>
    <w:rsid w:val="00BA442B"/>
    <w:rsid w:val="00BA4981"/>
    <w:rsid w:val="00BA4E05"/>
    <w:rsid w:val="00BA5667"/>
    <w:rsid w:val="00BA62B6"/>
    <w:rsid w:val="00BA6831"/>
    <w:rsid w:val="00BA7795"/>
    <w:rsid w:val="00BA7873"/>
    <w:rsid w:val="00BB0821"/>
    <w:rsid w:val="00BB15D7"/>
    <w:rsid w:val="00BB3551"/>
    <w:rsid w:val="00BB4555"/>
    <w:rsid w:val="00BB5CF8"/>
    <w:rsid w:val="00BB69B1"/>
    <w:rsid w:val="00BB6B20"/>
    <w:rsid w:val="00BB6CEF"/>
    <w:rsid w:val="00BB72ED"/>
    <w:rsid w:val="00BC11DE"/>
    <w:rsid w:val="00BC2130"/>
    <w:rsid w:val="00BC2437"/>
    <w:rsid w:val="00BC2707"/>
    <w:rsid w:val="00BC2DE0"/>
    <w:rsid w:val="00BC37AF"/>
    <w:rsid w:val="00BC405B"/>
    <w:rsid w:val="00BC45AC"/>
    <w:rsid w:val="00BC4758"/>
    <w:rsid w:val="00BC48D0"/>
    <w:rsid w:val="00BC5A74"/>
    <w:rsid w:val="00BC5C3F"/>
    <w:rsid w:val="00BC612F"/>
    <w:rsid w:val="00BC6369"/>
    <w:rsid w:val="00BC67AF"/>
    <w:rsid w:val="00BC68CF"/>
    <w:rsid w:val="00BC7F6C"/>
    <w:rsid w:val="00BD0D74"/>
    <w:rsid w:val="00BD0E99"/>
    <w:rsid w:val="00BD1B95"/>
    <w:rsid w:val="00BD2A41"/>
    <w:rsid w:val="00BD2CE7"/>
    <w:rsid w:val="00BD3086"/>
    <w:rsid w:val="00BD3316"/>
    <w:rsid w:val="00BD49B0"/>
    <w:rsid w:val="00BD50B5"/>
    <w:rsid w:val="00BD6A5D"/>
    <w:rsid w:val="00BD6B17"/>
    <w:rsid w:val="00BD7164"/>
    <w:rsid w:val="00BD717F"/>
    <w:rsid w:val="00BD7266"/>
    <w:rsid w:val="00BD7307"/>
    <w:rsid w:val="00BD7734"/>
    <w:rsid w:val="00BD79EB"/>
    <w:rsid w:val="00BE04AE"/>
    <w:rsid w:val="00BE0C2A"/>
    <w:rsid w:val="00BE126A"/>
    <w:rsid w:val="00BE2A00"/>
    <w:rsid w:val="00BE35E5"/>
    <w:rsid w:val="00BE3CBD"/>
    <w:rsid w:val="00BE5131"/>
    <w:rsid w:val="00BE6A12"/>
    <w:rsid w:val="00BE7489"/>
    <w:rsid w:val="00BE7B5A"/>
    <w:rsid w:val="00BF033A"/>
    <w:rsid w:val="00BF039E"/>
    <w:rsid w:val="00BF1711"/>
    <w:rsid w:val="00BF1BF8"/>
    <w:rsid w:val="00BF2007"/>
    <w:rsid w:val="00BF20D3"/>
    <w:rsid w:val="00BF28B1"/>
    <w:rsid w:val="00BF2A14"/>
    <w:rsid w:val="00BF4898"/>
    <w:rsid w:val="00BF494F"/>
    <w:rsid w:val="00BF49BE"/>
    <w:rsid w:val="00BF4B1F"/>
    <w:rsid w:val="00BF4CC4"/>
    <w:rsid w:val="00BF67C6"/>
    <w:rsid w:val="00BF68E9"/>
    <w:rsid w:val="00BF6C99"/>
    <w:rsid w:val="00BF79C8"/>
    <w:rsid w:val="00C0027B"/>
    <w:rsid w:val="00C01528"/>
    <w:rsid w:val="00C01A85"/>
    <w:rsid w:val="00C01EA4"/>
    <w:rsid w:val="00C02ECE"/>
    <w:rsid w:val="00C02F5C"/>
    <w:rsid w:val="00C03DE6"/>
    <w:rsid w:val="00C03ECA"/>
    <w:rsid w:val="00C04F92"/>
    <w:rsid w:val="00C055FD"/>
    <w:rsid w:val="00C063F3"/>
    <w:rsid w:val="00C0642C"/>
    <w:rsid w:val="00C07171"/>
    <w:rsid w:val="00C07A11"/>
    <w:rsid w:val="00C1041F"/>
    <w:rsid w:val="00C1184F"/>
    <w:rsid w:val="00C11E6F"/>
    <w:rsid w:val="00C1276C"/>
    <w:rsid w:val="00C12C1A"/>
    <w:rsid w:val="00C12E3F"/>
    <w:rsid w:val="00C12FA4"/>
    <w:rsid w:val="00C13147"/>
    <w:rsid w:val="00C13CAA"/>
    <w:rsid w:val="00C145F6"/>
    <w:rsid w:val="00C14A3A"/>
    <w:rsid w:val="00C14B02"/>
    <w:rsid w:val="00C14BF2"/>
    <w:rsid w:val="00C15F7D"/>
    <w:rsid w:val="00C1625B"/>
    <w:rsid w:val="00C1650D"/>
    <w:rsid w:val="00C171A2"/>
    <w:rsid w:val="00C178EE"/>
    <w:rsid w:val="00C20391"/>
    <w:rsid w:val="00C21C83"/>
    <w:rsid w:val="00C225D7"/>
    <w:rsid w:val="00C23273"/>
    <w:rsid w:val="00C23831"/>
    <w:rsid w:val="00C23A18"/>
    <w:rsid w:val="00C243C4"/>
    <w:rsid w:val="00C24E3B"/>
    <w:rsid w:val="00C251DB"/>
    <w:rsid w:val="00C252B1"/>
    <w:rsid w:val="00C257DE"/>
    <w:rsid w:val="00C25F04"/>
    <w:rsid w:val="00C25F84"/>
    <w:rsid w:val="00C2696E"/>
    <w:rsid w:val="00C26EED"/>
    <w:rsid w:val="00C26F94"/>
    <w:rsid w:val="00C26FB6"/>
    <w:rsid w:val="00C27332"/>
    <w:rsid w:val="00C301EE"/>
    <w:rsid w:val="00C30796"/>
    <w:rsid w:val="00C30A11"/>
    <w:rsid w:val="00C30DA5"/>
    <w:rsid w:val="00C31038"/>
    <w:rsid w:val="00C3598F"/>
    <w:rsid w:val="00C35E66"/>
    <w:rsid w:val="00C3645C"/>
    <w:rsid w:val="00C36729"/>
    <w:rsid w:val="00C36873"/>
    <w:rsid w:val="00C37436"/>
    <w:rsid w:val="00C409C1"/>
    <w:rsid w:val="00C40FC4"/>
    <w:rsid w:val="00C41624"/>
    <w:rsid w:val="00C41987"/>
    <w:rsid w:val="00C41BA7"/>
    <w:rsid w:val="00C41C2A"/>
    <w:rsid w:val="00C42F82"/>
    <w:rsid w:val="00C43FC0"/>
    <w:rsid w:val="00C44C40"/>
    <w:rsid w:val="00C45440"/>
    <w:rsid w:val="00C470CC"/>
    <w:rsid w:val="00C4762A"/>
    <w:rsid w:val="00C51114"/>
    <w:rsid w:val="00C5117C"/>
    <w:rsid w:val="00C51865"/>
    <w:rsid w:val="00C51B5C"/>
    <w:rsid w:val="00C52134"/>
    <w:rsid w:val="00C527AE"/>
    <w:rsid w:val="00C5281D"/>
    <w:rsid w:val="00C5282D"/>
    <w:rsid w:val="00C52A37"/>
    <w:rsid w:val="00C52A4D"/>
    <w:rsid w:val="00C52D56"/>
    <w:rsid w:val="00C530EA"/>
    <w:rsid w:val="00C5370B"/>
    <w:rsid w:val="00C53752"/>
    <w:rsid w:val="00C55172"/>
    <w:rsid w:val="00C55323"/>
    <w:rsid w:val="00C555FD"/>
    <w:rsid w:val="00C5575D"/>
    <w:rsid w:val="00C5646A"/>
    <w:rsid w:val="00C56BBF"/>
    <w:rsid w:val="00C57227"/>
    <w:rsid w:val="00C57F0D"/>
    <w:rsid w:val="00C6020E"/>
    <w:rsid w:val="00C60576"/>
    <w:rsid w:val="00C6092B"/>
    <w:rsid w:val="00C6182C"/>
    <w:rsid w:val="00C6211B"/>
    <w:rsid w:val="00C624B8"/>
    <w:rsid w:val="00C62622"/>
    <w:rsid w:val="00C63073"/>
    <w:rsid w:val="00C6307A"/>
    <w:rsid w:val="00C6365B"/>
    <w:rsid w:val="00C63C68"/>
    <w:rsid w:val="00C645C9"/>
    <w:rsid w:val="00C64EB2"/>
    <w:rsid w:val="00C650D7"/>
    <w:rsid w:val="00C652C3"/>
    <w:rsid w:val="00C65D62"/>
    <w:rsid w:val="00C65E9F"/>
    <w:rsid w:val="00C65F86"/>
    <w:rsid w:val="00C664CF"/>
    <w:rsid w:val="00C66B68"/>
    <w:rsid w:val="00C66C19"/>
    <w:rsid w:val="00C66DF0"/>
    <w:rsid w:val="00C6714C"/>
    <w:rsid w:val="00C6790D"/>
    <w:rsid w:val="00C704B9"/>
    <w:rsid w:val="00C7075E"/>
    <w:rsid w:val="00C7112E"/>
    <w:rsid w:val="00C7169B"/>
    <w:rsid w:val="00C722EA"/>
    <w:rsid w:val="00C72805"/>
    <w:rsid w:val="00C736E7"/>
    <w:rsid w:val="00C74332"/>
    <w:rsid w:val="00C74842"/>
    <w:rsid w:val="00C76352"/>
    <w:rsid w:val="00C76428"/>
    <w:rsid w:val="00C76452"/>
    <w:rsid w:val="00C766C0"/>
    <w:rsid w:val="00C767B8"/>
    <w:rsid w:val="00C76D72"/>
    <w:rsid w:val="00C770B0"/>
    <w:rsid w:val="00C77863"/>
    <w:rsid w:val="00C80D31"/>
    <w:rsid w:val="00C8143C"/>
    <w:rsid w:val="00C814EE"/>
    <w:rsid w:val="00C819F2"/>
    <w:rsid w:val="00C82CB7"/>
    <w:rsid w:val="00C82E2A"/>
    <w:rsid w:val="00C82F4A"/>
    <w:rsid w:val="00C842B1"/>
    <w:rsid w:val="00C84973"/>
    <w:rsid w:val="00C85378"/>
    <w:rsid w:val="00C86063"/>
    <w:rsid w:val="00C901D7"/>
    <w:rsid w:val="00C90D01"/>
    <w:rsid w:val="00C912E5"/>
    <w:rsid w:val="00C919D3"/>
    <w:rsid w:val="00C91DD1"/>
    <w:rsid w:val="00C92111"/>
    <w:rsid w:val="00C923EA"/>
    <w:rsid w:val="00C93EBD"/>
    <w:rsid w:val="00C93EED"/>
    <w:rsid w:val="00C9465E"/>
    <w:rsid w:val="00C947D4"/>
    <w:rsid w:val="00C955B6"/>
    <w:rsid w:val="00C95FD9"/>
    <w:rsid w:val="00C96D7F"/>
    <w:rsid w:val="00C97239"/>
    <w:rsid w:val="00C97B5C"/>
    <w:rsid w:val="00CA0422"/>
    <w:rsid w:val="00CA1AF7"/>
    <w:rsid w:val="00CA389A"/>
    <w:rsid w:val="00CA3F07"/>
    <w:rsid w:val="00CA5FD3"/>
    <w:rsid w:val="00CA619F"/>
    <w:rsid w:val="00CA66D7"/>
    <w:rsid w:val="00CA6EC0"/>
    <w:rsid w:val="00CA7787"/>
    <w:rsid w:val="00CA7E9A"/>
    <w:rsid w:val="00CB01B0"/>
    <w:rsid w:val="00CB05C3"/>
    <w:rsid w:val="00CB0E8B"/>
    <w:rsid w:val="00CB11C6"/>
    <w:rsid w:val="00CB18F5"/>
    <w:rsid w:val="00CB1D90"/>
    <w:rsid w:val="00CB1F5E"/>
    <w:rsid w:val="00CB212C"/>
    <w:rsid w:val="00CB21C8"/>
    <w:rsid w:val="00CB244A"/>
    <w:rsid w:val="00CB27D5"/>
    <w:rsid w:val="00CB316F"/>
    <w:rsid w:val="00CB3196"/>
    <w:rsid w:val="00CB3986"/>
    <w:rsid w:val="00CB3D32"/>
    <w:rsid w:val="00CB4BDC"/>
    <w:rsid w:val="00CB5131"/>
    <w:rsid w:val="00CB516D"/>
    <w:rsid w:val="00CB59FB"/>
    <w:rsid w:val="00CB5D11"/>
    <w:rsid w:val="00CB6ADE"/>
    <w:rsid w:val="00CB757E"/>
    <w:rsid w:val="00CC0C8B"/>
    <w:rsid w:val="00CC1765"/>
    <w:rsid w:val="00CC23EF"/>
    <w:rsid w:val="00CC3098"/>
    <w:rsid w:val="00CC36AC"/>
    <w:rsid w:val="00CC3D16"/>
    <w:rsid w:val="00CC4454"/>
    <w:rsid w:val="00CC468D"/>
    <w:rsid w:val="00CC4FB2"/>
    <w:rsid w:val="00CC5E2E"/>
    <w:rsid w:val="00CC7288"/>
    <w:rsid w:val="00CC76E7"/>
    <w:rsid w:val="00CC7BA8"/>
    <w:rsid w:val="00CC7DCF"/>
    <w:rsid w:val="00CD0764"/>
    <w:rsid w:val="00CD090B"/>
    <w:rsid w:val="00CD1997"/>
    <w:rsid w:val="00CD224D"/>
    <w:rsid w:val="00CD2A42"/>
    <w:rsid w:val="00CD45EE"/>
    <w:rsid w:val="00CD4A92"/>
    <w:rsid w:val="00CD5E75"/>
    <w:rsid w:val="00CD5FDC"/>
    <w:rsid w:val="00CD621E"/>
    <w:rsid w:val="00CD647C"/>
    <w:rsid w:val="00CD6D3F"/>
    <w:rsid w:val="00CD7073"/>
    <w:rsid w:val="00CD7566"/>
    <w:rsid w:val="00CE05F7"/>
    <w:rsid w:val="00CE077A"/>
    <w:rsid w:val="00CE11C8"/>
    <w:rsid w:val="00CE1E17"/>
    <w:rsid w:val="00CE21A3"/>
    <w:rsid w:val="00CE21D8"/>
    <w:rsid w:val="00CE2203"/>
    <w:rsid w:val="00CE28BD"/>
    <w:rsid w:val="00CE293E"/>
    <w:rsid w:val="00CE2E35"/>
    <w:rsid w:val="00CE3F19"/>
    <w:rsid w:val="00CE3F66"/>
    <w:rsid w:val="00CE4A91"/>
    <w:rsid w:val="00CE6D1A"/>
    <w:rsid w:val="00CE7090"/>
    <w:rsid w:val="00CE776A"/>
    <w:rsid w:val="00CE7DFB"/>
    <w:rsid w:val="00CF0385"/>
    <w:rsid w:val="00CF06B6"/>
    <w:rsid w:val="00CF0B21"/>
    <w:rsid w:val="00CF122D"/>
    <w:rsid w:val="00CF1B96"/>
    <w:rsid w:val="00CF2390"/>
    <w:rsid w:val="00CF2B4C"/>
    <w:rsid w:val="00CF2BF0"/>
    <w:rsid w:val="00CF340C"/>
    <w:rsid w:val="00CF37E6"/>
    <w:rsid w:val="00CF3A3A"/>
    <w:rsid w:val="00CF46D6"/>
    <w:rsid w:val="00CF4C39"/>
    <w:rsid w:val="00CF5B8D"/>
    <w:rsid w:val="00CF6327"/>
    <w:rsid w:val="00CF6BC5"/>
    <w:rsid w:val="00D00A4F"/>
    <w:rsid w:val="00D01321"/>
    <w:rsid w:val="00D017CD"/>
    <w:rsid w:val="00D01F53"/>
    <w:rsid w:val="00D0224B"/>
    <w:rsid w:val="00D022A6"/>
    <w:rsid w:val="00D02BA3"/>
    <w:rsid w:val="00D0326C"/>
    <w:rsid w:val="00D03A14"/>
    <w:rsid w:val="00D04504"/>
    <w:rsid w:val="00D05761"/>
    <w:rsid w:val="00D05FAC"/>
    <w:rsid w:val="00D06650"/>
    <w:rsid w:val="00D06C35"/>
    <w:rsid w:val="00D07392"/>
    <w:rsid w:val="00D078D8"/>
    <w:rsid w:val="00D1073A"/>
    <w:rsid w:val="00D10A4D"/>
    <w:rsid w:val="00D111CF"/>
    <w:rsid w:val="00D137DE"/>
    <w:rsid w:val="00D13A79"/>
    <w:rsid w:val="00D13CB9"/>
    <w:rsid w:val="00D14DA7"/>
    <w:rsid w:val="00D14E94"/>
    <w:rsid w:val="00D15319"/>
    <w:rsid w:val="00D159F8"/>
    <w:rsid w:val="00D16E2F"/>
    <w:rsid w:val="00D177A8"/>
    <w:rsid w:val="00D17C8C"/>
    <w:rsid w:val="00D205C1"/>
    <w:rsid w:val="00D220D5"/>
    <w:rsid w:val="00D224E4"/>
    <w:rsid w:val="00D22650"/>
    <w:rsid w:val="00D22AFF"/>
    <w:rsid w:val="00D22D34"/>
    <w:rsid w:val="00D2419C"/>
    <w:rsid w:val="00D24618"/>
    <w:rsid w:val="00D24846"/>
    <w:rsid w:val="00D24CDE"/>
    <w:rsid w:val="00D250E1"/>
    <w:rsid w:val="00D25C9E"/>
    <w:rsid w:val="00D26E55"/>
    <w:rsid w:val="00D272AF"/>
    <w:rsid w:val="00D276A6"/>
    <w:rsid w:val="00D30059"/>
    <w:rsid w:val="00D302B1"/>
    <w:rsid w:val="00D304A8"/>
    <w:rsid w:val="00D3083E"/>
    <w:rsid w:val="00D31041"/>
    <w:rsid w:val="00D31CAE"/>
    <w:rsid w:val="00D32963"/>
    <w:rsid w:val="00D330B5"/>
    <w:rsid w:val="00D332D7"/>
    <w:rsid w:val="00D33620"/>
    <w:rsid w:val="00D33846"/>
    <w:rsid w:val="00D3385E"/>
    <w:rsid w:val="00D338BA"/>
    <w:rsid w:val="00D35CC7"/>
    <w:rsid w:val="00D35DE4"/>
    <w:rsid w:val="00D362BF"/>
    <w:rsid w:val="00D36691"/>
    <w:rsid w:val="00D370F8"/>
    <w:rsid w:val="00D37382"/>
    <w:rsid w:val="00D37E79"/>
    <w:rsid w:val="00D41801"/>
    <w:rsid w:val="00D42004"/>
    <w:rsid w:val="00D42841"/>
    <w:rsid w:val="00D42EB9"/>
    <w:rsid w:val="00D433CE"/>
    <w:rsid w:val="00D4374B"/>
    <w:rsid w:val="00D43EDC"/>
    <w:rsid w:val="00D45916"/>
    <w:rsid w:val="00D45F27"/>
    <w:rsid w:val="00D50EB0"/>
    <w:rsid w:val="00D50F0A"/>
    <w:rsid w:val="00D50F8E"/>
    <w:rsid w:val="00D51B0C"/>
    <w:rsid w:val="00D52013"/>
    <w:rsid w:val="00D5225D"/>
    <w:rsid w:val="00D548E3"/>
    <w:rsid w:val="00D54F13"/>
    <w:rsid w:val="00D55374"/>
    <w:rsid w:val="00D55A2E"/>
    <w:rsid w:val="00D565AE"/>
    <w:rsid w:val="00D56C32"/>
    <w:rsid w:val="00D56E52"/>
    <w:rsid w:val="00D56FC2"/>
    <w:rsid w:val="00D575AB"/>
    <w:rsid w:val="00D578C6"/>
    <w:rsid w:val="00D6009C"/>
    <w:rsid w:val="00D60105"/>
    <w:rsid w:val="00D60E7F"/>
    <w:rsid w:val="00D61CA0"/>
    <w:rsid w:val="00D6226E"/>
    <w:rsid w:val="00D633DA"/>
    <w:rsid w:val="00D6406D"/>
    <w:rsid w:val="00D647CB"/>
    <w:rsid w:val="00D64ECE"/>
    <w:rsid w:val="00D658B2"/>
    <w:rsid w:val="00D65944"/>
    <w:rsid w:val="00D65F18"/>
    <w:rsid w:val="00D66D8F"/>
    <w:rsid w:val="00D6718E"/>
    <w:rsid w:val="00D67BF3"/>
    <w:rsid w:val="00D70378"/>
    <w:rsid w:val="00D7039E"/>
    <w:rsid w:val="00D70515"/>
    <w:rsid w:val="00D70BF3"/>
    <w:rsid w:val="00D7131B"/>
    <w:rsid w:val="00D71762"/>
    <w:rsid w:val="00D724B5"/>
    <w:rsid w:val="00D72A2B"/>
    <w:rsid w:val="00D72CFD"/>
    <w:rsid w:val="00D74C05"/>
    <w:rsid w:val="00D75029"/>
    <w:rsid w:val="00D75045"/>
    <w:rsid w:val="00D7641D"/>
    <w:rsid w:val="00D775C5"/>
    <w:rsid w:val="00D77E78"/>
    <w:rsid w:val="00D81896"/>
    <w:rsid w:val="00D81D72"/>
    <w:rsid w:val="00D82021"/>
    <w:rsid w:val="00D823DD"/>
    <w:rsid w:val="00D824AA"/>
    <w:rsid w:val="00D82C28"/>
    <w:rsid w:val="00D83902"/>
    <w:rsid w:val="00D83AA5"/>
    <w:rsid w:val="00D847FB"/>
    <w:rsid w:val="00D84938"/>
    <w:rsid w:val="00D860C9"/>
    <w:rsid w:val="00D860D9"/>
    <w:rsid w:val="00D90339"/>
    <w:rsid w:val="00D903F8"/>
    <w:rsid w:val="00D9044F"/>
    <w:rsid w:val="00D90BED"/>
    <w:rsid w:val="00D910D8"/>
    <w:rsid w:val="00D9158C"/>
    <w:rsid w:val="00D91986"/>
    <w:rsid w:val="00D92223"/>
    <w:rsid w:val="00D92E77"/>
    <w:rsid w:val="00D93078"/>
    <w:rsid w:val="00D9404B"/>
    <w:rsid w:val="00D9546D"/>
    <w:rsid w:val="00D95B32"/>
    <w:rsid w:val="00D96955"/>
    <w:rsid w:val="00D97AC1"/>
    <w:rsid w:val="00D97CC0"/>
    <w:rsid w:val="00DA044B"/>
    <w:rsid w:val="00DA04D9"/>
    <w:rsid w:val="00DA2E28"/>
    <w:rsid w:val="00DA3119"/>
    <w:rsid w:val="00DA3262"/>
    <w:rsid w:val="00DA36CD"/>
    <w:rsid w:val="00DA3D65"/>
    <w:rsid w:val="00DA5556"/>
    <w:rsid w:val="00DA59BE"/>
    <w:rsid w:val="00DA6869"/>
    <w:rsid w:val="00DA6DA6"/>
    <w:rsid w:val="00DA753A"/>
    <w:rsid w:val="00DB0401"/>
    <w:rsid w:val="00DB12EC"/>
    <w:rsid w:val="00DB189B"/>
    <w:rsid w:val="00DB254B"/>
    <w:rsid w:val="00DB2A29"/>
    <w:rsid w:val="00DB2A99"/>
    <w:rsid w:val="00DB331A"/>
    <w:rsid w:val="00DB346F"/>
    <w:rsid w:val="00DB3A3E"/>
    <w:rsid w:val="00DB3BAC"/>
    <w:rsid w:val="00DB4387"/>
    <w:rsid w:val="00DB4D7D"/>
    <w:rsid w:val="00DB55F4"/>
    <w:rsid w:val="00DB6679"/>
    <w:rsid w:val="00DB6F2F"/>
    <w:rsid w:val="00DB709C"/>
    <w:rsid w:val="00DC09A9"/>
    <w:rsid w:val="00DC0CFC"/>
    <w:rsid w:val="00DC1318"/>
    <w:rsid w:val="00DC1586"/>
    <w:rsid w:val="00DC1A6C"/>
    <w:rsid w:val="00DC2A0D"/>
    <w:rsid w:val="00DC2E87"/>
    <w:rsid w:val="00DC2FEC"/>
    <w:rsid w:val="00DC3071"/>
    <w:rsid w:val="00DC328E"/>
    <w:rsid w:val="00DC3734"/>
    <w:rsid w:val="00DC3DA7"/>
    <w:rsid w:val="00DC4358"/>
    <w:rsid w:val="00DC4490"/>
    <w:rsid w:val="00DC51C0"/>
    <w:rsid w:val="00DC6A37"/>
    <w:rsid w:val="00DC70C1"/>
    <w:rsid w:val="00DC7104"/>
    <w:rsid w:val="00DC7BAF"/>
    <w:rsid w:val="00DD22B7"/>
    <w:rsid w:val="00DD23B3"/>
    <w:rsid w:val="00DD3B20"/>
    <w:rsid w:val="00DD3EC1"/>
    <w:rsid w:val="00DD4854"/>
    <w:rsid w:val="00DD488A"/>
    <w:rsid w:val="00DD497B"/>
    <w:rsid w:val="00DD4D59"/>
    <w:rsid w:val="00DD5708"/>
    <w:rsid w:val="00DD57D7"/>
    <w:rsid w:val="00DD5D8F"/>
    <w:rsid w:val="00DD6373"/>
    <w:rsid w:val="00DD63CA"/>
    <w:rsid w:val="00DD7053"/>
    <w:rsid w:val="00DD7AD7"/>
    <w:rsid w:val="00DD7C17"/>
    <w:rsid w:val="00DE0DCF"/>
    <w:rsid w:val="00DE141E"/>
    <w:rsid w:val="00DE171A"/>
    <w:rsid w:val="00DE1C55"/>
    <w:rsid w:val="00DE3292"/>
    <w:rsid w:val="00DE354E"/>
    <w:rsid w:val="00DE38C9"/>
    <w:rsid w:val="00DE4543"/>
    <w:rsid w:val="00DE4CAA"/>
    <w:rsid w:val="00DE567F"/>
    <w:rsid w:val="00DE5AED"/>
    <w:rsid w:val="00DE5DBC"/>
    <w:rsid w:val="00DE63BD"/>
    <w:rsid w:val="00DE63EB"/>
    <w:rsid w:val="00DE6B25"/>
    <w:rsid w:val="00DE74E1"/>
    <w:rsid w:val="00DE7C4A"/>
    <w:rsid w:val="00DE7D4D"/>
    <w:rsid w:val="00DF00BB"/>
    <w:rsid w:val="00DF0269"/>
    <w:rsid w:val="00DF052F"/>
    <w:rsid w:val="00DF0B55"/>
    <w:rsid w:val="00DF1590"/>
    <w:rsid w:val="00DF1960"/>
    <w:rsid w:val="00DF242F"/>
    <w:rsid w:val="00DF2623"/>
    <w:rsid w:val="00DF35DD"/>
    <w:rsid w:val="00DF4787"/>
    <w:rsid w:val="00DF49CF"/>
    <w:rsid w:val="00DF4BEC"/>
    <w:rsid w:val="00DF51BF"/>
    <w:rsid w:val="00DF5413"/>
    <w:rsid w:val="00DF57AF"/>
    <w:rsid w:val="00DF5F0C"/>
    <w:rsid w:val="00DF6A33"/>
    <w:rsid w:val="00DF6E86"/>
    <w:rsid w:val="00DF753B"/>
    <w:rsid w:val="00DF7D86"/>
    <w:rsid w:val="00E00293"/>
    <w:rsid w:val="00E0129E"/>
    <w:rsid w:val="00E0182E"/>
    <w:rsid w:val="00E01E3B"/>
    <w:rsid w:val="00E03725"/>
    <w:rsid w:val="00E03BAD"/>
    <w:rsid w:val="00E03EC3"/>
    <w:rsid w:val="00E04361"/>
    <w:rsid w:val="00E047B8"/>
    <w:rsid w:val="00E04DF4"/>
    <w:rsid w:val="00E04E6D"/>
    <w:rsid w:val="00E05965"/>
    <w:rsid w:val="00E05E93"/>
    <w:rsid w:val="00E06335"/>
    <w:rsid w:val="00E06805"/>
    <w:rsid w:val="00E06BAE"/>
    <w:rsid w:val="00E06F31"/>
    <w:rsid w:val="00E06F48"/>
    <w:rsid w:val="00E07295"/>
    <w:rsid w:val="00E07528"/>
    <w:rsid w:val="00E0766C"/>
    <w:rsid w:val="00E07A47"/>
    <w:rsid w:val="00E10D73"/>
    <w:rsid w:val="00E10FE1"/>
    <w:rsid w:val="00E11357"/>
    <w:rsid w:val="00E11D35"/>
    <w:rsid w:val="00E11E22"/>
    <w:rsid w:val="00E11F73"/>
    <w:rsid w:val="00E1267A"/>
    <w:rsid w:val="00E1312A"/>
    <w:rsid w:val="00E139E9"/>
    <w:rsid w:val="00E15F02"/>
    <w:rsid w:val="00E15F53"/>
    <w:rsid w:val="00E20339"/>
    <w:rsid w:val="00E20784"/>
    <w:rsid w:val="00E214AD"/>
    <w:rsid w:val="00E2151C"/>
    <w:rsid w:val="00E219DC"/>
    <w:rsid w:val="00E21D1A"/>
    <w:rsid w:val="00E22222"/>
    <w:rsid w:val="00E22357"/>
    <w:rsid w:val="00E22673"/>
    <w:rsid w:val="00E22DA9"/>
    <w:rsid w:val="00E23917"/>
    <w:rsid w:val="00E30044"/>
    <w:rsid w:val="00E31E4A"/>
    <w:rsid w:val="00E32411"/>
    <w:rsid w:val="00E3297A"/>
    <w:rsid w:val="00E32A25"/>
    <w:rsid w:val="00E32AB6"/>
    <w:rsid w:val="00E32E76"/>
    <w:rsid w:val="00E33F1D"/>
    <w:rsid w:val="00E34981"/>
    <w:rsid w:val="00E34F1E"/>
    <w:rsid w:val="00E35993"/>
    <w:rsid w:val="00E36DC5"/>
    <w:rsid w:val="00E37820"/>
    <w:rsid w:val="00E409E6"/>
    <w:rsid w:val="00E40CE9"/>
    <w:rsid w:val="00E40EB1"/>
    <w:rsid w:val="00E41161"/>
    <w:rsid w:val="00E4182A"/>
    <w:rsid w:val="00E41B71"/>
    <w:rsid w:val="00E426E5"/>
    <w:rsid w:val="00E42941"/>
    <w:rsid w:val="00E430A1"/>
    <w:rsid w:val="00E43342"/>
    <w:rsid w:val="00E433BA"/>
    <w:rsid w:val="00E438AF"/>
    <w:rsid w:val="00E43C1F"/>
    <w:rsid w:val="00E4414B"/>
    <w:rsid w:val="00E44271"/>
    <w:rsid w:val="00E447EB"/>
    <w:rsid w:val="00E448F1"/>
    <w:rsid w:val="00E4522D"/>
    <w:rsid w:val="00E45A92"/>
    <w:rsid w:val="00E46880"/>
    <w:rsid w:val="00E46C96"/>
    <w:rsid w:val="00E47112"/>
    <w:rsid w:val="00E5002F"/>
    <w:rsid w:val="00E50573"/>
    <w:rsid w:val="00E508C8"/>
    <w:rsid w:val="00E51C98"/>
    <w:rsid w:val="00E52350"/>
    <w:rsid w:val="00E52F7E"/>
    <w:rsid w:val="00E53306"/>
    <w:rsid w:val="00E5399D"/>
    <w:rsid w:val="00E53B1A"/>
    <w:rsid w:val="00E5453C"/>
    <w:rsid w:val="00E54DE4"/>
    <w:rsid w:val="00E555F7"/>
    <w:rsid w:val="00E5606D"/>
    <w:rsid w:val="00E562A9"/>
    <w:rsid w:val="00E56D60"/>
    <w:rsid w:val="00E5853D"/>
    <w:rsid w:val="00E6014D"/>
    <w:rsid w:val="00E6063B"/>
    <w:rsid w:val="00E60C2F"/>
    <w:rsid w:val="00E61E76"/>
    <w:rsid w:val="00E62477"/>
    <w:rsid w:val="00E638C1"/>
    <w:rsid w:val="00E63A81"/>
    <w:rsid w:val="00E6419D"/>
    <w:rsid w:val="00E64383"/>
    <w:rsid w:val="00E64B8B"/>
    <w:rsid w:val="00E6539D"/>
    <w:rsid w:val="00E656D1"/>
    <w:rsid w:val="00E65BAD"/>
    <w:rsid w:val="00E66E93"/>
    <w:rsid w:val="00E676A5"/>
    <w:rsid w:val="00E67A25"/>
    <w:rsid w:val="00E67E3C"/>
    <w:rsid w:val="00E70F50"/>
    <w:rsid w:val="00E72667"/>
    <w:rsid w:val="00E73A9B"/>
    <w:rsid w:val="00E73AD8"/>
    <w:rsid w:val="00E756C0"/>
    <w:rsid w:val="00E76A55"/>
    <w:rsid w:val="00E772C6"/>
    <w:rsid w:val="00E775CF"/>
    <w:rsid w:val="00E8249B"/>
    <w:rsid w:val="00E83AB6"/>
    <w:rsid w:val="00E84036"/>
    <w:rsid w:val="00E8478F"/>
    <w:rsid w:val="00E84A48"/>
    <w:rsid w:val="00E84FE3"/>
    <w:rsid w:val="00E85D9A"/>
    <w:rsid w:val="00E85F72"/>
    <w:rsid w:val="00E86B2E"/>
    <w:rsid w:val="00E86FEB"/>
    <w:rsid w:val="00E87584"/>
    <w:rsid w:val="00E879CD"/>
    <w:rsid w:val="00E87B94"/>
    <w:rsid w:val="00E901D7"/>
    <w:rsid w:val="00E91BDB"/>
    <w:rsid w:val="00E91D95"/>
    <w:rsid w:val="00E92513"/>
    <w:rsid w:val="00E927A0"/>
    <w:rsid w:val="00E9340D"/>
    <w:rsid w:val="00E94737"/>
    <w:rsid w:val="00E9496E"/>
    <w:rsid w:val="00E94D87"/>
    <w:rsid w:val="00E94E99"/>
    <w:rsid w:val="00E95892"/>
    <w:rsid w:val="00E958F8"/>
    <w:rsid w:val="00E95A72"/>
    <w:rsid w:val="00E96BD9"/>
    <w:rsid w:val="00EA01AB"/>
    <w:rsid w:val="00EA0AFA"/>
    <w:rsid w:val="00EA1860"/>
    <w:rsid w:val="00EA1FF3"/>
    <w:rsid w:val="00EA28F3"/>
    <w:rsid w:val="00EA3A68"/>
    <w:rsid w:val="00EA3A95"/>
    <w:rsid w:val="00EA52C8"/>
    <w:rsid w:val="00EA5BED"/>
    <w:rsid w:val="00EA6C4C"/>
    <w:rsid w:val="00EA6E67"/>
    <w:rsid w:val="00EA7310"/>
    <w:rsid w:val="00EA7582"/>
    <w:rsid w:val="00EA7676"/>
    <w:rsid w:val="00EA7900"/>
    <w:rsid w:val="00EB1EFE"/>
    <w:rsid w:val="00EB2101"/>
    <w:rsid w:val="00EB2D1E"/>
    <w:rsid w:val="00EB341E"/>
    <w:rsid w:val="00EB4076"/>
    <w:rsid w:val="00EB493E"/>
    <w:rsid w:val="00EB5E25"/>
    <w:rsid w:val="00EB6575"/>
    <w:rsid w:val="00EC0242"/>
    <w:rsid w:val="00EC05D1"/>
    <w:rsid w:val="00EC0823"/>
    <w:rsid w:val="00EC1731"/>
    <w:rsid w:val="00EC1EF3"/>
    <w:rsid w:val="00EC245C"/>
    <w:rsid w:val="00EC2C1A"/>
    <w:rsid w:val="00EC2E4C"/>
    <w:rsid w:val="00EC3DC4"/>
    <w:rsid w:val="00EC5081"/>
    <w:rsid w:val="00EC61D2"/>
    <w:rsid w:val="00EC658F"/>
    <w:rsid w:val="00EC6952"/>
    <w:rsid w:val="00EC766E"/>
    <w:rsid w:val="00EC788F"/>
    <w:rsid w:val="00EC7A58"/>
    <w:rsid w:val="00ED0276"/>
    <w:rsid w:val="00ED0F0B"/>
    <w:rsid w:val="00ED1288"/>
    <w:rsid w:val="00ED17E6"/>
    <w:rsid w:val="00ED1C2E"/>
    <w:rsid w:val="00ED1F1D"/>
    <w:rsid w:val="00ED264E"/>
    <w:rsid w:val="00ED2A54"/>
    <w:rsid w:val="00ED378D"/>
    <w:rsid w:val="00ED4188"/>
    <w:rsid w:val="00ED5202"/>
    <w:rsid w:val="00ED59E1"/>
    <w:rsid w:val="00ED5C7B"/>
    <w:rsid w:val="00ED642B"/>
    <w:rsid w:val="00ED6D0C"/>
    <w:rsid w:val="00ED71AB"/>
    <w:rsid w:val="00ED73C6"/>
    <w:rsid w:val="00ED7C02"/>
    <w:rsid w:val="00EE12E6"/>
    <w:rsid w:val="00EE193A"/>
    <w:rsid w:val="00EE23FF"/>
    <w:rsid w:val="00EE251F"/>
    <w:rsid w:val="00EE27BF"/>
    <w:rsid w:val="00EE291C"/>
    <w:rsid w:val="00EE2E30"/>
    <w:rsid w:val="00EE3577"/>
    <w:rsid w:val="00EE4190"/>
    <w:rsid w:val="00EE569E"/>
    <w:rsid w:val="00EE56CB"/>
    <w:rsid w:val="00EE594A"/>
    <w:rsid w:val="00EE5B4A"/>
    <w:rsid w:val="00EE689E"/>
    <w:rsid w:val="00EE6BC3"/>
    <w:rsid w:val="00EF1093"/>
    <w:rsid w:val="00EF193F"/>
    <w:rsid w:val="00EF20D2"/>
    <w:rsid w:val="00EF2EBE"/>
    <w:rsid w:val="00EF360D"/>
    <w:rsid w:val="00EF3699"/>
    <w:rsid w:val="00EF5C30"/>
    <w:rsid w:val="00EF61D8"/>
    <w:rsid w:val="00EF628E"/>
    <w:rsid w:val="00EF6341"/>
    <w:rsid w:val="00EF65F3"/>
    <w:rsid w:val="00EF6B34"/>
    <w:rsid w:val="00EF7525"/>
    <w:rsid w:val="00EF772E"/>
    <w:rsid w:val="00EF7B84"/>
    <w:rsid w:val="00EF7C32"/>
    <w:rsid w:val="00F006B8"/>
    <w:rsid w:val="00F01DB3"/>
    <w:rsid w:val="00F020B8"/>
    <w:rsid w:val="00F02FB7"/>
    <w:rsid w:val="00F03574"/>
    <w:rsid w:val="00F035E9"/>
    <w:rsid w:val="00F050E1"/>
    <w:rsid w:val="00F058C4"/>
    <w:rsid w:val="00F05942"/>
    <w:rsid w:val="00F06448"/>
    <w:rsid w:val="00F06AC3"/>
    <w:rsid w:val="00F07064"/>
    <w:rsid w:val="00F0749C"/>
    <w:rsid w:val="00F07B36"/>
    <w:rsid w:val="00F10860"/>
    <w:rsid w:val="00F11324"/>
    <w:rsid w:val="00F1134F"/>
    <w:rsid w:val="00F1136F"/>
    <w:rsid w:val="00F1154B"/>
    <w:rsid w:val="00F115F5"/>
    <w:rsid w:val="00F11A4A"/>
    <w:rsid w:val="00F12904"/>
    <w:rsid w:val="00F12CA6"/>
    <w:rsid w:val="00F12E3C"/>
    <w:rsid w:val="00F1323F"/>
    <w:rsid w:val="00F13917"/>
    <w:rsid w:val="00F13FE0"/>
    <w:rsid w:val="00F14AFF"/>
    <w:rsid w:val="00F14C1B"/>
    <w:rsid w:val="00F151B7"/>
    <w:rsid w:val="00F15425"/>
    <w:rsid w:val="00F1614E"/>
    <w:rsid w:val="00F1657E"/>
    <w:rsid w:val="00F16754"/>
    <w:rsid w:val="00F171FB"/>
    <w:rsid w:val="00F20832"/>
    <w:rsid w:val="00F226CB"/>
    <w:rsid w:val="00F235B3"/>
    <w:rsid w:val="00F23730"/>
    <w:rsid w:val="00F23873"/>
    <w:rsid w:val="00F23EA4"/>
    <w:rsid w:val="00F25326"/>
    <w:rsid w:val="00F25498"/>
    <w:rsid w:val="00F257B5"/>
    <w:rsid w:val="00F25819"/>
    <w:rsid w:val="00F25947"/>
    <w:rsid w:val="00F26308"/>
    <w:rsid w:val="00F26BE5"/>
    <w:rsid w:val="00F27479"/>
    <w:rsid w:val="00F3166C"/>
    <w:rsid w:val="00F31AB9"/>
    <w:rsid w:val="00F31C08"/>
    <w:rsid w:val="00F31E71"/>
    <w:rsid w:val="00F32723"/>
    <w:rsid w:val="00F327CD"/>
    <w:rsid w:val="00F32D0B"/>
    <w:rsid w:val="00F33152"/>
    <w:rsid w:val="00F33F4C"/>
    <w:rsid w:val="00F3477D"/>
    <w:rsid w:val="00F34B28"/>
    <w:rsid w:val="00F4079A"/>
    <w:rsid w:val="00F40C32"/>
    <w:rsid w:val="00F40CFD"/>
    <w:rsid w:val="00F4206B"/>
    <w:rsid w:val="00F4214D"/>
    <w:rsid w:val="00F42601"/>
    <w:rsid w:val="00F42689"/>
    <w:rsid w:val="00F42F65"/>
    <w:rsid w:val="00F43799"/>
    <w:rsid w:val="00F43E88"/>
    <w:rsid w:val="00F43EBC"/>
    <w:rsid w:val="00F44504"/>
    <w:rsid w:val="00F463A6"/>
    <w:rsid w:val="00F464C0"/>
    <w:rsid w:val="00F46FBB"/>
    <w:rsid w:val="00F4700F"/>
    <w:rsid w:val="00F475AA"/>
    <w:rsid w:val="00F5037E"/>
    <w:rsid w:val="00F50898"/>
    <w:rsid w:val="00F50C61"/>
    <w:rsid w:val="00F50D15"/>
    <w:rsid w:val="00F513D1"/>
    <w:rsid w:val="00F5200C"/>
    <w:rsid w:val="00F52A51"/>
    <w:rsid w:val="00F52AFA"/>
    <w:rsid w:val="00F531FA"/>
    <w:rsid w:val="00F5379A"/>
    <w:rsid w:val="00F554C2"/>
    <w:rsid w:val="00F5588A"/>
    <w:rsid w:val="00F55CCD"/>
    <w:rsid w:val="00F55FA3"/>
    <w:rsid w:val="00F5643C"/>
    <w:rsid w:val="00F56669"/>
    <w:rsid w:val="00F56685"/>
    <w:rsid w:val="00F5678A"/>
    <w:rsid w:val="00F56960"/>
    <w:rsid w:val="00F56E54"/>
    <w:rsid w:val="00F5712C"/>
    <w:rsid w:val="00F5739F"/>
    <w:rsid w:val="00F57405"/>
    <w:rsid w:val="00F576CF"/>
    <w:rsid w:val="00F57825"/>
    <w:rsid w:val="00F578AB"/>
    <w:rsid w:val="00F57CE7"/>
    <w:rsid w:val="00F60251"/>
    <w:rsid w:val="00F607F1"/>
    <w:rsid w:val="00F60E53"/>
    <w:rsid w:val="00F61778"/>
    <w:rsid w:val="00F61911"/>
    <w:rsid w:val="00F619CC"/>
    <w:rsid w:val="00F61B1F"/>
    <w:rsid w:val="00F620CA"/>
    <w:rsid w:val="00F62299"/>
    <w:rsid w:val="00F62681"/>
    <w:rsid w:val="00F62C72"/>
    <w:rsid w:val="00F62F2E"/>
    <w:rsid w:val="00F632CF"/>
    <w:rsid w:val="00F633A5"/>
    <w:rsid w:val="00F64063"/>
    <w:rsid w:val="00F64726"/>
    <w:rsid w:val="00F64A41"/>
    <w:rsid w:val="00F64AA0"/>
    <w:rsid w:val="00F64F87"/>
    <w:rsid w:val="00F65181"/>
    <w:rsid w:val="00F65A6D"/>
    <w:rsid w:val="00F65BFB"/>
    <w:rsid w:val="00F66BFB"/>
    <w:rsid w:val="00F705D0"/>
    <w:rsid w:val="00F708C6"/>
    <w:rsid w:val="00F70D43"/>
    <w:rsid w:val="00F70D65"/>
    <w:rsid w:val="00F723E3"/>
    <w:rsid w:val="00F72925"/>
    <w:rsid w:val="00F72C28"/>
    <w:rsid w:val="00F731D3"/>
    <w:rsid w:val="00F73409"/>
    <w:rsid w:val="00F7363A"/>
    <w:rsid w:val="00F7437A"/>
    <w:rsid w:val="00F75577"/>
    <w:rsid w:val="00F770E5"/>
    <w:rsid w:val="00F77651"/>
    <w:rsid w:val="00F77F72"/>
    <w:rsid w:val="00F808F7"/>
    <w:rsid w:val="00F80C86"/>
    <w:rsid w:val="00F8113C"/>
    <w:rsid w:val="00F816A1"/>
    <w:rsid w:val="00F821D0"/>
    <w:rsid w:val="00F82763"/>
    <w:rsid w:val="00F84CFE"/>
    <w:rsid w:val="00F850E4"/>
    <w:rsid w:val="00F8522B"/>
    <w:rsid w:val="00F85B98"/>
    <w:rsid w:val="00F85F5A"/>
    <w:rsid w:val="00F863E5"/>
    <w:rsid w:val="00F87AED"/>
    <w:rsid w:val="00F87C40"/>
    <w:rsid w:val="00F87CF0"/>
    <w:rsid w:val="00F9120F"/>
    <w:rsid w:val="00F912B0"/>
    <w:rsid w:val="00F913C6"/>
    <w:rsid w:val="00F9192E"/>
    <w:rsid w:val="00F91FC5"/>
    <w:rsid w:val="00F92756"/>
    <w:rsid w:val="00F92C58"/>
    <w:rsid w:val="00F92E79"/>
    <w:rsid w:val="00F93035"/>
    <w:rsid w:val="00F93071"/>
    <w:rsid w:val="00F93098"/>
    <w:rsid w:val="00F93211"/>
    <w:rsid w:val="00F93620"/>
    <w:rsid w:val="00F94335"/>
    <w:rsid w:val="00F94FE0"/>
    <w:rsid w:val="00F95479"/>
    <w:rsid w:val="00F96737"/>
    <w:rsid w:val="00F96F39"/>
    <w:rsid w:val="00FA0502"/>
    <w:rsid w:val="00FA08A2"/>
    <w:rsid w:val="00FA09B4"/>
    <w:rsid w:val="00FA0CF5"/>
    <w:rsid w:val="00FA0EDD"/>
    <w:rsid w:val="00FA154A"/>
    <w:rsid w:val="00FA1559"/>
    <w:rsid w:val="00FA1A02"/>
    <w:rsid w:val="00FA1DB4"/>
    <w:rsid w:val="00FA1E8A"/>
    <w:rsid w:val="00FA2567"/>
    <w:rsid w:val="00FA2A30"/>
    <w:rsid w:val="00FA2C39"/>
    <w:rsid w:val="00FA2D2A"/>
    <w:rsid w:val="00FA33C1"/>
    <w:rsid w:val="00FA34DA"/>
    <w:rsid w:val="00FA3665"/>
    <w:rsid w:val="00FA3E3C"/>
    <w:rsid w:val="00FA423C"/>
    <w:rsid w:val="00FA47BB"/>
    <w:rsid w:val="00FA5D11"/>
    <w:rsid w:val="00FA6454"/>
    <w:rsid w:val="00FA664B"/>
    <w:rsid w:val="00FA6658"/>
    <w:rsid w:val="00FA6E8E"/>
    <w:rsid w:val="00FA7388"/>
    <w:rsid w:val="00FA7903"/>
    <w:rsid w:val="00FB030E"/>
    <w:rsid w:val="00FB1539"/>
    <w:rsid w:val="00FB16CF"/>
    <w:rsid w:val="00FB1D30"/>
    <w:rsid w:val="00FB26C5"/>
    <w:rsid w:val="00FB2F48"/>
    <w:rsid w:val="00FB339D"/>
    <w:rsid w:val="00FB4966"/>
    <w:rsid w:val="00FB4AA4"/>
    <w:rsid w:val="00FB5706"/>
    <w:rsid w:val="00FB5730"/>
    <w:rsid w:val="00FB604A"/>
    <w:rsid w:val="00FB654F"/>
    <w:rsid w:val="00FB68A9"/>
    <w:rsid w:val="00FB69C4"/>
    <w:rsid w:val="00FB6E5A"/>
    <w:rsid w:val="00FB6EE2"/>
    <w:rsid w:val="00FB6FBA"/>
    <w:rsid w:val="00FB7405"/>
    <w:rsid w:val="00FB7890"/>
    <w:rsid w:val="00FC03D0"/>
    <w:rsid w:val="00FC0C93"/>
    <w:rsid w:val="00FC159D"/>
    <w:rsid w:val="00FC28D4"/>
    <w:rsid w:val="00FC4797"/>
    <w:rsid w:val="00FC4B1F"/>
    <w:rsid w:val="00FC5061"/>
    <w:rsid w:val="00FC534B"/>
    <w:rsid w:val="00FC5360"/>
    <w:rsid w:val="00FC6519"/>
    <w:rsid w:val="00FC6F92"/>
    <w:rsid w:val="00FC7013"/>
    <w:rsid w:val="00FC72DC"/>
    <w:rsid w:val="00FC780C"/>
    <w:rsid w:val="00FC7F13"/>
    <w:rsid w:val="00FD097B"/>
    <w:rsid w:val="00FD0AA8"/>
    <w:rsid w:val="00FD1E27"/>
    <w:rsid w:val="00FD1E6B"/>
    <w:rsid w:val="00FD202A"/>
    <w:rsid w:val="00FD298E"/>
    <w:rsid w:val="00FD2B6B"/>
    <w:rsid w:val="00FD2D9F"/>
    <w:rsid w:val="00FD3B35"/>
    <w:rsid w:val="00FD3B67"/>
    <w:rsid w:val="00FD3BC2"/>
    <w:rsid w:val="00FD447E"/>
    <w:rsid w:val="00FD4D08"/>
    <w:rsid w:val="00FD54C0"/>
    <w:rsid w:val="00FD71F9"/>
    <w:rsid w:val="00FD76F9"/>
    <w:rsid w:val="00FE036C"/>
    <w:rsid w:val="00FE0A36"/>
    <w:rsid w:val="00FE0D24"/>
    <w:rsid w:val="00FE1501"/>
    <w:rsid w:val="00FE1571"/>
    <w:rsid w:val="00FE1A2E"/>
    <w:rsid w:val="00FE1E6C"/>
    <w:rsid w:val="00FE213B"/>
    <w:rsid w:val="00FE2863"/>
    <w:rsid w:val="00FE3082"/>
    <w:rsid w:val="00FE3BF6"/>
    <w:rsid w:val="00FE47BA"/>
    <w:rsid w:val="00FE504E"/>
    <w:rsid w:val="00FE60C0"/>
    <w:rsid w:val="00FE669B"/>
    <w:rsid w:val="00FE71D2"/>
    <w:rsid w:val="00FF019D"/>
    <w:rsid w:val="00FF0F2F"/>
    <w:rsid w:val="00FF1694"/>
    <w:rsid w:val="00FF16F0"/>
    <w:rsid w:val="00FF1F5D"/>
    <w:rsid w:val="00FF2246"/>
    <w:rsid w:val="00FF2A0E"/>
    <w:rsid w:val="00FF2F6E"/>
    <w:rsid w:val="00FF4199"/>
    <w:rsid w:val="00FF427A"/>
    <w:rsid w:val="00FF4665"/>
    <w:rsid w:val="00FF4C3E"/>
    <w:rsid w:val="00FF6895"/>
    <w:rsid w:val="00FF70CE"/>
    <w:rsid w:val="00FF76F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1A504CD"/>
    <w:rsid w:val="323DFE0D"/>
    <w:rsid w:val="329997DB"/>
    <w:rsid w:val="3477DA5F"/>
    <w:rsid w:val="34942ED1"/>
    <w:rsid w:val="357B6A22"/>
    <w:rsid w:val="35967B2E"/>
    <w:rsid w:val="35C8D497"/>
    <w:rsid w:val="35FA3F8A"/>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21C1002"/>
    <w:rsid w:val="74B116C6"/>
    <w:rsid w:val="7613F057"/>
    <w:rsid w:val="77D0FFB4"/>
    <w:rsid w:val="79064136"/>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59D0DCD5-BB9F-459F-8A51-0C3A2F53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C1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link w:val="Heading2Char"/>
    <w:uiPriority w:val="9"/>
    <w:unhideWhenUsed/>
    <w:qFormat/>
    <w:rsid w:val="00ED1288"/>
    <w:pPr>
      <w:keepNext/>
      <w:keepLines/>
      <w:spacing w:before="200" w:after="0"/>
      <w:outlineLvl w:val="1"/>
    </w:pPr>
    <w:rPr>
      <w:b/>
      <w:sz w:val="28"/>
    </w:rPr>
  </w:style>
  <w:style w:type="paragraph" w:styleId="Heading3">
    <w:name w:val="heading 3"/>
    <w:basedOn w:val="Normal"/>
    <w:next w:val="Normal"/>
    <w:link w:val="Heading3Char"/>
    <w:autoRedefine/>
    <w:uiPriority w:val="9"/>
    <w:unhideWhenUsed/>
    <w:qFormat/>
    <w:rsid w:val="007F64F3"/>
    <w:pPr>
      <w:keepNext/>
      <w:keepLines/>
      <w:spacing w:before="200" w:after="0"/>
      <w:outlineLvl w:val="2"/>
    </w:pPr>
    <w:rPr>
      <w:rFonts w:eastAsia="Calibri" w:cs="Calibri"/>
      <w:b/>
      <w:sz w:val="26"/>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line="480" w:lineRule="auto"/>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 w:type="paragraph" w:styleId="Revision">
    <w:name w:val="Revision"/>
    <w:hidden/>
    <w:uiPriority w:val="99"/>
    <w:semiHidden/>
    <w:rsid w:val="004169B7"/>
    <w:pPr>
      <w:spacing w:before="0" w:after="0" w:line="240" w:lineRule="auto"/>
      <w:jc w:val="left"/>
    </w:pPr>
    <w:rPr>
      <w:rFonts w:ascii="Times New Roman" w:hAnsi="Times New Roman"/>
      <w:lang w:val="en-US"/>
    </w:rPr>
  </w:style>
  <w:style w:type="character" w:styleId="Strong">
    <w:name w:val="Strong"/>
    <w:basedOn w:val="DefaultParagraphFont"/>
    <w:uiPriority w:val="22"/>
    <w:qFormat/>
    <w:rsid w:val="00FF4C3E"/>
    <w:rPr>
      <w:b/>
      <w:bCs/>
    </w:rPr>
  </w:style>
  <w:style w:type="character" w:customStyle="1" w:styleId="Heading2Char">
    <w:name w:val="Heading 2 Char"/>
    <w:basedOn w:val="DefaultParagraphFont"/>
    <w:link w:val="Heading2"/>
    <w:uiPriority w:val="9"/>
    <w:rsid w:val="00ED1288"/>
    <w:rPr>
      <w:rFonts w:ascii="Times New Roman" w:hAnsi="Times New Roman"/>
      <w:b/>
      <w:sz w:val="28"/>
      <w:lang w:val="en-US"/>
    </w:rPr>
  </w:style>
  <w:style w:type="character" w:customStyle="1" w:styleId="Heading3Char">
    <w:name w:val="Heading 3 Char"/>
    <w:basedOn w:val="DefaultParagraphFont"/>
    <w:link w:val="Heading3"/>
    <w:uiPriority w:val="9"/>
    <w:rsid w:val="007F64F3"/>
    <w:rPr>
      <w:rFonts w:ascii="Times New Roman" w:eastAsia="Calibri" w:hAnsi="Times New Roman" w:cs="Calibri"/>
      <w:b/>
      <w:sz w:val="26"/>
      <w:szCs w:val="28"/>
      <w:lang w:val="en-US"/>
    </w:rPr>
  </w:style>
  <w:style w:type="character" w:customStyle="1" w:styleId="katex-mathml">
    <w:name w:val="katex-mathml"/>
    <w:basedOn w:val="DefaultParagraphFont"/>
    <w:rsid w:val="00BB6CEF"/>
  </w:style>
  <w:style w:type="character" w:customStyle="1" w:styleId="mord">
    <w:name w:val="mord"/>
    <w:basedOn w:val="DefaultParagraphFont"/>
    <w:rsid w:val="00BB6CEF"/>
  </w:style>
  <w:style w:type="character" w:customStyle="1" w:styleId="vlist-s">
    <w:name w:val="vlist-s"/>
    <w:basedOn w:val="DefaultParagraphFont"/>
    <w:rsid w:val="00BB6CEF"/>
  </w:style>
  <w:style w:type="character" w:styleId="UnresolvedMention">
    <w:name w:val="Unresolved Mention"/>
    <w:basedOn w:val="DefaultParagraphFont"/>
    <w:uiPriority w:val="99"/>
    <w:semiHidden/>
    <w:unhideWhenUsed/>
    <w:rsid w:val="00C6182C"/>
    <w:rPr>
      <w:color w:val="605E5C"/>
      <w:shd w:val="clear" w:color="auto" w:fill="E1DFDD"/>
    </w:rPr>
  </w:style>
  <w:style w:type="character" w:styleId="Emphasis">
    <w:name w:val="Emphasis"/>
    <w:basedOn w:val="DefaultParagraphFont"/>
    <w:uiPriority w:val="20"/>
    <w:qFormat/>
    <w:rsid w:val="008F0F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325986">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565190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3760205">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13">
      <w:bodyDiv w:val="1"/>
      <w:marLeft w:val="0"/>
      <w:marRight w:val="0"/>
      <w:marTop w:val="0"/>
      <w:marBottom w:val="0"/>
      <w:divBdr>
        <w:top w:val="none" w:sz="0" w:space="0" w:color="auto"/>
        <w:left w:val="none" w:sz="0" w:space="0" w:color="auto"/>
        <w:bottom w:val="none" w:sz="0" w:space="0" w:color="auto"/>
        <w:right w:val="none" w:sz="0" w:space="0" w:color="auto"/>
      </w:divBdr>
    </w:div>
    <w:div w:id="681277199">
      <w:bodyDiv w:val="1"/>
      <w:marLeft w:val="0"/>
      <w:marRight w:val="0"/>
      <w:marTop w:val="0"/>
      <w:marBottom w:val="0"/>
      <w:divBdr>
        <w:top w:val="none" w:sz="0" w:space="0" w:color="auto"/>
        <w:left w:val="none" w:sz="0" w:space="0" w:color="auto"/>
        <w:bottom w:val="none" w:sz="0" w:space="0" w:color="auto"/>
        <w:right w:val="none" w:sz="0" w:space="0" w:color="auto"/>
      </w:divBdr>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0299514">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24171788">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1966422145">
      <w:bodyDiv w:val="1"/>
      <w:marLeft w:val="0"/>
      <w:marRight w:val="0"/>
      <w:marTop w:val="0"/>
      <w:marBottom w:val="0"/>
      <w:divBdr>
        <w:top w:val="none" w:sz="0" w:space="0" w:color="auto"/>
        <w:left w:val="none" w:sz="0" w:space="0" w:color="auto"/>
        <w:bottom w:val="none" w:sz="0" w:space="0" w:color="auto"/>
        <w:right w:val="none" w:sz="0" w:space="0" w:color="auto"/>
      </w:divBdr>
    </w:div>
    <w:div w:id="1983263842">
      <w:bodyDiv w:val="1"/>
      <w:marLeft w:val="0"/>
      <w:marRight w:val="0"/>
      <w:marTop w:val="0"/>
      <w:marBottom w:val="0"/>
      <w:divBdr>
        <w:top w:val="none" w:sz="0" w:space="0" w:color="auto"/>
        <w:left w:val="none" w:sz="0" w:space="0" w:color="auto"/>
        <w:bottom w:val="none" w:sz="0" w:space="0" w:color="auto"/>
        <w:right w:val="none" w:sz="0" w:space="0" w:color="auto"/>
      </w:divBdr>
      <w:divsChild>
        <w:div w:id="465315339">
          <w:marLeft w:val="0"/>
          <w:marRight w:val="0"/>
          <w:marTop w:val="0"/>
          <w:marBottom w:val="0"/>
          <w:divBdr>
            <w:top w:val="none" w:sz="0" w:space="0" w:color="auto"/>
            <w:left w:val="none" w:sz="0" w:space="0" w:color="auto"/>
            <w:bottom w:val="none" w:sz="0" w:space="0" w:color="auto"/>
            <w:right w:val="none" w:sz="0" w:space="0" w:color="auto"/>
          </w:divBdr>
          <w:divsChild>
            <w:div w:id="481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coes.cl/els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25</Pages>
  <Words>8515</Words>
  <Characters>276001</Characters>
  <Application>Microsoft Office Word</Application>
  <DocSecurity>0</DocSecurity>
  <Lines>4119</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2482</cp:revision>
  <cp:lastPrinted>2024-11-14T07:41:00Z</cp:lastPrinted>
  <dcterms:created xsi:type="dcterms:W3CDTF">2024-12-09T21:55:00Z</dcterms:created>
  <dcterms:modified xsi:type="dcterms:W3CDTF">2025-10-29T18:39:00Z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id="smJf2IVe"/&gt;&lt;style id="http://www.zotero.org/styles/apa-6th-edition-no-ampersand" locale="en-US" hasBibliography="1" bibliographyStyleHasBeenSet="1"/&gt;&lt;prefs&gt;&lt;pref name="fieldType" value="Field"/&gt;&lt;</vt:lpwstr>
  </property>
  <property fmtid="{D5CDD505-2E9C-101B-9397-08002B2CF9AE}" pid="3" name="ZOTERO_PREF_2">
    <vt:lpwstr>pref name="automaticJournalAbbreviations" value="true"/&gt;&lt;pref name="dontAskDelayCitationUpdates" value="true"/&gt;&lt;/prefs&gt;&lt;/data&gt;</vt:lpwstr>
  </property>
  <property fmtid="{D5CDD505-2E9C-101B-9397-08002B2CF9AE}" pid="4" name="GrammarlyDocumentId">
    <vt:lpwstr>498d0a34-3269-475b-966d-bec54eea73dc</vt:lpwstr>
  </property>
</Properties>
</file>