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487D4" w14:textId="77777777" w:rsidR="009E0D5F" w:rsidRPr="00BE029F" w:rsidRDefault="009E0D5F" w:rsidP="009E0D5F">
      <w:pPr>
        <w:jc w:val="center"/>
        <w:rPr>
          <w:rFonts w:ascii="Times New Roman" w:hAnsi="Times New Roman" w:cs="Times New Roman"/>
          <w:b/>
          <w:bCs/>
          <w:sz w:val="30"/>
          <w:szCs w:val="30"/>
        </w:rPr>
      </w:pPr>
      <w:r w:rsidRPr="00BE029F">
        <w:rPr>
          <w:rFonts w:ascii="Times New Roman" w:hAnsi="Times New Roman" w:cs="Times New Roman"/>
          <w:b/>
          <w:bCs/>
          <w:sz w:val="30"/>
          <w:szCs w:val="30"/>
        </w:rPr>
        <w:t>SUPPLEMENTARY ONLINE MATERIALS</w:t>
      </w:r>
    </w:p>
    <w:p w14:paraId="0A6B8897" w14:textId="77777777" w:rsidR="009E0D5F" w:rsidRPr="00BE029F" w:rsidRDefault="009E0D5F" w:rsidP="009E0D5F">
      <w:pPr>
        <w:jc w:val="center"/>
        <w:rPr>
          <w:rFonts w:ascii="Times New Roman" w:hAnsi="Times New Roman" w:cs="Times New Roman"/>
        </w:rPr>
      </w:pPr>
      <w:r w:rsidRPr="00BE029F">
        <w:rPr>
          <w:rFonts w:ascii="Times New Roman" w:hAnsi="Times New Roman" w:cs="Times New Roman"/>
        </w:rPr>
        <w:t>for</w:t>
      </w:r>
    </w:p>
    <w:p w14:paraId="3848446D" w14:textId="77777777" w:rsidR="006F3610" w:rsidRPr="00BE029F" w:rsidRDefault="006F3610" w:rsidP="006F3610">
      <w:pPr>
        <w:jc w:val="center"/>
        <w:rPr>
          <w:rFonts w:ascii="Times New Roman" w:hAnsi="Times New Roman" w:cs="Times New Roman"/>
          <w:b/>
          <w:bCs/>
        </w:rPr>
      </w:pPr>
      <w:r w:rsidRPr="00BE029F">
        <w:rPr>
          <w:rFonts w:ascii="Times New Roman" w:hAnsi="Times New Roman" w:cs="Times New Roman"/>
          <w:b/>
          <w:bCs/>
        </w:rPr>
        <w:t xml:space="preserve">More Diverse, More Skeptical? How Changes in Class-based Network Diversity Shape Public Support for Commodified Welfare Services: Longitudinal Evidence from Chile </w:t>
      </w:r>
    </w:p>
    <w:p w14:paraId="4008F15E" w14:textId="77777777" w:rsidR="009E0D5F" w:rsidRPr="00BE029F" w:rsidRDefault="009E0D5F" w:rsidP="009E0D5F">
      <w:pPr>
        <w:jc w:val="center"/>
        <w:rPr>
          <w:rFonts w:ascii="Times New Roman" w:hAnsi="Times New Roman" w:cs="Times New Roman"/>
        </w:rPr>
      </w:pPr>
    </w:p>
    <w:p w14:paraId="32208ADA" w14:textId="422EE3AF" w:rsidR="009E0D5F" w:rsidRPr="00BE029F" w:rsidRDefault="009E0D5F" w:rsidP="009E0D5F">
      <w:pPr>
        <w:jc w:val="center"/>
        <w:rPr>
          <w:rFonts w:ascii="Times New Roman" w:hAnsi="Times New Roman" w:cs="Times New Roman"/>
          <w:i/>
          <w:iCs/>
        </w:rPr>
      </w:pPr>
      <w:r w:rsidRPr="00BE029F">
        <w:rPr>
          <w:rFonts w:ascii="Times New Roman" w:hAnsi="Times New Roman" w:cs="Times New Roman"/>
          <w:i/>
          <w:iCs/>
        </w:rPr>
        <w:t>Social Forces</w:t>
      </w:r>
    </w:p>
    <w:p w14:paraId="257B8FA9" w14:textId="77777777" w:rsidR="009E0D5F" w:rsidRPr="00BE029F" w:rsidRDefault="009E0D5F" w:rsidP="009E0D5F">
      <w:pPr>
        <w:jc w:val="center"/>
        <w:rPr>
          <w:rFonts w:ascii="Times New Roman" w:hAnsi="Times New Roman" w:cs="Times New Roman"/>
        </w:rPr>
      </w:pPr>
    </w:p>
    <w:p w14:paraId="1042FE4B" w14:textId="1A110230" w:rsidR="009E0D5F" w:rsidRPr="00BE029F" w:rsidRDefault="009E0D5F" w:rsidP="009E0D5F">
      <w:pPr>
        <w:jc w:val="center"/>
        <w:rPr>
          <w:rFonts w:ascii="Times New Roman" w:hAnsi="Times New Roman" w:cs="Times New Roman"/>
        </w:rPr>
      </w:pPr>
      <w:r w:rsidRPr="00BE029F">
        <w:rPr>
          <w:rFonts w:ascii="Times New Roman" w:hAnsi="Times New Roman" w:cs="Times New Roman"/>
        </w:rPr>
        <w:t>Version: November 2025.</w:t>
      </w:r>
    </w:p>
    <w:p w14:paraId="75224A0D" w14:textId="77777777" w:rsidR="009E0D5F" w:rsidRPr="00BE029F" w:rsidRDefault="009E0D5F" w:rsidP="009E0D5F">
      <w:pPr>
        <w:jc w:val="center"/>
        <w:rPr>
          <w:rFonts w:ascii="Times New Roman" w:hAnsi="Times New Roman" w:cs="Times New Roman"/>
        </w:rPr>
      </w:pPr>
    </w:p>
    <w:p w14:paraId="3F7FC783" w14:textId="77777777" w:rsidR="009E0D5F" w:rsidRPr="00BE029F" w:rsidRDefault="009E0D5F" w:rsidP="009E0D5F">
      <w:pPr>
        <w:jc w:val="center"/>
        <w:rPr>
          <w:rFonts w:ascii="Times New Roman" w:hAnsi="Times New Roman" w:cs="Times New Roman"/>
        </w:rPr>
      </w:pPr>
      <w:r w:rsidRPr="00BE029F">
        <w:rPr>
          <w:rFonts w:ascii="Times New Roman" w:hAnsi="Times New Roman" w:cs="Times New Roman"/>
        </w:rPr>
        <w:t>Julio Iturra-Sanhueza</w:t>
      </w:r>
    </w:p>
    <w:p w14:paraId="2415D0EC" w14:textId="77777777" w:rsidR="009E0D5F" w:rsidRPr="00BE029F" w:rsidRDefault="009E0D5F" w:rsidP="009E0D5F">
      <w:pPr>
        <w:jc w:val="center"/>
        <w:rPr>
          <w:rFonts w:ascii="Times New Roman" w:hAnsi="Times New Roman" w:cs="Times New Roman"/>
        </w:rPr>
      </w:pPr>
      <w:r w:rsidRPr="00BE029F">
        <w:rPr>
          <w:rFonts w:ascii="Times New Roman" w:hAnsi="Times New Roman" w:cs="Times New Roman"/>
        </w:rPr>
        <w:t>Bremen International Graduate School of Social Sciences, University of Bremen.</w:t>
      </w:r>
    </w:p>
    <w:p w14:paraId="73FCA986" w14:textId="77777777" w:rsidR="009E0D5F" w:rsidRPr="00BE029F" w:rsidRDefault="009E0D5F" w:rsidP="009E0D5F">
      <w:pPr>
        <w:jc w:val="center"/>
        <w:rPr>
          <w:rFonts w:ascii="Times New Roman" w:hAnsi="Times New Roman" w:cs="Times New Roman"/>
        </w:rPr>
      </w:pPr>
      <w:r w:rsidRPr="00BE029F">
        <w:rPr>
          <w:rFonts w:ascii="Times New Roman" w:hAnsi="Times New Roman" w:cs="Times New Roman"/>
        </w:rPr>
        <w:t>Correspondence: jiturra@bigsss.uni-bremen.de</w:t>
      </w:r>
    </w:p>
    <w:p w14:paraId="305095C2" w14:textId="77777777" w:rsidR="00BA2A88" w:rsidRPr="00BE029F" w:rsidRDefault="009E0D5F" w:rsidP="00BA2A88">
      <w:pPr>
        <w:pStyle w:val="Heading1"/>
        <w:rPr>
          <w:rFonts w:ascii="Times New Roman" w:hAnsi="Times New Roman" w:cs="Times New Roman"/>
        </w:rPr>
      </w:pPr>
      <w:r w:rsidRPr="00BE029F">
        <w:rPr>
          <w:rFonts w:ascii="Times New Roman" w:hAnsi="Times New Roman" w:cs="Times New Roman"/>
        </w:rPr>
        <w:br w:type="page"/>
      </w:r>
      <w:r w:rsidR="00BA2A88" w:rsidRPr="00BE029F">
        <w:rPr>
          <w:rFonts w:ascii="Times New Roman" w:hAnsi="Times New Roman" w:cs="Times New Roman"/>
        </w:rPr>
        <w:lastRenderedPageBreak/>
        <w:t>Supplementary materials</w:t>
      </w:r>
    </w:p>
    <w:p w14:paraId="320B3F63" w14:textId="79A5DB04" w:rsidR="00BA2A88" w:rsidRPr="00BE029F" w:rsidRDefault="007C023F" w:rsidP="00BA2A88">
      <w:pPr>
        <w:rPr>
          <w:rFonts w:ascii="Times New Roman" w:hAnsi="Times New Roman" w:cs="Times New Roman"/>
          <w:i/>
          <w:iCs/>
        </w:rPr>
      </w:pPr>
      <w:r w:rsidRPr="00BE029F">
        <w:rPr>
          <w:rFonts w:ascii="Times New Roman" w:hAnsi="Times New Roman" w:cs="Times New Roman"/>
          <w:i/>
          <w:iCs/>
        </w:rPr>
        <w:t>C</w:t>
      </w:r>
      <w:r w:rsidR="00BA2A88" w:rsidRPr="00BE029F">
        <w:rPr>
          <w:rFonts w:ascii="Times New Roman" w:hAnsi="Times New Roman" w:cs="Times New Roman"/>
          <w:i/>
          <w:iCs/>
        </w:rPr>
        <w:t>lass-based network diversity index</w:t>
      </w:r>
    </w:p>
    <w:p w14:paraId="357E5866" w14:textId="77777777" w:rsidR="008C3A69" w:rsidRPr="00BE029F" w:rsidRDefault="008C3A69" w:rsidP="008C3A69">
      <w:pPr>
        <w:jc w:val="center"/>
        <w:rPr>
          <w:rFonts w:ascii="Times New Roman" w:hAnsi="Times New Roman" w:cs="Times New Roman"/>
        </w:rPr>
      </w:pPr>
      <w:r w:rsidRPr="00BE029F">
        <w:rPr>
          <w:rFonts w:ascii="Times New Roman" w:hAnsi="Times New Roman" w:cs="Times New Roman"/>
          <w:noProof/>
        </w:rPr>
        <w:drawing>
          <wp:inline distT="0" distB="0" distL="0" distR="0" wp14:anchorId="2CD33004" wp14:editId="4B120C22">
            <wp:extent cx="5331401" cy="2664000"/>
            <wp:effectExtent l="0" t="0" r="3175" b="3175"/>
            <wp:docPr id="1896113071" name="Picture 1" descr="A graph of 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3071" name="Picture 1" descr="A graph of a graph showing a curv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1401" cy="2664000"/>
                    </a:xfrm>
                    <a:prstGeom prst="rect">
                      <a:avLst/>
                    </a:prstGeom>
                    <a:noFill/>
                    <a:ln>
                      <a:noFill/>
                    </a:ln>
                  </pic:spPr>
                </pic:pic>
              </a:graphicData>
            </a:graphic>
          </wp:inline>
        </w:drawing>
      </w:r>
    </w:p>
    <w:p w14:paraId="299739FE" w14:textId="4B23BFB5" w:rsidR="00BA2A88" w:rsidRPr="00BE029F" w:rsidRDefault="00BA2A88" w:rsidP="008C3A69">
      <w:pPr>
        <w:jc w:val="center"/>
        <w:rPr>
          <w:rFonts w:ascii="Times New Roman" w:hAnsi="Times New Roman" w:cs="Times New Roman"/>
        </w:rPr>
      </w:pPr>
      <w:r w:rsidRPr="00BE029F">
        <w:rPr>
          <w:rFonts w:ascii="Times New Roman" w:hAnsi="Times New Roman" w:cs="Times New Roman"/>
        </w:rPr>
        <w:t>Figure S1: Components of the class-based network diversity index</w:t>
      </w:r>
    </w:p>
    <w:p w14:paraId="0CAE3D5B" w14:textId="33FFB85D" w:rsidR="00774A6F" w:rsidRPr="00BE029F" w:rsidRDefault="00BA2A88" w:rsidP="00774A6F">
      <w:pPr>
        <w:jc w:val="both"/>
        <w:rPr>
          <w:rFonts w:ascii="Times New Roman" w:hAnsi="Times New Roman" w:cs="Times New Roman"/>
        </w:rPr>
      </w:pPr>
      <w:r w:rsidRPr="00BE029F">
        <w:rPr>
          <w:rFonts w:ascii="Times New Roman" w:hAnsi="Times New Roman" w:cs="Times New Roman"/>
        </w:rPr>
        <w:t xml:space="preserve">To assess whether the two indicators of network diversity capture a common latent dimension, a Principal Components Analysis (PCA) was conducted using the </w:t>
      </w:r>
      <w:r w:rsidR="005025AD" w:rsidRPr="00BE029F">
        <w:rPr>
          <w:rFonts w:ascii="Times New Roman" w:hAnsi="Times New Roman" w:cs="Times New Roman"/>
        </w:rPr>
        <w:t>“</w:t>
      </w:r>
      <w:r w:rsidRPr="00BE029F">
        <w:rPr>
          <w:rFonts w:ascii="Times New Roman" w:hAnsi="Times New Roman" w:cs="Times New Roman"/>
        </w:rPr>
        <w:t>psych</w:t>
      </w:r>
      <w:r w:rsidR="005025AD" w:rsidRPr="00BE029F">
        <w:rPr>
          <w:rFonts w:ascii="Times New Roman" w:hAnsi="Times New Roman" w:cs="Times New Roman"/>
        </w:rPr>
        <w:t>”</w:t>
      </w:r>
      <w:r w:rsidRPr="00BE029F">
        <w:rPr>
          <w:rFonts w:ascii="Times New Roman" w:hAnsi="Times New Roman" w:cs="Times New Roman"/>
        </w:rPr>
        <w:t xml:space="preserve"> package in R</w:t>
      </w:r>
      <w:r w:rsidR="003E1068" w:rsidRPr="00BE029F">
        <w:rPr>
          <w:rFonts w:ascii="Times New Roman" w:hAnsi="Times New Roman" w:cs="Times New Roman"/>
        </w:rPr>
        <w:t xml:space="preserve"> </w:t>
      </w:r>
      <w:r w:rsidR="005025AD" w:rsidRPr="00BE029F">
        <w:rPr>
          <w:rFonts w:ascii="Times New Roman" w:hAnsi="Times New Roman" w:cs="Times New Roman"/>
        </w:rPr>
        <w:fldChar w:fldCharType="begin"/>
      </w:r>
      <w:r w:rsidR="005025AD" w:rsidRPr="00BE029F">
        <w:rPr>
          <w:rFonts w:ascii="Times New Roman" w:hAnsi="Times New Roman" w:cs="Times New Roman"/>
        </w:rPr>
        <w:instrText xml:space="preserve"> ADDIN ZOTERO_ITEM CSL_CITATION {"citationID":"iq5jMtI2","properties":{"formattedCitation":"(Revelle, 2025)","plainCitation":"(Revelle, 2025)","noteIndex":0},"citationItems":[{"id":21168,"uris":["http://zotero.org/users/5414506/items/SXTAI2ZC"],"itemData":{"id":21168,"type":"report","event-place":"Evanston, Illinois","genre":"manual","publisher":"Northwestern University","publisher-place":"Evanston, Illinois","title":"psych: Procedures for psychological, psychometric, and personality research","URL":"https://CRAN.R-project.org/package=psych","author":[{"family":"Revelle","given":"William"}],"issued":{"date-parts":[["2025"]]},"citation-key":"revelle_psych_2025"}}],"schema":"https://github.com/citation-style-language/schema/raw/master/csl-citation.json"} </w:instrText>
      </w:r>
      <w:r w:rsidR="005025AD" w:rsidRPr="00BE029F">
        <w:rPr>
          <w:rFonts w:ascii="Times New Roman" w:hAnsi="Times New Roman" w:cs="Times New Roman"/>
        </w:rPr>
        <w:fldChar w:fldCharType="separate"/>
      </w:r>
      <w:r w:rsidR="005025AD" w:rsidRPr="00BE029F">
        <w:rPr>
          <w:rFonts w:ascii="Times New Roman" w:hAnsi="Times New Roman" w:cs="Times New Roman"/>
        </w:rPr>
        <w:t>(Revelle, 2025)</w:t>
      </w:r>
      <w:r w:rsidR="005025AD" w:rsidRPr="00BE029F">
        <w:rPr>
          <w:rFonts w:ascii="Times New Roman" w:hAnsi="Times New Roman" w:cs="Times New Roman"/>
        </w:rPr>
        <w:fldChar w:fldCharType="end"/>
      </w:r>
      <w:r w:rsidRPr="00BE029F">
        <w:rPr>
          <w:rFonts w:ascii="Times New Roman" w:hAnsi="Times New Roman" w:cs="Times New Roman"/>
        </w:rPr>
        <w:t xml:space="preserve">. The analysis included the entropy and the total number of known occupations as observed variables. A single-component solution with varimax rotation was extracted. The results indicated that a one-component structure provided an excellent representation of the data. Both indicators loaded </w:t>
      </w:r>
      <w:r w:rsidR="00EA1645" w:rsidRPr="00BE029F">
        <w:rPr>
          <w:rFonts w:ascii="Times New Roman" w:hAnsi="Times New Roman" w:cs="Times New Roman"/>
        </w:rPr>
        <w:t>adequately</w:t>
      </w:r>
      <w:r w:rsidRPr="00BE029F">
        <w:rPr>
          <w:rFonts w:ascii="Times New Roman" w:hAnsi="Times New Roman" w:cs="Times New Roman"/>
        </w:rPr>
        <w:t xml:space="preserve"> on the first principal component (0.98 for </w:t>
      </w:r>
      <w:proofErr w:type="gramStart"/>
      <w:r w:rsidRPr="00BE029F">
        <w:rPr>
          <w:rFonts w:ascii="Times New Roman" w:hAnsi="Times New Roman" w:cs="Times New Roman"/>
          <w:i/>
          <w:iCs/>
        </w:rPr>
        <w:t>variety</w:t>
      </w:r>
      <w:r w:rsidR="00423A46" w:rsidRPr="00BE029F">
        <w:rPr>
          <w:rFonts w:ascii="Times New Roman" w:hAnsi="Times New Roman" w:cs="Times New Roman"/>
          <w:i/>
          <w:iCs/>
        </w:rPr>
        <w:t xml:space="preserve"> </w:t>
      </w:r>
      <w:r w:rsidR="00423A46" w:rsidRPr="00BE029F">
        <w:rPr>
          <w:rFonts w:ascii="Times New Roman" w:hAnsi="Times New Roman" w:cs="Times New Roman"/>
        </w:rPr>
        <w:t xml:space="preserve"> </w:t>
      </w:r>
      <w:r w:rsidR="00423A46" w:rsidRPr="00BE029F">
        <w:rPr>
          <w:rFonts w:ascii="Times New Roman" w:hAnsi="Times New Roman" w:cs="Times New Roman"/>
        </w:rPr>
        <w:t>0.98</w:t>
      </w:r>
      <w:proofErr w:type="gramEnd"/>
      <w:r w:rsidR="00423A46" w:rsidRPr="00BE029F">
        <w:rPr>
          <w:rFonts w:ascii="Times New Roman" w:hAnsi="Times New Roman" w:cs="Times New Roman"/>
        </w:rPr>
        <w:t xml:space="preserve"> for </w:t>
      </w:r>
      <w:proofErr w:type="gramStart"/>
      <w:r w:rsidR="00423A46" w:rsidRPr="00BE029F">
        <w:rPr>
          <w:rFonts w:ascii="Times New Roman" w:hAnsi="Times New Roman" w:cs="Times New Roman"/>
          <w:i/>
          <w:iCs/>
        </w:rPr>
        <w:t>entropy</w:t>
      </w:r>
      <w:r w:rsidR="00423A46" w:rsidRPr="00BE029F">
        <w:rPr>
          <w:rFonts w:ascii="Times New Roman" w:hAnsi="Times New Roman" w:cs="Times New Roman"/>
        </w:rPr>
        <w:t xml:space="preserve"> </w:t>
      </w:r>
      <w:r w:rsidRPr="00BE029F">
        <w:rPr>
          <w:rFonts w:ascii="Times New Roman" w:hAnsi="Times New Roman" w:cs="Times New Roman"/>
        </w:rPr>
        <w:t>)</w:t>
      </w:r>
      <w:proofErr w:type="gramEnd"/>
      <w:r w:rsidRPr="00BE029F">
        <w:rPr>
          <w:rFonts w:ascii="Times New Roman" w:hAnsi="Times New Roman" w:cs="Times New Roman"/>
        </w:rPr>
        <w:t xml:space="preserve">, with communalities of 0.97, showing that nearly all variance in each variable is explained by the common factor. The extracted component accounted for 97% of the total variance (SS loading = 1.93), and the root mean square of residuals (RMSR = 0.03) indicated a good model fit. The mean item complexity of 1 further confirmed that each variable is </w:t>
      </w:r>
      <w:r w:rsidR="00324545" w:rsidRPr="00BE029F">
        <w:rPr>
          <w:rFonts w:ascii="Times New Roman" w:hAnsi="Times New Roman" w:cs="Times New Roman"/>
        </w:rPr>
        <w:t xml:space="preserve">adequately </w:t>
      </w:r>
      <w:r w:rsidRPr="00BE029F">
        <w:rPr>
          <w:rFonts w:ascii="Times New Roman" w:hAnsi="Times New Roman" w:cs="Times New Roman"/>
        </w:rPr>
        <w:t>associated with the same latent dimension.</w:t>
      </w:r>
    </w:p>
    <w:p w14:paraId="6FF5DB22" w14:textId="77777777" w:rsidR="00774A6F" w:rsidRPr="00BE029F" w:rsidRDefault="00774A6F">
      <w:pPr>
        <w:rPr>
          <w:rFonts w:ascii="Times New Roman" w:hAnsi="Times New Roman" w:cs="Times New Roman"/>
        </w:rPr>
      </w:pPr>
      <w:r w:rsidRPr="00BE029F">
        <w:rPr>
          <w:rFonts w:ascii="Times New Roman" w:hAnsi="Times New Roman" w:cs="Times New Roman"/>
        </w:rPr>
        <w:br w:type="page"/>
      </w:r>
    </w:p>
    <w:p w14:paraId="2F6A24B9" w14:textId="77777777" w:rsidR="00774A6F" w:rsidRPr="00BE029F" w:rsidRDefault="00774A6F" w:rsidP="00774A6F">
      <w:pPr>
        <w:jc w:val="both"/>
        <w:rPr>
          <w:rFonts w:ascii="Times New Roman" w:hAnsi="Times New Roman" w:cs="Times New Roman"/>
        </w:rPr>
      </w:pPr>
    </w:p>
    <w:tbl>
      <w:tblPr>
        <w:tblW w:w="6176" w:type="dxa"/>
        <w:jc w:val="center"/>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4500"/>
        <w:gridCol w:w="1676"/>
      </w:tblGrid>
      <w:tr w:rsidR="00774A6F" w:rsidRPr="00C73B9B" w14:paraId="7C72776A" w14:textId="77777777" w:rsidTr="00B91C3F">
        <w:trPr>
          <w:trHeight w:val="246"/>
          <w:tblHeader/>
          <w:jc w:val="center"/>
        </w:trPr>
        <w:tc>
          <w:tcPr>
            <w:tcW w:w="0" w:type="auto"/>
            <w:gridSpan w:val="2"/>
            <w:tcBorders>
              <w:top w:val="nil"/>
              <w:left w:val="nil"/>
              <w:bottom w:val="single" w:sz="18" w:space="0" w:color="auto"/>
              <w:right w:val="nil"/>
            </w:tcBorders>
            <w:tcMar>
              <w:top w:w="0" w:type="dxa"/>
              <w:left w:w="75" w:type="dxa"/>
              <w:bottom w:w="0" w:type="dxa"/>
              <w:right w:w="75" w:type="dxa"/>
            </w:tcMar>
            <w:vAlign w:val="center"/>
            <w:hideMark/>
          </w:tcPr>
          <w:p w14:paraId="52680AC8" w14:textId="77777777" w:rsidR="00774A6F" w:rsidRPr="00C73B9B" w:rsidRDefault="00774A6F" w:rsidP="00C91ED7">
            <w:pPr>
              <w:spacing w:after="0" w:line="240" w:lineRule="auto"/>
              <w:rPr>
                <w:rFonts w:ascii="Times New Roman" w:eastAsia="Times New Roman" w:hAnsi="Times New Roman" w:cs="Times New Roman"/>
                <w:color w:val="222222"/>
                <w:kern w:val="0"/>
                <w:lang w:eastAsia="es-CL"/>
                <w14:ligatures w14:val="none"/>
              </w:rPr>
            </w:pPr>
            <w:r w:rsidRPr="00C73B9B">
              <w:rPr>
                <w:rFonts w:ascii="Times New Roman" w:eastAsia="Times New Roman" w:hAnsi="Times New Roman" w:cs="Times New Roman"/>
                <w:color w:val="222222"/>
                <w:kern w:val="0"/>
                <w:lang w:eastAsia="es-CL"/>
                <w14:ligatures w14:val="none"/>
              </w:rPr>
              <w:t>Table S1: occupations included in the position generator</w:t>
            </w:r>
          </w:p>
        </w:tc>
      </w:tr>
      <w:tr w:rsidR="00774A6F" w:rsidRPr="00C73B9B" w14:paraId="28BCD1DC" w14:textId="77777777" w:rsidTr="00B91C3F">
        <w:trPr>
          <w:trHeight w:val="237"/>
          <w:tblHeader/>
          <w:jc w:val="center"/>
        </w:trPr>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4E5C18C4"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Occupation</w:t>
            </w:r>
            <w:proofErr w:type="spellEnd"/>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3E2EE966"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ISEI-08</w:t>
            </w:r>
          </w:p>
        </w:tc>
      </w:tr>
      <w:tr w:rsidR="00774A6F" w:rsidRPr="00C73B9B" w14:paraId="526CB631" w14:textId="77777777" w:rsidTr="00B91C3F">
        <w:trPr>
          <w:trHeight w:val="246"/>
          <w:jc w:val="center"/>
        </w:trPr>
        <w:tc>
          <w:tcPr>
            <w:tcW w:w="0" w:type="auto"/>
            <w:tcMar>
              <w:top w:w="0" w:type="dxa"/>
              <w:left w:w="75" w:type="dxa"/>
              <w:bottom w:w="0" w:type="dxa"/>
              <w:right w:w="75" w:type="dxa"/>
            </w:tcMar>
            <w:vAlign w:val="center"/>
            <w:hideMark/>
          </w:tcPr>
          <w:p w14:paraId="6ECBBCA9"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Doctor</w:t>
            </w:r>
          </w:p>
        </w:tc>
        <w:tc>
          <w:tcPr>
            <w:tcW w:w="0" w:type="auto"/>
            <w:tcMar>
              <w:top w:w="0" w:type="dxa"/>
              <w:left w:w="75" w:type="dxa"/>
              <w:bottom w:w="0" w:type="dxa"/>
              <w:right w:w="75" w:type="dxa"/>
            </w:tcMar>
            <w:vAlign w:val="center"/>
            <w:hideMark/>
          </w:tcPr>
          <w:p w14:paraId="19119423"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88</w:t>
            </w:r>
          </w:p>
        </w:tc>
      </w:tr>
      <w:tr w:rsidR="00774A6F" w:rsidRPr="00C73B9B" w14:paraId="5706128E" w14:textId="77777777" w:rsidTr="00B91C3F">
        <w:trPr>
          <w:trHeight w:val="237"/>
          <w:jc w:val="center"/>
        </w:trPr>
        <w:tc>
          <w:tcPr>
            <w:tcW w:w="0" w:type="auto"/>
            <w:tcMar>
              <w:top w:w="0" w:type="dxa"/>
              <w:left w:w="75" w:type="dxa"/>
              <w:bottom w:w="0" w:type="dxa"/>
              <w:right w:w="75" w:type="dxa"/>
            </w:tcMar>
            <w:vAlign w:val="center"/>
            <w:hideMark/>
          </w:tcPr>
          <w:p w14:paraId="2F964779"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Attorney</w:t>
            </w:r>
            <w:proofErr w:type="spellEnd"/>
          </w:p>
        </w:tc>
        <w:tc>
          <w:tcPr>
            <w:tcW w:w="0" w:type="auto"/>
            <w:tcMar>
              <w:top w:w="0" w:type="dxa"/>
              <w:left w:w="75" w:type="dxa"/>
              <w:bottom w:w="0" w:type="dxa"/>
              <w:right w:w="75" w:type="dxa"/>
            </w:tcMar>
            <w:vAlign w:val="center"/>
            <w:hideMark/>
          </w:tcPr>
          <w:p w14:paraId="3340C659"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85</w:t>
            </w:r>
          </w:p>
        </w:tc>
      </w:tr>
      <w:tr w:rsidR="00774A6F" w:rsidRPr="00C73B9B" w14:paraId="3FEDA308" w14:textId="77777777" w:rsidTr="00B91C3F">
        <w:trPr>
          <w:trHeight w:val="246"/>
          <w:jc w:val="center"/>
        </w:trPr>
        <w:tc>
          <w:tcPr>
            <w:tcW w:w="0" w:type="auto"/>
            <w:tcMar>
              <w:top w:w="0" w:type="dxa"/>
              <w:left w:w="75" w:type="dxa"/>
              <w:bottom w:w="0" w:type="dxa"/>
              <w:right w:w="75" w:type="dxa"/>
            </w:tcMar>
            <w:vAlign w:val="center"/>
            <w:hideMark/>
          </w:tcPr>
          <w:p w14:paraId="1F02C3B4"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University</w:t>
            </w:r>
            <w:proofErr w:type="spellEnd"/>
            <w:r w:rsidRPr="00C73B9B">
              <w:rPr>
                <w:rFonts w:ascii="Times New Roman" w:eastAsia="Times New Roman" w:hAnsi="Times New Roman" w:cs="Times New Roman"/>
                <w:color w:val="222222"/>
                <w:kern w:val="0"/>
                <w:lang w:val="es-CL" w:eastAsia="es-CL"/>
                <w14:ligatures w14:val="none"/>
              </w:rPr>
              <w:t xml:space="preserve"> </w:t>
            </w:r>
            <w:proofErr w:type="spellStart"/>
            <w:r w:rsidRPr="00C73B9B">
              <w:rPr>
                <w:rFonts w:ascii="Times New Roman" w:eastAsia="Times New Roman" w:hAnsi="Times New Roman" w:cs="Times New Roman"/>
                <w:color w:val="222222"/>
                <w:kern w:val="0"/>
                <w:lang w:val="es-CL" w:eastAsia="es-CL"/>
                <w14:ligatures w14:val="none"/>
              </w:rPr>
              <w:t>professor</w:t>
            </w:r>
            <w:proofErr w:type="spellEnd"/>
          </w:p>
        </w:tc>
        <w:tc>
          <w:tcPr>
            <w:tcW w:w="0" w:type="auto"/>
            <w:tcMar>
              <w:top w:w="0" w:type="dxa"/>
              <w:left w:w="75" w:type="dxa"/>
              <w:bottom w:w="0" w:type="dxa"/>
              <w:right w:w="75" w:type="dxa"/>
            </w:tcMar>
            <w:vAlign w:val="center"/>
            <w:hideMark/>
          </w:tcPr>
          <w:p w14:paraId="481A9C5E"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77</w:t>
            </w:r>
          </w:p>
        </w:tc>
      </w:tr>
      <w:tr w:rsidR="00774A6F" w:rsidRPr="00C73B9B" w14:paraId="5B3B629A" w14:textId="77777777" w:rsidTr="00B91C3F">
        <w:trPr>
          <w:trHeight w:val="246"/>
          <w:jc w:val="center"/>
        </w:trPr>
        <w:tc>
          <w:tcPr>
            <w:tcW w:w="0" w:type="auto"/>
            <w:tcMar>
              <w:top w:w="0" w:type="dxa"/>
              <w:left w:w="75" w:type="dxa"/>
              <w:bottom w:w="0" w:type="dxa"/>
              <w:right w:w="75" w:type="dxa"/>
            </w:tcMar>
            <w:vAlign w:val="center"/>
            <w:hideMark/>
          </w:tcPr>
          <w:p w14:paraId="1A943E6E" w14:textId="77777777" w:rsidR="00774A6F" w:rsidRPr="00C73B9B" w:rsidRDefault="00774A6F" w:rsidP="00C91ED7">
            <w:pPr>
              <w:spacing w:after="0" w:line="240" w:lineRule="auto"/>
              <w:rPr>
                <w:rFonts w:ascii="Times New Roman" w:eastAsia="Times New Roman" w:hAnsi="Times New Roman" w:cs="Times New Roman"/>
                <w:color w:val="222222"/>
                <w:kern w:val="0"/>
                <w:lang w:eastAsia="es-CL"/>
                <w14:ligatures w14:val="none"/>
              </w:rPr>
            </w:pPr>
            <w:r w:rsidRPr="00C73B9B">
              <w:rPr>
                <w:rFonts w:ascii="Times New Roman" w:eastAsia="Times New Roman" w:hAnsi="Times New Roman" w:cs="Times New Roman"/>
                <w:color w:val="222222"/>
                <w:kern w:val="0"/>
                <w:lang w:eastAsia="es-CL"/>
                <w14:ligatures w14:val="none"/>
              </w:rPr>
              <w:t>Manager of a large firm</w:t>
            </w:r>
          </w:p>
        </w:tc>
        <w:tc>
          <w:tcPr>
            <w:tcW w:w="0" w:type="auto"/>
            <w:tcMar>
              <w:top w:w="0" w:type="dxa"/>
              <w:left w:w="75" w:type="dxa"/>
              <w:bottom w:w="0" w:type="dxa"/>
              <w:right w:w="75" w:type="dxa"/>
            </w:tcMar>
            <w:vAlign w:val="center"/>
            <w:hideMark/>
          </w:tcPr>
          <w:p w14:paraId="442BB13E"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70</w:t>
            </w:r>
          </w:p>
        </w:tc>
      </w:tr>
      <w:tr w:rsidR="00774A6F" w:rsidRPr="00C73B9B" w14:paraId="50D46279" w14:textId="77777777" w:rsidTr="00B91C3F">
        <w:trPr>
          <w:trHeight w:val="237"/>
          <w:jc w:val="center"/>
        </w:trPr>
        <w:tc>
          <w:tcPr>
            <w:tcW w:w="0" w:type="auto"/>
            <w:tcMar>
              <w:top w:w="0" w:type="dxa"/>
              <w:left w:w="75" w:type="dxa"/>
              <w:bottom w:w="0" w:type="dxa"/>
              <w:right w:w="75" w:type="dxa"/>
            </w:tcMar>
            <w:vAlign w:val="center"/>
            <w:hideMark/>
          </w:tcPr>
          <w:p w14:paraId="104287F0"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Accountant</w:t>
            </w:r>
            <w:proofErr w:type="spellEnd"/>
          </w:p>
        </w:tc>
        <w:tc>
          <w:tcPr>
            <w:tcW w:w="0" w:type="auto"/>
            <w:tcMar>
              <w:top w:w="0" w:type="dxa"/>
              <w:left w:w="75" w:type="dxa"/>
              <w:bottom w:w="0" w:type="dxa"/>
              <w:right w:w="75" w:type="dxa"/>
            </w:tcMar>
            <w:vAlign w:val="center"/>
            <w:hideMark/>
          </w:tcPr>
          <w:p w14:paraId="6365BB6E"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60</w:t>
            </w:r>
          </w:p>
        </w:tc>
      </w:tr>
      <w:tr w:rsidR="00774A6F" w:rsidRPr="00C73B9B" w14:paraId="2B15CBFA" w14:textId="77777777" w:rsidTr="00B91C3F">
        <w:trPr>
          <w:trHeight w:val="246"/>
          <w:jc w:val="center"/>
        </w:trPr>
        <w:tc>
          <w:tcPr>
            <w:tcW w:w="0" w:type="auto"/>
            <w:tcMar>
              <w:top w:w="0" w:type="dxa"/>
              <w:left w:w="75" w:type="dxa"/>
              <w:bottom w:w="0" w:type="dxa"/>
              <w:right w:w="75" w:type="dxa"/>
            </w:tcMar>
            <w:vAlign w:val="center"/>
            <w:hideMark/>
          </w:tcPr>
          <w:p w14:paraId="7ED28AEE"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Secretary</w:t>
            </w:r>
            <w:proofErr w:type="spellEnd"/>
          </w:p>
        </w:tc>
        <w:tc>
          <w:tcPr>
            <w:tcW w:w="0" w:type="auto"/>
            <w:tcMar>
              <w:top w:w="0" w:type="dxa"/>
              <w:left w:w="75" w:type="dxa"/>
              <w:bottom w:w="0" w:type="dxa"/>
              <w:right w:w="75" w:type="dxa"/>
            </w:tcMar>
            <w:vAlign w:val="center"/>
            <w:hideMark/>
          </w:tcPr>
          <w:p w14:paraId="6E28B788"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53</w:t>
            </w:r>
          </w:p>
        </w:tc>
      </w:tr>
      <w:tr w:rsidR="00774A6F" w:rsidRPr="00C73B9B" w14:paraId="78A14785" w14:textId="77777777" w:rsidTr="00B91C3F">
        <w:trPr>
          <w:trHeight w:val="237"/>
          <w:jc w:val="center"/>
        </w:trPr>
        <w:tc>
          <w:tcPr>
            <w:tcW w:w="0" w:type="auto"/>
            <w:tcMar>
              <w:top w:w="0" w:type="dxa"/>
              <w:left w:w="75" w:type="dxa"/>
              <w:bottom w:w="0" w:type="dxa"/>
              <w:right w:w="75" w:type="dxa"/>
            </w:tcMar>
            <w:vAlign w:val="center"/>
            <w:hideMark/>
          </w:tcPr>
          <w:p w14:paraId="7E3EFB20"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 xml:space="preserve">Shop </w:t>
            </w:r>
            <w:proofErr w:type="spellStart"/>
            <w:r w:rsidRPr="00C73B9B">
              <w:rPr>
                <w:rFonts w:ascii="Times New Roman" w:eastAsia="Times New Roman" w:hAnsi="Times New Roman" w:cs="Times New Roman"/>
                <w:color w:val="222222"/>
                <w:kern w:val="0"/>
                <w:lang w:val="es-CL" w:eastAsia="es-CL"/>
                <w14:ligatures w14:val="none"/>
              </w:rPr>
              <w:t>assistant</w:t>
            </w:r>
            <w:proofErr w:type="spellEnd"/>
          </w:p>
        </w:tc>
        <w:tc>
          <w:tcPr>
            <w:tcW w:w="0" w:type="auto"/>
            <w:tcMar>
              <w:top w:w="0" w:type="dxa"/>
              <w:left w:w="75" w:type="dxa"/>
              <w:bottom w:w="0" w:type="dxa"/>
              <w:right w:w="75" w:type="dxa"/>
            </w:tcMar>
            <w:vAlign w:val="center"/>
            <w:hideMark/>
          </w:tcPr>
          <w:p w14:paraId="5134FB80"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43</w:t>
            </w:r>
          </w:p>
        </w:tc>
      </w:tr>
      <w:tr w:rsidR="00774A6F" w:rsidRPr="00C73B9B" w14:paraId="1DADB3D7" w14:textId="77777777" w:rsidTr="00B91C3F">
        <w:trPr>
          <w:trHeight w:val="246"/>
          <w:jc w:val="center"/>
        </w:trPr>
        <w:tc>
          <w:tcPr>
            <w:tcW w:w="0" w:type="auto"/>
            <w:tcMar>
              <w:top w:w="0" w:type="dxa"/>
              <w:left w:w="75" w:type="dxa"/>
              <w:bottom w:w="0" w:type="dxa"/>
              <w:right w:w="75" w:type="dxa"/>
            </w:tcMar>
            <w:vAlign w:val="center"/>
            <w:hideMark/>
          </w:tcPr>
          <w:p w14:paraId="5E41BA57"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Preschool</w:t>
            </w:r>
            <w:proofErr w:type="spellEnd"/>
            <w:r w:rsidRPr="00C73B9B">
              <w:rPr>
                <w:rFonts w:ascii="Times New Roman" w:eastAsia="Times New Roman" w:hAnsi="Times New Roman" w:cs="Times New Roman"/>
                <w:color w:val="222222"/>
                <w:kern w:val="0"/>
                <w:lang w:val="es-CL" w:eastAsia="es-CL"/>
                <w14:ligatures w14:val="none"/>
              </w:rPr>
              <w:t xml:space="preserve"> </w:t>
            </w:r>
            <w:proofErr w:type="spellStart"/>
            <w:r w:rsidRPr="00C73B9B">
              <w:rPr>
                <w:rFonts w:ascii="Times New Roman" w:eastAsia="Times New Roman" w:hAnsi="Times New Roman" w:cs="Times New Roman"/>
                <w:color w:val="222222"/>
                <w:kern w:val="0"/>
                <w:lang w:val="es-CL" w:eastAsia="es-CL"/>
                <w14:ligatures w14:val="none"/>
              </w:rPr>
              <w:t>teacher</w:t>
            </w:r>
            <w:proofErr w:type="spellEnd"/>
          </w:p>
        </w:tc>
        <w:tc>
          <w:tcPr>
            <w:tcW w:w="0" w:type="auto"/>
            <w:tcMar>
              <w:top w:w="0" w:type="dxa"/>
              <w:left w:w="75" w:type="dxa"/>
              <w:bottom w:w="0" w:type="dxa"/>
              <w:right w:w="75" w:type="dxa"/>
            </w:tcMar>
            <w:vAlign w:val="center"/>
            <w:hideMark/>
          </w:tcPr>
          <w:p w14:paraId="1A9693B8"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43</w:t>
            </w:r>
          </w:p>
        </w:tc>
      </w:tr>
      <w:tr w:rsidR="00774A6F" w:rsidRPr="00C73B9B" w14:paraId="6B7EEFD7" w14:textId="77777777" w:rsidTr="00B91C3F">
        <w:trPr>
          <w:trHeight w:val="246"/>
          <w:jc w:val="center"/>
        </w:trPr>
        <w:tc>
          <w:tcPr>
            <w:tcW w:w="0" w:type="auto"/>
            <w:tcMar>
              <w:top w:w="0" w:type="dxa"/>
              <w:left w:w="75" w:type="dxa"/>
              <w:bottom w:w="0" w:type="dxa"/>
              <w:right w:w="75" w:type="dxa"/>
            </w:tcMar>
            <w:vAlign w:val="center"/>
            <w:hideMark/>
          </w:tcPr>
          <w:p w14:paraId="2BD90936"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proofErr w:type="spellStart"/>
            <w:r w:rsidRPr="00C73B9B">
              <w:rPr>
                <w:rFonts w:ascii="Times New Roman" w:eastAsia="Times New Roman" w:hAnsi="Times New Roman" w:cs="Times New Roman"/>
                <w:color w:val="222222"/>
                <w:kern w:val="0"/>
                <w:lang w:val="es-CL" w:eastAsia="es-CL"/>
                <w14:ligatures w14:val="none"/>
              </w:rPr>
              <w:t>Waiter</w:t>
            </w:r>
            <w:proofErr w:type="spellEnd"/>
          </w:p>
        </w:tc>
        <w:tc>
          <w:tcPr>
            <w:tcW w:w="0" w:type="auto"/>
            <w:tcMar>
              <w:top w:w="0" w:type="dxa"/>
              <w:left w:w="75" w:type="dxa"/>
              <w:bottom w:w="0" w:type="dxa"/>
              <w:right w:w="75" w:type="dxa"/>
            </w:tcMar>
            <w:vAlign w:val="center"/>
            <w:hideMark/>
          </w:tcPr>
          <w:p w14:paraId="404328BF"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34</w:t>
            </w:r>
          </w:p>
        </w:tc>
      </w:tr>
      <w:tr w:rsidR="00774A6F" w:rsidRPr="00C73B9B" w14:paraId="6648A281" w14:textId="77777777" w:rsidTr="00B91C3F">
        <w:trPr>
          <w:trHeight w:val="237"/>
          <w:jc w:val="center"/>
        </w:trPr>
        <w:tc>
          <w:tcPr>
            <w:tcW w:w="0" w:type="auto"/>
            <w:tcMar>
              <w:top w:w="0" w:type="dxa"/>
              <w:left w:w="75" w:type="dxa"/>
              <w:bottom w:w="0" w:type="dxa"/>
              <w:right w:w="75" w:type="dxa"/>
            </w:tcMar>
            <w:vAlign w:val="center"/>
            <w:hideMark/>
          </w:tcPr>
          <w:p w14:paraId="7FC3FDBE"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 xml:space="preserve">Car </w:t>
            </w:r>
            <w:proofErr w:type="spellStart"/>
            <w:r w:rsidRPr="00C73B9B">
              <w:rPr>
                <w:rFonts w:ascii="Times New Roman" w:eastAsia="Times New Roman" w:hAnsi="Times New Roman" w:cs="Times New Roman"/>
                <w:color w:val="222222"/>
                <w:kern w:val="0"/>
                <w:lang w:val="es-CL" w:eastAsia="es-CL"/>
                <w14:ligatures w14:val="none"/>
              </w:rPr>
              <w:t>mechanic</w:t>
            </w:r>
            <w:proofErr w:type="spellEnd"/>
          </w:p>
        </w:tc>
        <w:tc>
          <w:tcPr>
            <w:tcW w:w="0" w:type="auto"/>
            <w:tcMar>
              <w:top w:w="0" w:type="dxa"/>
              <w:left w:w="75" w:type="dxa"/>
              <w:bottom w:w="0" w:type="dxa"/>
              <w:right w:w="75" w:type="dxa"/>
            </w:tcMar>
            <w:vAlign w:val="center"/>
            <w:hideMark/>
          </w:tcPr>
          <w:p w14:paraId="1CEA5EEE"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34</w:t>
            </w:r>
          </w:p>
        </w:tc>
      </w:tr>
      <w:tr w:rsidR="00774A6F" w:rsidRPr="00C73B9B" w14:paraId="3D1B2204" w14:textId="77777777" w:rsidTr="00B91C3F">
        <w:trPr>
          <w:trHeight w:val="246"/>
          <w:jc w:val="center"/>
        </w:trPr>
        <w:tc>
          <w:tcPr>
            <w:tcW w:w="0" w:type="auto"/>
            <w:tcMar>
              <w:top w:w="0" w:type="dxa"/>
              <w:left w:w="75" w:type="dxa"/>
              <w:bottom w:w="0" w:type="dxa"/>
              <w:right w:w="75" w:type="dxa"/>
            </w:tcMar>
            <w:vAlign w:val="center"/>
            <w:hideMark/>
          </w:tcPr>
          <w:p w14:paraId="0B8F2B19"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Taxi driver</w:t>
            </w:r>
          </w:p>
        </w:tc>
        <w:tc>
          <w:tcPr>
            <w:tcW w:w="0" w:type="auto"/>
            <w:tcMar>
              <w:top w:w="0" w:type="dxa"/>
              <w:left w:w="75" w:type="dxa"/>
              <w:bottom w:w="0" w:type="dxa"/>
              <w:right w:w="75" w:type="dxa"/>
            </w:tcMar>
            <w:vAlign w:val="center"/>
            <w:hideMark/>
          </w:tcPr>
          <w:p w14:paraId="0E7517B5"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30</w:t>
            </w:r>
          </w:p>
        </w:tc>
      </w:tr>
      <w:tr w:rsidR="00774A6F" w:rsidRPr="00C73B9B" w14:paraId="08DD29B5" w14:textId="77777777" w:rsidTr="00B91C3F">
        <w:trPr>
          <w:trHeight w:val="237"/>
          <w:jc w:val="center"/>
        </w:trPr>
        <w:tc>
          <w:tcPr>
            <w:tcW w:w="0" w:type="auto"/>
            <w:tcMar>
              <w:top w:w="0" w:type="dxa"/>
              <w:left w:w="75" w:type="dxa"/>
              <w:bottom w:w="0" w:type="dxa"/>
              <w:right w:w="75" w:type="dxa"/>
            </w:tcMar>
            <w:vAlign w:val="center"/>
            <w:hideMark/>
          </w:tcPr>
          <w:p w14:paraId="54F4D42F"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 xml:space="preserve">Street </w:t>
            </w:r>
            <w:proofErr w:type="spellStart"/>
            <w:r w:rsidRPr="00C73B9B">
              <w:rPr>
                <w:rFonts w:ascii="Times New Roman" w:eastAsia="Times New Roman" w:hAnsi="Times New Roman" w:cs="Times New Roman"/>
                <w:color w:val="222222"/>
                <w:kern w:val="0"/>
                <w:lang w:val="es-CL" w:eastAsia="es-CL"/>
                <w14:ligatures w14:val="none"/>
              </w:rPr>
              <w:t>vendor</w:t>
            </w:r>
            <w:proofErr w:type="spellEnd"/>
          </w:p>
        </w:tc>
        <w:tc>
          <w:tcPr>
            <w:tcW w:w="0" w:type="auto"/>
            <w:tcMar>
              <w:top w:w="0" w:type="dxa"/>
              <w:left w:w="75" w:type="dxa"/>
              <w:bottom w:w="0" w:type="dxa"/>
              <w:right w:w="75" w:type="dxa"/>
            </w:tcMar>
            <w:vAlign w:val="center"/>
            <w:hideMark/>
          </w:tcPr>
          <w:p w14:paraId="4F7CFC05"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29</w:t>
            </w:r>
          </w:p>
        </w:tc>
      </w:tr>
      <w:tr w:rsidR="00774A6F" w:rsidRPr="00C73B9B" w14:paraId="637B22D4" w14:textId="77777777" w:rsidTr="00B91C3F">
        <w:trPr>
          <w:trHeight w:val="246"/>
          <w:jc w:val="center"/>
        </w:trPr>
        <w:tc>
          <w:tcPr>
            <w:tcW w:w="0" w:type="auto"/>
            <w:tcMar>
              <w:top w:w="0" w:type="dxa"/>
              <w:left w:w="75" w:type="dxa"/>
              <w:bottom w:w="0" w:type="dxa"/>
              <w:right w:w="75" w:type="dxa"/>
            </w:tcMar>
            <w:vAlign w:val="center"/>
            <w:hideMark/>
          </w:tcPr>
          <w:p w14:paraId="2795A8B9" w14:textId="77777777" w:rsidR="00774A6F" w:rsidRPr="00C73B9B" w:rsidRDefault="00774A6F" w:rsidP="00C91ED7">
            <w:pPr>
              <w:spacing w:after="0" w:line="240" w:lineRule="auto"/>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 xml:space="preserve">Office </w:t>
            </w:r>
            <w:proofErr w:type="spellStart"/>
            <w:r w:rsidRPr="00C73B9B">
              <w:rPr>
                <w:rFonts w:ascii="Times New Roman" w:eastAsia="Times New Roman" w:hAnsi="Times New Roman" w:cs="Times New Roman"/>
                <w:color w:val="222222"/>
                <w:kern w:val="0"/>
                <w:lang w:val="es-CL" w:eastAsia="es-CL"/>
                <w14:ligatures w14:val="none"/>
              </w:rPr>
              <w:t>cleaner</w:t>
            </w:r>
            <w:proofErr w:type="spellEnd"/>
          </w:p>
        </w:tc>
        <w:tc>
          <w:tcPr>
            <w:tcW w:w="0" w:type="auto"/>
            <w:tcMar>
              <w:top w:w="0" w:type="dxa"/>
              <w:left w:w="75" w:type="dxa"/>
              <w:bottom w:w="0" w:type="dxa"/>
              <w:right w:w="75" w:type="dxa"/>
            </w:tcMar>
            <w:vAlign w:val="center"/>
            <w:hideMark/>
          </w:tcPr>
          <w:p w14:paraId="33767BE1" w14:textId="77777777" w:rsidR="00774A6F" w:rsidRPr="00C73B9B" w:rsidRDefault="00774A6F" w:rsidP="00B91C3F">
            <w:pPr>
              <w:spacing w:after="0" w:line="240" w:lineRule="auto"/>
              <w:jc w:val="center"/>
              <w:rPr>
                <w:rFonts w:ascii="Times New Roman" w:eastAsia="Times New Roman" w:hAnsi="Times New Roman" w:cs="Times New Roman"/>
                <w:color w:val="222222"/>
                <w:kern w:val="0"/>
                <w:lang w:val="es-CL" w:eastAsia="es-CL"/>
                <w14:ligatures w14:val="none"/>
              </w:rPr>
            </w:pPr>
            <w:r w:rsidRPr="00C73B9B">
              <w:rPr>
                <w:rFonts w:ascii="Times New Roman" w:eastAsia="Times New Roman" w:hAnsi="Times New Roman" w:cs="Times New Roman"/>
                <w:color w:val="222222"/>
                <w:kern w:val="0"/>
                <w:lang w:val="es-CL" w:eastAsia="es-CL"/>
                <w14:ligatures w14:val="none"/>
              </w:rPr>
              <w:t>16</w:t>
            </w:r>
          </w:p>
        </w:tc>
      </w:tr>
    </w:tbl>
    <w:p w14:paraId="2E962DCE" w14:textId="6264125F" w:rsidR="00301972" w:rsidRDefault="00301972" w:rsidP="00FE7D56">
      <w:pPr>
        <w:jc w:val="both"/>
        <w:rPr>
          <w:rFonts w:ascii="Times New Roman" w:hAnsi="Times New Roman" w:cs="Times New Roman"/>
        </w:rPr>
      </w:pPr>
    </w:p>
    <w:p w14:paraId="3421BE19" w14:textId="77777777" w:rsidR="00301972" w:rsidRDefault="00301972">
      <w:pPr>
        <w:rPr>
          <w:rFonts w:ascii="Times New Roman" w:hAnsi="Times New Roman" w:cs="Times New Roman"/>
        </w:rPr>
      </w:pPr>
      <w:r>
        <w:rPr>
          <w:rFonts w:ascii="Times New Roman" w:hAnsi="Times New Roman" w:cs="Times New Roman"/>
        </w:rPr>
        <w:br w:type="page"/>
      </w:r>
    </w:p>
    <w:p w14:paraId="39E57D75" w14:textId="71854A81" w:rsidR="00126A4B" w:rsidRPr="00301972" w:rsidRDefault="00126A4B" w:rsidP="00301972">
      <w:pPr>
        <w:pStyle w:val="Heading1"/>
        <w:rPr>
          <w:rFonts w:ascii="Times New Roman" w:hAnsi="Times New Roman" w:cs="Times New Roman"/>
        </w:rPr>
      </w:pPr>
      <w:r w:rsidRPr="00301972">
        <w:rPr>
          <w:rFonts w:ascii="Times New Roman" w:hAnsi="Times New Roman" w:cs="Times New Roman"/>
        </w:rPr>
        <w:t>Supplementary analysis</w:t>
      </w:r>
    </w:p>
    <w:p w14:paraId="1DBC03D0" w14:textId="046F38DF" w:rsidR="00BA2A88" w:rsidRPr="00BE029F" w:rsidRDefault="00BA2A88" w:rsidP="00FE7D56">
      <w:pPr>
        <w:jc w:val="both"/>
        <w:rPr>
          <w:rFonts w:ascii="Times New Roman" w:hAnsi="Times New Roman" w:cs="Times New Roman"/>
          <w:i/>
          <w:iCs/>
        </w:rPr>
      </w:pPr>
      <w:r w:rsidRPr="00BE029F">
        <w:rPr>
          <w:rFonts w:ascii="Times New Roman" w:hAnsi="Times New Roman" w:cs="Times New Roman"/>
          <w:i/>
          <w:iCs/>
        </w:rPr>
        <w:t xml:space="preserve">Intragenerational social mobility </w:t>
      </w:r>
      <w:r w:rsidR="00C03DF9" w:rsidRPr="00BE029F">
        <w:rPr>
          <w:rFonts w:ascii="Times New Roman" w:hAnsi="Times New Roman" w:cs="Times New Roman"/>
          <w:i/>
          <w:iCs/>
        </w:rPr>
        <w:t>trajectories</w:t>
      </w:r>
    </w:p>
    <w:p w14:paraId="640FAB39" w14:textId="362835AF" w:rsidR="00BA2A88" w:rsidRPr="00BE029F" w:rsidRDefault="00BA2A88" w:rsidP="0023360B">
      <w:pPr>
        <w:jc w:val="both"/>
        <w:rPr>
          <w:rFonts w:ascii="Times New Roman" w:hAnsi="Times New Roman" w:cs="Times New Roman"/>
        </w:rPr>
      </w:pPr>
      <w:r w:rsidRPr="00BE029F">
        <w:rPr>
          <w:rFonts w:ascii="Times New Roman" w:hAnsi="Times New Roman" w:cs="Times New Roman"/>
        </w:rPr>
        <w:t xml:space="preserve">To construct the trajectories of intragenerational mobility or simply “mobility profiles”, I used four categories for individuals’ occupational status: low, middle, high, and NEET. The procedure consists of two stages. First, individuals are categorized based on their first and last observed positions to identify profiles of mobility and stability. Second, to ensure a more robust classification of stability, I implemented the Class Mode Approach </w:t>
      </w:r>
      <w:r w:rsidR="00FE7D56" w:rsidRPr="00BE029F">
        <w:rPr>
          <w:rFonts w:ascii="Times New Roman" w:hAnsi="Times New Roman" w:cs="Times New Roman"/>
        </w:rPr>
        <w:fldChar w:fldCharType="begin"/>
      </w:r>
      <w:r w:rsidR="003D696C" w:rsidRPr="00BE029F">
        <w:rPr>
          <w:rFonts w:ascii="Times New Roman" w:hAnsi="Times New Roman" w:cs="Times New Roman"/>
        </w:rPr>
        <w:instrText xml:space="preserve"> ADDIN ZOTERO_ITEM CSL_CITATION {"citationID":"jTdcAj8D","properties":{"formattedCitation":"(Ares &amp; Van Ditmars, 2025; Helgason &amp; Rehm, 2024)","plainCitation":"(Ares &amp; Van Ditmars, 2025; Helgason &amp; Rehm, 2024)","noteIndex":0},"citationItems":[{"id":20901,"uris":["http://zotero.org/users/5414506/items/MY2BCYCT"],"itemData":{"id":20901,"type":"article-journal","container-title":"West European Politics","DOI":"10.1080/01402382.2024.2415845","ISSN":"0140-2382, 1743-9655","issue":"4","journalAbbreviation":"West European Politics","language":"en","page":"951-976","source":"DOI.org (Crossref)","title":"A life course approach to political preference formation across social classes","volume":"48","author":[{"family":"Ares","given":"Macarena"},{"family":"Van Ditmars","given":"Mathilde M."}],"issued":{"date-parts":[["2025",6,7]]},"citation-key":"ares_life_2025"}},{"id":16785,"uris":["http://zotero.org/users/5414506/items/YB26IELD"],"itemData":{"id":16785,"type":"article-journal","abstract":"While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FE7D56" w:rsidRPr="00BE029F">
        <w:rPr>
          <w:rFonts w:ascii="Times New Roman" w:hAnsi="Times New Roman" w:cs="Times New Roman"/>
        </w:rPr>
        <w:fldChar w:fldCharType="separate"/>
      </w:r>
      <w:r w:rsidR="003D696C" w:rsidRPr="00BE029F">
        <w:rPr>
          <w:rFonts w:ascii="Times New Roman" w:hAnsi="Times New Roman" w:cs="Times New Roman"/>
        </w:rPr>
        <w:t>(Ares &amp; Van Ditmars, 2025; Helgason &amp; Rehm, 2024)</w:t>
      </w:r>
      <w:r w:rsidR="00FE7D56" w:rsidRPr="00BE029F">
        <w:rPr>
          <w:rFonts w:ascii="Times New Roman" w:hAnsi="Times New Roman" w:cs="Times New Roman"/>
        </w:rPr>
        <w:fldChar w:fldCharType="end"/>
      </w:r>
      <w:r w:rsidRPr="00BE029F">
        <w:rPr>
          <w:rFonts w:ascii="Times New Roman" w:hAnsi="Times New Roman" w:cs="Times New Roman"/>
        </w:rPr>
        <w:t xml:space="preserve">. Here, those who participated in the panel for three to four waves and remained in the same position for at least 75% of the time are classified as stable. </w:t>
      </w:r>
    </w:p>
    <w:tbl>
      <w:tblPr>
        <w:tblW w:w="8432" w:type="dxa"/>
        <w:jc w:val="center"/>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3181"/>
        <w:gridCol w:w="818"/>
        <w:gridCol w:w="868"/>
        <w:gridCol w:w="1879"/>
        <w:gridCol w:w="818"/>
        <w:gridCol w:w="868"/>
      </w:tblGrid>
      <w:tr w:rsidR="00DD2DE1" w:rsidRPr="00DD2DE1" w14:paraId="7F69BAA8" w14:textId="77777777" w:rsidTr="00627AD9">
        <w:trPr>
          <w:trHeight w:val="286"/>
          <w:tblHeader/>
          <w:jc w:val="center"/>
        </w:trPr>
        <w:tc>
          <w:tcPr>
            <w:tcW w:w="0" w:type="auto"/>
            <w:gridSpan w:val="6"/>
            <w:tcBorders>
              <w:top w:val="nil"/>
              <w:left w:val="nil"/>
              <w:bottom w:val="single" w:sz="18" w:space="0" w:color="auto"/>
              <w:right w:val="nil"/>
            </w:tcBorders>
            <w:tcMar>
              <w:top w:w="0" w:type="dxa"/>
              <w:left w:w="75" w:type="dxa"/>
              <w:bottom w:w="0" w:type="dxa"/>
              <w:right w:w="75" w:type="dxa"/>
            </w:tcMar>
            <w:vAlign w:val="center"/>
            <w:hideMark/>
          </w:tcPr>
          <w:p w14:paraId="59CF43D2" w14:textId="695AD52A" w:rsidR="00DD2DE1" w:rsidRPr="00DD2DE1" w:rsidRDefault="00DD2DE1" w:rsidP="00DD2DE1">
            <w:pPr>
              <w:spacing w:after="0" w:line="240" w:lineRule="auto"/>
              <w:rPr>
                <w:rFonts w:ascii="Times New Roman" w:eastAsia="Times New Roman" w:hAnsi="Times New Roman" w:cs="Times New Roman"/>
                <w:color w:val="222222"/>
                <w:kern w:val="0"/>
                <w:lang w:eastAsia="es-CL"/>
                <w14:ligatures w14:val="none"/>
              </w:rPr>
            </w:pPr>
            <w:r w:rsidRPr="00DD2DE1">
              <w:rPr>
                <w:rFonts w:ascii="Times New Roman" w:eastAsia="Times New Roman" w:hAnsi="Times New Roman" w:cs="Times New Roman"/>
                <w:color w:val="222222"/>
                <w:kern w:val="0"/>
                <w:lang w:eastAsia="es-CL"/>
                <w14:ligatures w14:val="none"/>
              </w:rPr>
              <w:t>Table S2:</w:t>
            </w:r>
            <w:r w:rsidR="00F6455D" w:rsidRPr="00BE029F">
              <w:rPr>
                <w:rFonts w:ascii="Times New Roman" w:eastAsia="Times New Roman" w:hAnsi="Times New Roman" w:cs="Times New Roman"/>
                <w:color w:val="222222"/>
                <w:kern w:val="0"/>
                <w:lang w:eastAsia="es-CL"/>
                <w14:ligatures w14:val="none"/>
              </w:rPr>
              <w:t xml:space="preserve"> </w:t>
            </w:r>
            <w:r w:rsidRPr="00DD2DE1">
              <w:rPr>
                <w:rFonts w:ascii="Times New Roman" w:eastAsia="Times New Roman" w:hAnsi="Times New Roman" w:cs="Times New Roman"/>
                <w:color w:val="222222"/>
                <w:kern w:val="0"/>
                <w:lang w:eastAsia="es-CL"/>
                <w14:ligatures w14:val="none"/>
              </w:rPr>
              <w:t>Occupational socioeconomic status and intragenerational social mobility trajectories</w:t>
            </w:r>
          </w:p>
        </w:tc>
      </w:tr>
      <w:tr w:rsidR="0023360B" w:rsidRPr="00BE029F" w14:paraId="1D1148B4" w14:textId="77777777" w:rsidTr="00627AD9">
        <w:trPr>
          <w:trHeight w:val="276"/>
          <w:tblHeader/>
          <w:jc w:val="center"/>
        </w:trPr>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162ACA67"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Mobility</w:t>
            </w:r>
            <w:proofErr w:type="spellEnd"/>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02A37F34"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Freq</w:t>
            </w:r>
            <w:proofErr w:type="spellEnd"/>
            <w:r w:rsidRPr="00DD2DE1">
              <w:rPr>
                <w:rFonts w:ascii="Times New Roman" w:eastAsia="Times New Roman" w:hAnsi="Times New Roman" w:cs="Times New Roman"/>
                <w:color w:val="222222"/>
                <w:kern w:val="0"/>
                <w:lang w:val="es-CL" w:eastAsia="es-CL"/>
                <w14:ligatures w14:val="none"/>
              </w:rPr>
              <w:t>.</w:t>
            </w:r>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5553A0B1"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w:t>
            </w:r>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044885FE"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Mobility</w:t>
            </w:r>
            <w:proofErr w:type="spellEnd"/>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6D4903AA"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Freq</w:t>
            </w:r>
            <w:proofErr w:type="spellEnd"/>
            <w:r w:rsidRPr="00DD2DE1">
              <w:rPr>
                <w:rFonts w:ascii="Times New Roman" w:eastAsia="Times New Roman" w:hAnsi="Times New Roman" w:cs="Times New Roman"/>
                <w:color w:val="222222"/>
                <w:kern w:val="0"/>
                <w:lang w:val="es-CL" w:eastAsia="es-CL"/>
                <w14:ligatures w14:val="none"/>
              </w:rPr>
              <w:t>.</w:t>
            </w:r>
          </w:p>
        </w:tc>
        <w:tc>
          <w:tcPr>
            <w:tcW w:w="0" w:type="auto"/>
            <w:tcBorders>
              <w:top w:val="single" w:sz="18" w:space="0" w:color="auto"/>
              <w:bottom w:val="single" w:sz="12" w:space="0" w:color="111111"/>
            </w:tcBorders>
            <w:tcMar>
              <w:top w:w="0" w:type="dxa"/>
              <w:left w:w="75" w:type="dxa"/>
              <w:bottom w:w="0" w:type="dxa"/>
              <w:right w:w="75" w:type="dxa"/>
            </w:tcMar>
            <w:vAlign w:val="center"/>
            <w:hideMark/>
          </w:tcPr>
          <w:p w14:paraId="251E78E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w:t>
            </w:r>
          </w:p>
        </w:tc>
      </w:tr>
      <w:tr w:rsidR="0023360B" w:rsidRPr="00BE029F" w14:paraId="49C2739F" w14:textId="77777777" w:rsidTr="00627AD9">
        <w:trPr>
          <w:trHeight w:val="276"/>
          <w:jc w:val="center"/>
        </w:trPr>
        <w:tc>
          <w:tcPr>
            <w:tcW w:w="0" w:type="auto"/>
            <w:tcMar>
              <w:top w:w="0" w:type="dxa"/>
              <w:left w:w="75" w:type="dxa"/>
              <w:bottom w:w="0" w:type="dxa"/>
              <w:right w:w="75" w:type="dxa"/>
            </w:tcMar>
            <w:vAlign w:val="center"/>
            <w:hideMark/>
          </w:tcPr>
          <w:p w14:paraId="3B1EF4DD"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Downward</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Any</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NEET)</w:t>
            </w:r>
          </w:p>
        </w:tc>
        <w:tc>
          <w:tcPr>
            <w:tcW w:w="0" w:type="auto"/>
            <w:tcMar>
              <w:top w:w="0" w:type="dxa"/>
              <w:left w:w="75" w:type="dxa"/>
              <w:bottom w:w="0" w:type="dxa"/>
              <w:right w:w="75" w:type="dxa"/>
            </w:tcMar>
            <w:vAlign w:val="center"/>
            <w:hideMark/>
          </w:tcPr>
          <w:p w14:paraId="2DA4831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688</w:t>
            </w:r>
          </w:p>
        </w:tc>
        <w:tc>
          <w:tcPr>
            <w:tcW w:w="0" w:type="auto"/>
            <w:tcMar>
              <w:top w:w="0" w:type="dxa"/>
              <w:left w:w="75" w:type="dxa"/>
              <w:bottom w:w="0" w:type="dxa"/>
              <w:right w:w="75" w:type="dxa"/>
            </w:tcMar>
            <w:vAlign w:val="center"/>
            <w:hideMark/>
          </w:tcPr>
          <w:p w14:paraId="1B46347F"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10.48</w:t>
            </w:r>
          </w:p>
        </w:tc>
        <w:tc>
          <w:tcPr>
            <w:tcW w:w="0" w:type="auto"/>
            <w:vMerge w:val="restart"/>
            <w:tcMar>
              <w:top w:w="0" w:type="dxa"/>
              <w:left w:w="75" w:type="dxa"/>
              <w:bottom w:w="0" w:type="dxa"/>
              <w:right w:w="75" w:type="dxa"/>
            </w:tcMar>
            <w:vAlign w:val="center"/>
            <w:hideMark/>
          </w:tcPr>
          <w:p w14:paraId="6F589A84"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Downward</w:t>
            </w:r>
            <w:proofErr w:type="spellEnd"/>
          </w:p>
        </w:tc>
        <w:tc>
          <w:tcPr>
            <w:tcW w:w="0" w:type="auto"/>
            <w:vMerge w:val="restart"/>
            <w:tcMar>
              <w:top w:w="0" w:type="dxa"/>
              <w:left w:w="75" w:type="dxa"/>
              <w:bottom w:w="0" w:type="dxa"/>
              <w:right w:w="75" w:type="dxa"/>
            </w:tcMar>
            <w:vAlign w:val="center"/>
            <w:hideMark/>
          </w:tcPr>
          <w:p w14:paraId="352CA481"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941</w:t>
            </w:r>
          </w:p>
        </w:tc>
        <w:tc>
          <w:tcPr>
            <w:tcW w:w="0" w:type="auto"/>
            <w:vMerge w:val="restart"/>
            <w:tcMar>
              <w:top w:w="0" w:type="dxa"/>
              <w:left w:w="75" w:type="dxa"/>
              <w:bottom w:w="0" w:type="dxa"/>
              <w:right w:w="75" w:type="dxa"/>
            </w:tcMar>
            <w:vAlign w:val="center"/>
            <w:hideMark/>
          </w:tcPr>
          <w:p w14:paraId="0CAFA7BB"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14.34</w:t>
            </w:r>
          </w:p>
        </w:tc>
      </w:tr>
      <w:tr w:rsidR="0023360B" w:rsidRPr="00BE029F" w14:paraId="4B59C431" w14:textId="77777777" w:rsidTr="00627AD9">
        <w:trPr>
          <w:trHeight w:val="276"/>
          <w:jc w:val="center"/>
        </w:trPr>
        <w:tc>
          <w:tcPr>
            <w:tcW w:w="0" w:type="auto"/>
            <w:tcMar>
              <w:top w:w="0" w:type="dxa"/>
              <w:left w:w="75" w:type="dxa"/>
              <w:bottom w:w="0" w:type="dxa"/>
              <w:right w:w="75" w:type="dxa"/>
            </w:tcMar>
            <w:vAlign w:val="center"/>
            <w:hideMark/>
          </w:tcPr>
          <w:p w14:paraId="43DA6790"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Downward</w:t>
            </w:r>
            <w:proofErr w:type="spellEnd"/>
            <w:r w:rsidRPr="00DD2DE1">
              <w:rPr>
                <w:rFonts w:ascii="Times New Roman" w:eastAsia="Times New Roman" w:hAnsi="Times New Roman" w:cs="Times New Roman"/>
                <w:color w:val="222222"/>
                <w:kern w:val="0"/>
                <w:lang w:val="es-CL" w:eastAsia="es-CL"/>
                <w14:ligatures w14:val="none"/>
              </w:rPr>
              <w:t xml:space="preserve"> (H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L)</w:t>
            </w:r>
          </w:p>
        </w:tc>
        <w:tc>
          <w:tcPr>
            <w:tcW w:w="0" w:type="auto"/>
            <w:tcMar>
              <w:top w:w="0" w:type="dxa"/>
              <w:left w:w="75" w:type="dxa"/>
              <w:bottom w:w="0" w:type="dxa"/>
              <w:right w:w="75" w:type="dxa"/>
            </w:tcMar>
            <w:vAlign w:val="center"/>
            <w:hideMark/>
          </w:tcPr>
          <w:p w14:paraId="2CC3E01F"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75</w:t>
            </w:r>
          </w:p>
        </w:tc>
        <w:tc>
          <w:tcPr>
            <w:tcW w:w="0" w:type="auto"/>
            <w:tcMar>
              <w:top w:w="0" w:type="dxa"/>
              <w:left w:w="75" w:type="dxa"/>
              <w:bottom w:w="0" w:type="dxa"/>
              <w:right w:w="75" w:type="dxa"/>
            </w:tcMar>
            <w:vAlign w:val="center"/>
            <w:hideMark/>
          </w:tcPr>
          <w:p w14:paraId="7179D2CF"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1.14</w:t>
            </w:r>
          </w:p>
        </w:tc>
        <w:tc>
          <w:tcPr>
            <w:tcW w:w="0" w:type="auto"/>
            <w:vMerge/>
            <w:vAlign w:val="center"/>
            <w:hideMark/>
          </w:tcPr>
          <w:p w14:paraId="69994F53"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3985145F"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416B459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r>
      <w:tr w:rsidR="0023360B" w:rsidRPr="00BE029F" w14:paraId="07D64AEC" w14:textId="77777777" w:rsidTr="00627AD9">
        <w:trPr>
          <w:trHeight w:val="266"/>
          <w:jc w:val="center"/>
        </w:trPr>
        <w:tc>
          <w:tcPr>
            <w:tcW w:w="0" w:type="auto"/>
            <w:tcMar>
              <w:top w:w="0" w:type="dxa"/>
              <w:left w:w="75" w:type="dxa"/>
              <w:bottom w:w="0" w:type="dxa"/>
              <w:right w:w="75" w:type="dxa"/>
            </w:tcMar>
            <w:vAlign w:val="center"/>
            <w:hideMark/>
          </w:tcPr>
          <w:p w14:paraId="4DC85BD3"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Downward</w:t>
            </w:r>
            <w:proofErr w:type="spellEnd"/>
            <w:r w:rsidRPr="00DD2DE1">
              <w:rPr>
                <w:rFonts w:ascii="Times New Roman" w:eastAsia="Times New Roman" w:hAnsi="Times New Roman" w:cs="Times New Roman"/>
                <w:color w:val="222222"/>
                <w:kern w:val="0"/>
                <w:lang w:val="es-CL" w:eastAsia="es-CL"/>
                <w14:ligatures w14:val="none"/>
              </w:rPr>
              <w:t xml:space="preserve"> (H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M)</w:t>
            </w:r>
          </w:p>
        </w:tc>
        <w:tc>
          <w:tcPr>
            <w:tcW w:w="0" w:type="auto"/>
            <w:tcMar>
              <w:top w:w="0" w:type="dxa"/>
              <w:left w:w="75" w:type="dxa"/>
              <w:bottom w:w="0" w:type="dxa"/>
              <w:right w:w="75" w:type="dxa"/>
            </w:tcMar>
            <w:vAlign w:val="center"/>
            <w:hideMark/>
          </w:tcPr>
          <w:p w14:paraId="1A778732"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88</w:t>
            </w:r>
          </w:p>
        </w:tc>
        <w:tc>
          <w:tcPr>
            <w:tcW w:w="0" w:type="auto"/>
            <w:tcMar>
              <w:top w:w="0" w:type="dxa"/>
              <w:left w:w="75" w:type="dxa"/>
              <w:bottom w:w="0" w:type="dxa"/>
              <w:right w:w="75" w:type="dxa"/>
            </w:tcMar>
            <w:vAlign w:val="center"/>
            <w:hideMark/>
          </w:tcPr>
          <w:p w14:paraId="768A3EF6"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1.34</w:t>
            </w:r>
          </w:p>
        </w:tc>
        <w:tc>
          <w:tcPr>
            <w:tcW w:w="0" w:type="auto"/>
            <w:vMerge/>
            <w:vAlign w:val="center"/>
            <w:hideMark/>
          </w:tcPr>
          <w:p w14:paraId="309E4D3E"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44061053"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37AD20F6"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r>
      <w:tr w:rsidR="0023360B" w:rsidRPr="00BE029F" w14:paraId="24E9A81C" w14:textId="77777777" w:rsidTr="00627AD9">
        <w:trPr>
          <w:trHeight w:val="276"/>
          <w:jc w:val="center"/>
        </w:trPr>
        <w:tc>
          <w:tcPr>
            <w:tcW w:w="0" w:type="auto"/>
            <w:tcMar>
              <w:top w:w="0" w:type="dxa"/>
              <w:left w:w="75" w:type="dxa"/>
              <w:bottom w:w="0" w:type="dxa"/>
              <w:right w:w="75" w:type="dxa"/>
            </w:tcMar>
            <w:vAlign w:val="center"/>
            <w:hideMark/>
          </w:tcPr>
          <w:p w14:paraId="4304F323"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Downward</w:t>
            </w:r>
            <w:proofErr w:type="spellEnd"/>
            <w:r w:rsidRPr="00DD2DE1">
              <w:rPr>
                <w:rFonts w:ascii="Times New Roman" w:eastAsia="Times New Roman" w:hAnsi="Times New Roman" w:cs="Times New Roman"/>
                <w:color w:val="222222"/>
                <w:kern w:val="0"/>
                <w:lang w:val="es-CL" w:eastAsia="es-CL"/>
                <w14:ligatures w14:val="none"/>
              </w:rPr>
              <w:t xml:space="preserve"> (M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L)</w:t>
            </w:r>
          </w:p>
        </w:tc>
        <w:tc>
          <w:tcPr>
            <w:tcW w:w="0" w:type="auto"/>
            <w:tcMar>
              <w:top w:w="0" w:type="dxa"/>
              <w:left w:w="75" w:type="dxa"/>
              <w:bottom w:w="0" w:type="dxa"/>
              <w:right w:w="75" w:type="dxa"/>
            </w:tcMar>
            <w:vAlign w:val="center"/>
            <w:hideMark/>
          </w:tcPr>
          <w:p w14:paraId="2FF0506B"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90</w:t>
            </w:r>
          </w:p>
        </w:tc>
        <w:tc>
          <w:tcPr>
            <w:tcW w:w="0" w:type="auto"/>
            <w:tcMar>
              <w:top w:w="0" w:type="dxa"/>
              <w:left w:w="75" w:type="dxa"/>
              <w:bottom w:w="0" w:type="dxa"/>
              <w:right w:w="75" w:type="dxa"/>
            </w:tcMar>
            <w:vAlign w:val="center"/>
            <w:hideMark/>
          </w:tcPr>
          <w:p w14:paraId="3149F662"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1.37</w:t>
            </w:r>
          </w:p>
        </w:tc>
        <w:tc>
          <w:tcPr>
            <w:tcW w:w="0" w:type="auto"/>
            <w:vMerge/>
            <w:vAlign w:val="center"/>
            <w:hideMark/>
          </w:tcPr>
          <w:p w14:paraId="7D7DDB73"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6058C06A"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47DA833D"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p>
        </w:tc>
      </w:tr>
      <w:tr w:rsidR="0023360B" w:rsidRPr="00BE029F" w14:paraId="3AB485BE" w14:textId="77777777" w:rsidTr="00627AD9">
        <w:trPr>
          <w:trHeight w:val="286"/>
          <w:jc w:val="center"/>
        </w:trPr>
        <w:tc>
          <w:tcPr>
            <w:tcW w:w="0" w:type="auto"/>
            <w:tcMar>
              <w:top w:w="0" w:type="dxa"/>
              <w:left w:w="75" w:type="dxa"/>
              <w:bottom w:w="0" w:type="dxa"/>
              <w:right w:w="75" w:type="dxa"/>
            </w:tcMar>
            <w:vAlign w:val="center"/>
            <w:hideMark/>
          </w:tcPr>
          <w:p w14:paraId="32E2F1B2"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high</w:t>
            </w:r>
            <w:proofErr w:type="spellEnd"/>
          </w:p>
        </w:tc>
        <w:tc>
          <w:tcPr>
            <w:tcW w:w="0" w:type="auto"/>
            <w:tcMar>
              <w:top w:w="0" w:type="dxa"/>
              <w:left w:w="75" w:type="dxa"/>
              <w:bottom w:w="0" w:type="dxa"/>
              <w:right w:w="75" w:type="dxa"/>
            </w:tcMar>
            <w:vAlign w:val="center"/>
            <w:hideMark/>
          </w:tcPr>
          <w:p w14:paraId="475F03FE"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794</w:t>
            </w:r>
          </w:p>
        </w:tc>
        <w:tc>
          <w:tcPr>
            <w:tcW w:w="0" w:type="auto"/>
            <w:tcMar>
              <w:top w:w="0" w:type="dxa"/>
              <w:left w:w="75" w:type="dxa"/>
              <w:bottom w:w="0" w:type="dxa"/>
              <w:right w:w="75" w:type="dxa"/>
            </w:tcMar>
            <w:vAlign w:val="center"/>
            <w:hideMark/>
          </w:tcPr>
          <w:p w14:paraId="2329084F"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12.10</w:t>
            </w:r>
          </w:p>
        </w:tc>
        <w:tc>
          <w:tcPr>
            <w:tcW w:w="0" w:type="auto"/>
            <w:tcMar>
              <w:top w:w="0" w:type="dxa"/>
              <w:left w:w="75" w:type="dxa"/>
              <w:bottom w:w="0" w:type="dxa"/>
              <w:right w:w="75" w:type="dxa"/>
            </w:tcMar>
            <w:vAlign w:val="center"/>
            <w:hideMark/>
          </w:tcPr>
          <w:p w14:paraId="78307ACA"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high</w:t>
            </w:r>
            <w:proofErr w:type="spellEnd"/>
          </w:p>
        </w:tc>
        <w:tc>
          <w:tcPr>
            <w:tcW w:w="0" w:type="auto"/>
            <w:tcMar>
              <w:top w:w="0" w:type="dxa"/>
              <w:left w:w="75" w:type="dxa"/>
              <w:bottom w:w="0" w:type="dxa"/>
              <w:right w:w="75" w:type="dxa"/>
            </w:tcMar>
            <w:vAlign w:val="center"/>
            <w:hideMark/>
          </w:tcPr>
          <w:p w14:paraId="76E38B25"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794</w:t>
            </w:r>
          </w:p>
        </w:tc>
        <w:tc>
          <w:tcPr>
            <w:tcW w:w="0" w:type="auto"/>
            <w:tcMar>
              <w:top w:w="0" w:type="dxa"/>
              <w:left w:w="75" w:type="dxa"/>
              <w:bottom w:w="0" w:type="dxa"/>
              <w:right w:w="75" w:type="dxa"/>
            </w:tcMar>
            <w:vAlign w:val="center"/>
            <w:hideMark/>
          </w:tcPr>
          <w:p w14:paraId="125DFCB6"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12.10</w:t>
            </w:r>
          </w:p>
        </w:tc>
      </w:tr>
      <w:tr w:rsidR="0023360B" w:rsidRPr="00BE029F" w14:paraId="1A1864B9" w14:textId="77777777" w:rsidTr="00627AD9">
        <w:trPr>
          <w:trHeight w:val="276"/>
          <w:jc w:val="center"/>
        </w:trPr>
        <w:tc>
          <w:tcPr>
            <w:tcW w:w="0" w:type="auto"/>
            <w:tcMar>
              <w:top w:w="0" w:type="dxa"/>
              <w:left w:w="75" w:type="dxa"/>
              <w:bottom w:w="0" w:type="dxa"/>
              <w:right w:w="75" w:type="dxa"/>
            </w:tcMar>
            <w:vAlign w:val="center"/>
            <w:hideMark/>
          </w:tcPr>
          <w:p w14:paraId="3A7BA9A2"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low</w:t>
            </w:r>
            <w:proofErr w:type="spellEnd"/>
          </w:p>
        </w:tc>
        <w:tc>
          <w:tcPr>
            <w:tcW w:w="0" w:type="auto"/>
            <w:tcMar>
              <w:top w:w="0" w:type="dxa"/>
              <w:left w:w="75" w:type="dxa"/>
              <w:bottom w:w="0" w:type="dxa"/>
              <w:right w:w="75" w:type="dxa"/>
            </w:tcMar>
            <w:vAlign w:val="center"/>
            <w:hideMark/>
          </w:tcPr>
          <w:p w14:paraId="35277D00"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760</w:t>
            </w:r>
          </w:p>
        </w:tc>
        <w:tc>
          <w:tcPr>
            <w:tcW w:w="0" w:type="auto"/>
            <w:tcMar>
              <w:top w:w="0" w:type="dxa"/>
              <w:left w:w="75" w:type="dxa"/>
              <w:bottom w:w="0" w:type="dxa"/>
              <w:right w:w="75" w:type="dxa"/>
            </w:tcMar>
            <w:vAlign w:val="center"/>
            <w:hideMark/>
          </w:tcPr>
          <w:p w14:paraId="46F337F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11.58</w:t>
            </w:r>
          </w:p>
        </w:tc>
        <w:tc>
          <w:tcPr>
            <w:tcW w:w="0" w:type="auto"/>
            <w:tcMar>
              <w:top w:w="0" w:type="dxa"/>
              <w:left w:w="75" w:type="dxa"/>
              <w:bottom w:w="0" w:type="dxa"/>
              <w:right w:w="75" w:type="dxa"/>
            </w:tcMar>
            <w:vAlign w:val="center"/>
            <w:hideMark/>
          </w:tcPr>
          <w:p w14:paraId="7BB73687"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low</w:t>
            </w:r>
            <w:proofErr w:type="spellEnd"/>
          </w:p>
        </w:tc>
        <w:tc>
          <w:tcPr>
            <w:tcW w:w="0" w:type="auto"/>
            <w:tcMar>
              <w:top w:w="0" w:type="dxa"/>
              <w:left w:w="75" w:type="dxa"/>
              <w:bottom w:w="0" w:type="dxa"/>
              <w:right w:w="75" w:type="dxa"/>
            </w:tcMar>
            <w:vAlign w:val="center"/>
            <w:hideMark/>
          </w:tcPr>
          <w:p w14:paraId="3EB3C88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760</w:t>
            </w:r>
          </w:p>
        </w:tc>
        <w:tc>
          <w:tcPr>
            <w:tcW w:w="0" w:type="auto"/>
            <w:tcMar>
              <w:top w:w="0" w:type="dxa"/>
              <w:left w:w="75" w:type="dxa"/>
              <w:bottom w:w="0" w:type="dxa"/>
              <w:right w:w="75" w:type="dxa"/>
            </w:tcMar>
            <w:vAlign w:val="center"/>
            <w:hideMark/>
          </w:tcPr>
          <w:p w14:paraId="12211467"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11.58</w:t>
            </w:r>
          </w:p>
        </w:tc>
      </w:tr>
      <w:tr w:rsidR="0023360B" w:rsidRPr="00BE029F" w14:paraId="246AB26C" w14:textId="77777777" w:rsidTr="00627AD9">
        <w:trPr>
          <w:trHeight w:val="286"/>
          <w:jc w:val="center"/>
        </w:trPr>
        <w:tc>
          <w:tcPr>
            <w:tcW w:w="0" w:type="auto"/>
            <w:tcMar>
              <w:top w:w="0" w:type="dxa"/>
              <w:left w:w="75" w:type="dxa"/>
              <w:bottom w:w="0" w:type="dxa"/>
              <w:right w:w="75" w:type="dxa"/>
            </w:tcMar>
            <w:vAlign w:val="center"/>
            <w:hideMark/>
          </w:tcPr>
          <w:p w14:paraId="34DCD49D"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middle</w:t>
            </w:r>
            <w:proofErr w:type="spellEnd"/>
          </w:p>
        </w:tc>
        <w:tc>
          <w:tcPr>
            <w:tcW w:w="0" w:type="auto"/>
            <w:tcMar>
              <w:top w:w="0" w:type="dxa"/>
              <w:left w:w="75" w:type="dxa"/>
              <w:bottom w:w="0" w:type="dxa"/>
              <w:right w:w="75" w:type="dxa"/>
            </w:tcMar>
            <w:vAlign w:val="center"/>
            <w:hideMark/>
          </w:tcPr>
          <w:p w14:paraId="16D568D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633</w:t>
            </w:r>
          </w:p>
        </w:tc>
        <w:tc>
          <w:tcPr>
            <w:tcW w:w="0" w:type="auto"/>
            <w:tcMar>
              <w:top w:w="0" w:type="dxa"/>
              <w:left w:w="75" w:type="dxa"/>
              <w:bottom w:w="0" w:type="dxa"/>
              <w:right w:w="75" w:type="dxa"/>
            </w:tcMar>
            <w:vAlign w:val="center"/>
            <w:hideMark/>
          </w:tcPr>
          <w:p w14:paraId="14241032"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9.65</w:t>
            </w:r>
          </w:p>
        </w:tc>
        <w:tc>
          <w:tcPr>
            <w:tcW w:w="0" w:type="auto"/>
            <w:tcMar>
              <w:top w:w="0" w:type="dxa"/>
              <w:left w:w="75" w:type="dxa"/>
              <w:bottom w:w="0" w:type="dxa"/>
              <w:right w:w="75" w:type="dxa"/>
            </w:tcMar>
            <w:vAlign w:val="center"/>
            <w:hideMark/>
          </w:tcPr>
          <w:p w14:paraId="468E0CF4"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middle</w:t>
            </w:r>
            <w:proofErr w:type="spellEnd"/>
          </w:p>
        </w:tc>
        <w:tc>
          <w:tcPr>
            <w:tcW w:w="0" w:type="auto"/>
            <w:tcMar>
              <w:top w:w="0" w:type="dxa"/>
              <w:left w:w="75" w:type="dxa"/>
              <w:bottom w:w="0" w:type="dxa"/>
              <w:right w:w="75" w:type="dxa"/>
            </w:tcMar>
            <w:vAlign w:val="center"/>
            <w:hideMark/>
          </w:tcPr>
          <w:p w14:paraId="5293CEB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633</w:t>
            </w:r>
          </w:p>
        </w:tc>
        <w:tc>
          <w:tcPr>
            <w:tcW w:w="0" w:type="auto"/>
            <w:tcMar>
              <w:top w:w="0" w:type="dxa"/>
              <w:left w:w="75" w:type="dxa"/>
              <w:bottom w:w="0" w:type="dxa"/>
              <w:right w:w="75" w:type="dxa"/>
            </w:tcMar>
            <w:vAlign w:val="center"/>
            <w:hideMark/>
          </w:tcPr>
          <w:p w14:paraId="0B6E6022"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9.65</w:t>
            </w:r>
          </w:p>
        </w:tc>
      </w:tr>
      <w:tr w:rsidR="0023360B" w:rsidRPr="00BE029F" w14:paraId="6D1A231A" w14:textId="77777777" w:rsidTr="00627AD9">
        <w:trPr>
          <w:trHeight w:val="276"/>
          <w:jc w:val="center"/>
        </w:trPr>
        <w:tc>
          <w:tcPr>
            <w:tcW w:w="0" w:type="auto"/>
            <w:tcMar>
              <w:top w:w="0" w:type="dxa"/>
              <w:left w:w="75" w:type="dxa"/>
              <w:bottom w:w="0" w:type="dxa"/>
              <w:right w:w="75" w:type="dxa"/>
            </w:tcMar>
            <w:vAlign w:val="center"/>
            <w:hideMark/>
          </w:tcPr>
          <w:p w14:paraId="2C4BAA4F"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NEET</w:t>
            </w:r>
          </w:p>
        </w:tc>
        <w:tc>
          <w:tcPr>
            <w:tcW w:w="0" w:type="auto"/>
            <w:tcMar>
              <w:top w:w="0" w:type="dxa"/>
              <w:left w:w="75" w:type="dxa"/>
              <w:bottom w:w="0" w:type="dxa"/>
              <w:right w:w="75" w:type="dxa"/>
            </w:tcMar>
            <w:vAlign w:val="center"/>
            <w:hideMark/>
          </w:tcPr>
          <w:p w14:paraId="6DD160B4"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2095</w:t>
            </w:r>
          </w:p>
        </w:tc>
        <w:tc>
          <w:tcPr>
            <w:tcW w:w="0" w:type="auto"/>
            <w:tcMar>
              <w:top w:w="0" w:type="dxa"/>
              <w:left w:w="75" w:type="dxa"/>
              <w:bottom w:w="0" w:type="dxa"/>
              <w:right w:w="75" w:type="dxa"/>
            </w:tcMar>
            <w:vAlign w:val="center"/>
            <w:hideMark/>
          </w:tcPr>
          <w:p w14:paraId="1477C896"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31.93</w:t>
            </w:r>
          </w:p>
        </w:tc>
        <w:tc>
          <w:tcPr>
            <w:tcW w:w="0" w:type="auto"/>
            <w:tcMar>
              <w:top w:w="0" w:type="dxa"/>
              <w:left w:w="75" w:type="dxa"/>
              <w:bottom w:w="0" w:type="dxa"/>
              <w:right w:w="75" w:type="dxa"/>
            </w:tcMar>
            <w:vAlign w:val="center"/>
            <w:hideMark/>
          </w:tcPr>
          <w:p w14:paraId="5256EB3F"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Stable</w:t>
            </w:r>
            <w:proofErr w:type="spellEnd"/>
            <w:r w:rsidRPr="00DD2DE1">
              <w:rPr>
                <w:rFonts w:ascii="Times New Roman" w:eastAsia="Times New Roman" w:hAnsi="Times New Roman" w:cs="Times New Roman"/>
                <w:color w:val="222222"/>
                <w:kern w:val="0"/>
                <w:lang w:val="es-CL" w:eastAsia="es-CL"/>
                <w14:ligatures w14:val="none"/>
              </w:rPr>
              <w:t>: NEET</w:t>
            </w:r>
          </w:p>
        </w:tc>
        <w:tc>
          <w:tcPr>
            <w:tcW w:w="0" w:type="auto"/>
            <w:tcMar>
              <w:top w:w="0" w:type="dxa"/>
              <w:left w:w="75" w:type="dxa"/>
              <w:bottom w:w="0" w:type="dxa"/>
              <w:right w:w="75" w:type="dxa"/>
            </w:tcMar>
            <w:vAlign w:val="center"/>
            <w:hideMark/>
          </w:tcPr>
          <w:p w14:paraId="6B8BB80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2095</w:t>
            </w:r>
          </w:p>
        </w:tc>
        <w:tc>
          <w:tcPr>
            <w:tcW w:w="0" w:type="auto"/>
            <w:tcMar>
              <w:top w:w="0" w:type="dxa"/>
              <w:left w:w="75" w:type="dxa"/>
              <w:bottom w:w="0" w:type="dxa"/>
              <w:right w:w="75" w:type="dxa"/>
            </w:tcMar>
            <w:vAlign w:val="center"/>
            <w:hideMark/>
          </w:tcPr>
          <w:p w14:paraId="6A201D8A"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31.93</w:t>
            </w:r>
          </w:p>
        </w:tc>
      </w:tr>
      <w:tr w:rsidR="0023360B" w:rsidRPr="00BE029F" w14:paraId="6912DCA7" w14:textId="77777777" w:rsidTr="00627AD9">
        <w:trPr>
          <w:trHeight w:val="286"/>
          <w:jc w:val="center"/>
        </w:trPr>
        <w:tc>
          <w:tcPr>
            <w:tcW w:w="0" w:type="auto"/>
            <w:tcMar>
              <w:top w:w="0" w:type="dxa"/>
              <w:left w:w="75" w:type="dxa"/>
              <w:bottom w:w="0" w:type="dxa"/>
              <w:right w:w="75" w:type="dxa"/>
            </w:tcMar>
            <w:vAlign w:val="center"/>
            <w:hideMark/>
          </w:tcPr>
          <w:p w14:paraId="1EC192D6"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Upward</w:t>
            </w:r>
            <w:proofErr w:type="spellEnd"/>
            <w:r w:rsidRPr="00DD2DE1">
              <w:rPr>
                <w:rFonts w:ascii="Times New Roman" w:eastAsia="Times New Roman" w:hAnsi="Times New Roman" w:cs="Times New Roman"/>
                <w:color w:val="222222"/>
                <w:kern w:val="0"/>
                <w:lang w:val="es-CL" w:eastAsia="es-CL"/>
                <w14:ligatures w14:val="none"/>
              </w:rPr>
              <w:t xml:space="preserve"> (L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H)</w:t>
            </w:r>
          </w:p>
        </w:tc>
        <w:tc>
          <w:tcPr>
            <w:tcW w:w="0" w:type="auto"/>
            <w:tcMar>
              <w:top w:w="0" w:type="dxa"/>
              <w:left w:w="75" w:type="dxa"/>
              <w:bottom w:w="0" w:type="dxa"/>
              <w:right w:w="75" w:type="dxa"/>
            </w:tcMar>
            <w:vAlign w:val="center"/>
            <w:hideMark/>
          </w:tcPr>
          <w:p w14:paraId="032ACEEC"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119</w:t>
            </w:r>
          </w:p>
        </w:tc>
        <w:tc>
          <w:tcPr>
            <w:tcW w:w="0" w:type="auto"/>
            <w:tcMar>
              <w:top w:w="0" w:type="dxa"/>
              <w:left w:w="75" w:type="dxa"/>
              <w:bottom w:w="0" w:type="dxa"/>
              <w:right w:w="75" w:type="dxa"/>
            </w:tcMar>
            <w:vAlign w:val="center"/>
            <w:hideMark/>
          </w:tcPr>
          <w:p w14:paraId="1C50E989"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1.81</w:t>
            </w:r>
          </w:p>
        </w:tc>
        <w:tc>
          <w:tcPr>
            <w:tcW w:w="0" w:type="auto"/>
            <w:vMerge w:val="restart"/>
            <w:tcMar>
              <w:top w:w="0" w:type="dxa"/>
              <w:left w:w="75" w:type="dxa"/>
              <w:bottom w:w="0" w:type="dxa"/>
              <w:right w:w="75" w:type="dxa"/>
            </w:tcMar>
            <w:vAlign w:val="center"/>
            <w:hideMark/>
          </w:tcPr>
          <w:p w14:paraId="671BF048" w14:textId="77777777" w:rsidR="00DD2DE1" w:rsidRPr="00DD2DE1" w:rsidRDefault="00DD2DE1" w:rsidP="00627AD9">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Upward</w:t>
            </w:r>
            <w:proofErr w:type="spellEnd"/>
          </w:p>
        </w:tc>
        <w:tc>
          <w:tcPr>
            <w:tcW w:w="0" w:type="auto"/>
            <w:vMerge w:val="restart"/>
            <w:tcMar>
              <w:top w:w="0" w:type="dxa"/>
              <w:left w:w="75" w:type="dxa"/>
              <w:bottom w:w="0" w:type="dxa"/>
              <w:right w:w="75" w:type="dxa"/>
            </w:tcMar>
            <w:vAlign w:val="center"/>
            <w:hideMark/>
          </w:tcPr>
          <w:p w14:paraId="35DDDDE3"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1339</w:t>
            </w:r>
          </w:p>
        </w:tc>
        <w:tc>
          <w:tcPr>
            <w:tcW w:w="0" w:type="auto"/>
            <w:vMerge w:val="restart"/>
            <w:tcMar>
              <w:top w:w="0" w:type="dxa"/>
              <w:left w:w="75" w:type="dxa"/>
              <w:bottom w:w="0" w:type="dxa"/>
              <w:right w:w="75" w:type="dxa"/>
            </w:tcMar>
            <w:vAlign w:val="center"/>
            <w:hideMark/>
          </w:tcPr>
          <w:p w14:paraId="1B961E3D"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20.41</w:t>
            </w:r>
          </w:p>
        </w:tc>
      </w:tr>
      <w:tr w:rsidR="0023360B" w:rsidRPr="00BE029F" w14:paraId="10D8AEF2" w14:textId="77777777" w:rsidTr="00627AD9">
        <w:trPr>
          <w:trHeight w:val="276"/>
          <w:jc w:val="center"/>
        </w:trPr>
        <w:tc>
          <w:tcPr>
            <w:tcW w:w="0" w:type="auto"/>
            <w:tcMar>
              <w:top w:w="0" w:type="dxa"/>
              <w:left w:w="75" w:type="dxa"/>
              <w:bottom w:w="0" w:type="dxa"/>
              <w:right w:w="75" w:type="dxa"/>
            </w:tcMar>
            <w:vAlign w:val="center"/>
            <w:hideMark/>
          </w:tcPr>
          <w:p w14:paraId="13A7F259"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Upward</w:t>
            </w:r>
            <w:proofErr w:type="spellEnd"/>
            <w:r w:rsidRPr="00DD2DE1">
              <w:rPr>
                <w:rFonts w:ascii="Times New Roman" w:eastAsia="Times New Roman" w:hAnsi="Times New Roman" w:cs="Times New Roman"/>
                <w:color w:val="222222"/>
                <w:kern w:val="0"/>
                <w:lang w:val="es-CL" w:eastAsia="es-CL"/>
                <w14:ligatures w14:val="none"/>
              </w:rPr>
              <w:t xml:space="preserve"> (L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M)</w:t>
            </w:r>
          </w:p>
        </w:tc>
        <w:tc>
          <w:tcPr>
            <w:tcW w:w="0" w:type="auto"/>
            <w:tcMar>
              <w:top w:w="0" w:type="dxa"/>
              <w:left w:w="75" w:type="dxa"/>
              <w:bottom w:w="0" w:type="dxa"/>
              <w:right w:w="75" w:type="dxa"/>
            </w:tcMar>
            <w:vAlign w:val="center"/>
            <w:hideMark/>
          </w:tcPr>
          <w:p w14:paraId="2D090797"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399</w:t>
            </w:r>
          </w:p>
        </w:tc>
        <w:tc>
          <w:tcPr>
            <w:tcW w:w="0" w:type="auto"/>
            <w:tcMar>
              <w:top w:w="0" w:type="dxa"/>
              <w:left w:w="75" w:type="dxa"/>
              <w:bottom w:w="0" w:type="dxa"/>
              <w:right w:w="75" w:type="dxa"/>
            </w:tcMar>
            <w:vAlign w:val="center"/>
            <w:hideMark/>
          </w:tcPr>
          <w:p w14:paraId="4E74FBBA"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6.08</w:t>
            </w:r>
          </w:p>
        </w:tc>
        <w:tc>
          <w:tcPr>
            <w:tcW w:w="0" w:type="auto"/>
            <w:vMerge/>
            <w:vAlign w:val="center"/>
            <w:hideMark/>
          </w:tcPr>
          <w:p w14:paraId="78EA0088"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44236C2C"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1DF9BD1C"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r>
      <w:tr w:rsidR="0023360B" w:rsidRPr="00BE029F" w14:paraId="581D3CE1" w14:textId="77777777" w:rsidTr="00627AD9">
        <w:trPr>
          <w:trHeight w:val="266"/>
          <w:jc w:val="center"/>
        </w:trPr>
        <w:tc>
          <w:tcPr>
            <w:tcW w:w="0" w:type="auto"/>
            <w:tcMar>
              <w:top w:w="0" w:type="dxa"/>
              <w:left w:w="75" w:type="dxa"/>
              <w:bottom w:w="0" w:type="dxa"/>
              <w:right w:w="75" w:type="dxa"/>
            </w:tcMar>
            <w:vAlign w:val="center"/>
            <w:hideMark/>
          </w:tcPr>
          <w:p w14:paraId="63BC303C"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Upward</w:t>
            </w:r>
            <w:proofErr w:type="spellEnd"/>
            <w:r w:rsidRPr="00DD2DE1">
              <w:rPr>
                <w:rFonts w:ascii="Times New Roman" w:eastAsia="Times New Roman" w:hAnsi="Times New Roman" w:cs="Times New Roman"/>
                <w:color w:val="222222"/>
                <w:kern w:val="0"/>
                <w:lang w:val="es-CL" w:eastAsia="es-CL"/>
                <w14:ligatures w14:val="none"/>
              </w:rPr>
              <w:t xml:space="preserve"> (M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H)</w:t>
            </w:r>
          </w:p>
        </w:tc>
        <w:tc>
          <w:tcPr>
            <w:tcW w:w="0" w:type="auto"/>
            <w:tcMar>
              <w:top w:w="0" w:type="dxa"/>
              <w:left w:w="75" w:type="dxa"/>
              <w:bottom w:w="0" w:type="dxa"/>
              <w:right w:w="75" w:type="dxa"/>
            </w:tcMar>
            <w:vAlign w:val="center"/>
            <w:hideMark/>
          </w:tcPr>
          <w:p w14:paraId="45936216"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307</w:t>
            </w:r>
          </w:p>
        </w:tc>
        <w:tc>
          <w:tcPr>
            <w:tcW w:w="0" w:type="auto"/>
            <w:tcMar>
              <w:top w:w="0" w:type="dxa"/>
              <w:left w:w="75" w:type="dxa"/>
              <w:bottom w:w="0" w:type="dxa"/>
              <w:right w:w="75" w:type="dxa"/>
            </w:tcMar>
            <w:vAlign w:val="center"/>
            <w:hideMark/>
          </w:tcPr>
          <w:p w14:paraId="4226BC3C"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4.68</w:t>
            </w:r>
          </w:p>
        </w:tc>
        <w:tc>
          <w:tcPr>
            <w:tcW w:w="0" w:type="auto"/>
            <w:vMerge/>
            <w:vAlign w:val="center"/>
            <w:hideMark/>
          </w:tcPr>
          <w:p w14:paraId="63102642"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7D98915B"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610D5907"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r>
      <w:tr w:rsidR="0023360B" w:rsidRPr="00BE029F" w14:paraId="63CFF47A" w14:textId="77777777" w:rsidTr="00627AD9">
        <w:trPr>
          <w:trHeight w:val="276"/>
          <w:jc w:val="center"/>
        </w:trPr>
        <w:tc>
          <w:tcPr>
            <w:tcW w:w="0" w:type="auto"/>
            <w:tcMar>
              <w:top w:w="0" w:type="dxa"/>
              <w:left w:w="75" w:type="dxa"/>
              <w:bottom w:w="0" w:type="dxa"/>
              <w:right w:w="75" w:type="dxa"/>
            </w:tcMar>
            <w:vAlign w:val="center"/>
            <w:hideMark/>
          </w:tcPr>
          <w:p w14:paraId="74B56DAF"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roofErr w:type="spellStart"/>
            <w:r w:rsidRPr="00DD2DE1">
              <w:rPr>
                <w:rFonts w:ascii="Times New Roman" w:eastAsia="Times New Roman" w:hAnsi="Times New Roman" w:cs="Times New Roman"/>
                <w:color w:val="222222"/>
                <w:kern w:val="0"/>
                <w:lang w:val="es-CL" w:eastAsia="es-CL"/>
                <w14:ligatures w14:val="none"/>
              </w:rPr>
              <w:t>Upward</w:t>
            </w:r>
            <w:proofErr w:type="spellEnd"/>
            <w:r w:rsidRPr="00DD2DE1">
              <w:rPr>
                <w:rFonts w:ascii="Times New Roman" w:eastAsia="Times New Roman" w:hAnsi="Times New Roman" w:cs="Times New Roman"/>
                <w:color w:val="222222"/>
                <w:kern w:val="0"/>
                <w:lang w:val="es-CL" w:eastAsia="es-CL"/>
                <w14:ligatures w14:val="none"/>
              </w:rPr>
              <w:t xml:space="preserve"> (NEET </w:t>
            </w:r>
            <w:proofErr w:type="spellStart"/>
            <w:r w:rsidRPr="00DD2DE1">
              <w:rPr>
                <w:rFonts w:ascii="Times New Roman" w:eastAsia="Times New Roman" w:hAnsi="Times New Roman" w:cs="Times New Roman"/>
                <w:color w:val="222222"/>
                <w:kern w:val="0"/>
                <w:lang w:val="es-CL" w:eastAsia="es-CL"/>
                <w14:ligatures w14:val="none"/>
              </w:rPr>
              <w:t>to</w:t>
            </w:r>
            <w:proofErr w:type="spellEnd"/>
            <w:r w:rsidRPr="00DD2DE1">
              <w:rPr>
                <w:rFonts w:ascii="Times New Roman" w:eastAsia="Times New Roman" w:hAnsi="Times New Roman" w:cs="Times New Roman"/>
                <w:color w:val="222222"/>
                <w:kern w:val="0"/>
                <w:lang w:val="es-CL" w:eastAsia="es-CL"/>
                <w14:ligatures w14:val="none"/>
              </w:rPr>
              <w:t xml:space="preserve"> </w:t>
            </w:r>
            <w:proofErr w:type="spellStart"/>
            <w:r w:rsidRPr="00DD2DE1">
              <w:rPr>
                <w:rFonts w:ascii="Times New Roman" w:eastAsia="Times New Roman" w:hAnsi="Times New Roman" w:cs="Times New Roman"/>
                <w:color w:val="222222"/>
                <w:kern w:val="0"/>
                <w:lang w:val="es-CL" w:eastAsia="es-CL"/>
                <w14:ligatures w14:val="none"/>
              </w:rPr>
              <w:t>Any</w:t>
            </w:r>
            <w:proofErr w:type="spellEnd"/>
            <w:r w:rsidRPr="00DD2DE1">
              <w:rPr>
                <w:rFonts w:ascii="Times New Roman" w:eastAsia="Times New Roman" w:hAnsi="Times New Roman" w:cs="Times New Roman"/>
                <w:color w:val="222222"/>
                <w:kern w:val="0"/>
                <w:lang w:val="es-CL" w:eastAsia="es-CL"/>
                <w14:ligatures w14:val="none"/>
              </w:rPr>
              <w:t>)</w:t>
            </w:r>
          </w:p>
        </w:tc>
        <w:tc>
          <w:tcPr>
            <w:tcW w:w="0" w:type="auto"/>
            <w:tcMar>
              <w:top w:w="0" w:type="dxa"/>
              <w:left w:w="75" w:type="dxa"/>
              <w:bottom w:w="0" w:type="dxa"/>
              <w:right w:w="75" w:type="dxa"/>
            </w:tcMar>
            <w:vAlign w:val="center"/>
            <w:hideMark/>
          </w:tcPr>
          <w:p w14:paraId="6F3DCCA1"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514</w:t>
            </w:r>
          </w:p>
        </w:tc>
        <w:tc>
          <w:tcPr>
            <w:tcW w:w="0" w:type="auto"/>
            <w:tcMar>
              <w:top w:w="0" w:type="dxa"/>
              <w:left w:w="75" w:type="dxa"/>
              <w:bottom w:w="0" w:type="dxa"/>
              <w:right w:w="75" w:type="dxa"/>
            </w:tcMar>
            <w:vAlign w:val="center"/>
            <w:hideMark/>
          </w:tcPr>
          <w:p w14:paraId="30E038A5" w14:textId="77777777" w:rsidR="00DD2DE1" w:rsidRPr="00DD2DE1" w:rsidRDefault="00DD2DE1" w:rsidP="00627AD9">
            <w:pPr>
              <w:spacing w:after="0" w:line="240" w:lineRule="auto"/>
              <w:jc w:val="center"/>
              <w:rPr>
                <w:rFonts w:ascii="Times New Roman" w:eastAsia="Times New Roman" w:hAnsi="Times New Roman" w:cs="Times New Roman"/>
                <w:color w:val="222222"/>
                <w:kern w:val="0"/>
                <w:lang w:val="es-CL" w:eastAsia="es-CL"/>
                <w14:ligatures w14:val="none"/>
              </w:rPr>
            </w:pPr>
            <w:r w:rsidRPr="00DD2DE1">
              <w:rPr>
                <w:rFonts w:ascii="Times New Roman" w:eastAsia="Times New Roman" w:hAnsi="Times New Roman" w:cs="Times New Roman"/>
                <w:color w:val="222222"/>
                <w:kern w:val="0"/>
                <w:lang w:val="es-CL" w:eastAsia="es-CL"/>
                <w14:ligatures w14:val="none"/>
              </w:rPr>
              <w:t>7.83</w:t>
            </w:r>
          </w:p>
        </w:tc>
        <w:tc>
          <w:tcPr>
            <w:tcW w:w="0" w:type="auto"/>
            <w:vMerge/>
            <w:vAlign w:val="center"/>
            <w:hideMark/>
          </w:tcPr>
          <w:p w14:paraId="24E9EB08"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3CEA6A9F"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c>
          <w:tcPr>
            <w:tcW w:w="0" w:type="auto"/>
            <w:vMerge/>
            <w:vAlign w:val="center"/>
            <w:hideMark/>
          </w:tcPr>
          <w:p w14:paraId="08093201" w14:textId="77777777" w:rsidR="00DD2DE1" w:rsidRPr="00DD2DE1" w:rsidRDefault="00DD2DE1" w:rsidP="00DD2DE1">
            <w:pPr>
              <w:spacing w:after="0" w:line="240" w:lineRule="auto"/>
              <w:rPr>
                <w:rFonts w:ascii="Times New Roman" w:eastAsia="Times New Roman" w:hAnsi="Times New Roman" w:cs="Times New Roman"/>
                <w:color w:val="222222"/>
                <w:kern w:val="0"/>
                <w:lang w:val="es-CL" w:eastAsia="es-CL"/>
                <w14:ligatures w14:val="none"/>
              </w:rPr>
            </w:pPr>
          </w:p>
        </w:tc>
      </w:tr>
    </w:tbl>
    <w:p w14:paraId="26FA6BBE" w14:textId="77777777" w:rsidR="00301972" w:rsidRDefault="00301972" w:rsidP="00864B71">
      <w:pPr>
        <w:jc w:val="both"/>
        <w:rPr>
          <w:rFonts w:ascii="Times New Roman" w:hAnsi="Times New Roman" w:cs="Times New Roman"/>
          <w:i/>
          <w:iCs/>
        </w:rPr>
      </w:pPr>
    </w:p>
    <w:p w14:paraId="09360A4F" w14:textId="1FA20DDC" w:rsidR="008C7489" w:rsidRPr="008F3387" w:rsidRDefault="008C7489" w:rsidP="00864B71">
      <w:pPr>
        <w:jc w:val="both"/>
        <w:rPr>
          <w:rFonts w:ascii="Times New Roman" w:hAnsi="Times New Roman" w:cs="Times New Roman"/>
          <w:i/>
          <w:iCs/>
        </w:rPr>
      </w:pPr>
      <w:r w:rsidRPr="008F3387">
        <w:rPr>
          <w:rFonts w:ascii="Times New Roman" w:hAnsi="Times New Roman" w:cs="Times New Roman"/>
          <w:i/>
          <w:iCs/>
        </w:rPr>
        <w:t>Methods</w:t>
      </w:r>
    </w:p>
    <w:p w14:paraId="57730F8D" w14:textId="622A3B69" w:rsidR="00864B71" w:rsidRPr="00BE029F" w:rsidRDefault="00864B71" w:rsidP="00864B71">
      <w:pPr>
        <w:jc w:val="both"/>
        <w:rPr>
          <w:rFonts w:ascii="Times New Roman" w:hAnsi="Times New Roman" w:cs="Times New Roman"/>
        </w:rPr>
      </w:pPr>
      <w:r w:rsidRPr="00BE029F">
        <w:rPr>
          <w:rFonts w:ascii="Times New Roman" w:hAnsi="Times New Roman" w:cs="Times New Roman"/>
        </w:rPr>
        <w:t>To examine whether changes in network diversity are associated with market justice while accounting for mobility trajectories in the model specification, I employed a between-within (hybrid) multilevel regression model (Schmidt-Catran, 2016; Singer &amp; Willett, 2009). This model includes two levels: individuals (j) and observations within individuals (</w:t>
      </w:r>
      <w:proofErr w:type="spellStart"/>
      <w:r w:rsidRPr="00BE029F">
        <w:rPr>
          <w:rFonts w:ascii="Times New Roman" w:hAnsi="Times New Roman" w:cs="Times New Roman"/>
        </w:rPr>
        <w:t>i</w:t>
      </w:r>
      <w:proofErr w:type="spellEnd"/>
      <w:r w:rsidRPr="00BE029F">
        <w:rPr>
          <w:rFonts w:ascii="Times New Roman" w:hAnsi="Times New Roman" w:cs="Times New Roman"/>
        </w:rPr>
        <w:t>), with repeated measurements nested within individuals.</w:t>
      </w:r>
    </w:p>
    <w:p w14:paraId="355C2640" w14:textId="0D1088A5" w:rsidR="003843ED" w:rsidRDefault="00864B71" w:rsidP="00864B71">
      <w:pPr>
        <w:jc w:val="both"/>
        <w:rPr>
          <w:rFonts w:ascii="Times New Roman" w:hAnsi="Times New Roman" w:cs="Times New Roman"/>
        </w:rPr>
      </w:pPr>
      <w:r w:rsidRPr="00BE029F">
        <w:rPr>
          <w:rFonts w:ascii="Times New Roman" w:hAnsi="Times New Roman" w:cs="Times New Roman"/>
        </w:rPr>
        <w:t xml:space="preserve">For this analysis, I focused on three key variables: mobility trajectories, network diversity (both individual-mean and demeaned). This approach allows for the estimation of both between (BE) and within (WE) effects of network diversity while incorporating mobility trajectories. Including both terms in the regression equation yields a hybrid model, which simultaneously estimates within- and between-unit effects. The coefficient vector for WE </w:t>
      </w:r>
      <w:proofErr w:type="gramStart"/>
      <w:r w:rsidRPr="00BE029F">
        <w:rPr>
          <w:rFonts w:ascii="Times New Roman" w:hAnsi="Times New Roman" w:cs="Times New Roman"/>
        </w:rPr>
        <w:t>captures</w:t>
      </w:r>
      <w:proofErr w:type="gramEnd"/>
      <w:r w:rsidRPr="00BE029F">
        <w:rPr>
          <w:rFonts w:ascii="Times New Roman" w:hAnsi="Times New Roman" w:cs="Times New Roman"/>
        </w:rPr>
        <w:t xml:space="preserve"> the within-individual effects of the variables, while the coefficient vector for </w:t>
      </w:r>
      <w:proofErr w:type="gramStart"/>
      <w:r w:rsidRPr="00BE029F">
        <w:rPr>
          <w:rFonts w:ascii="Times New Roman" w:hAnsi="Times New Roman" w:cs="Times New Roman"/>
        </w:rPr>
        <w:t>BE</w:t>
      </w:r>
      <w:proofErr w:type="gramEnd"/>
      <w:r w:rsidRPr="00BE029F">
        <w:rPr>
          <w:rFonts w:ascii="Times New Roman" w:hAnsi="Times New Roman" w:cs="Times New Roman"/>
        </w:rPr>
        <w:t xml:space="preserve"> represents the between-individual effects.</w:t>
      </w:r>
    </w:p>
    <w:p w14:paraId="7771E160" w14:textId="5CD08C32" w:rsidR="00301972" w:rsidRDefault="001D75CC" w:rsidP="00864B71">
      <w:pPr>
        <w:jc w:val="both"/>
        <w:rPr>
          <w:rFonts w:ascii="Times New Roman" w:hAnsi="Times New Roman" w:cs="Times New Roman"/>
        </w:rPr>
      </w:pPr>
      <w:r>
        <w:rPr>
          <w:noProof/>
        </w:rPr>
        <w:drawing>
          <wp:inline distT="0" distB="0" distL="0" distR="0" wp14:anchorId="013A88BA" wp14:editId="2A34444C">
            <wp:extent cx="5972810" cy="2990215"/>
            <wp:effectExtent l="0" t="0" r="8890" b="635"/>
            <wp:docPr id="1782073591" name="Picture 3" descr="A diagram of a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3591" name="Picture 3" descr="A diagram of a marke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990215"/>
                    </a:xfrm>
                    <a:prstGeom prst="rect">
                      <a:avLst/>
                    </a:prstGeom>
                    <a:noFill/>
                    <a:ln>
                      <a:noFill/>
                    </a:ln>
                  </pic:spPr>
                </pic:pic>
              </a:graphicData>
            </a:graphic>
          </wp:inline>
        </w:drawing>
      </w:r>
    </w:p>
    <w:p w14:paraId="30F94331" w14:textId="434272BB" w:rsidR="001D75CC" w:rsidRPr="00BE029F" w:rsidRDefault="001D75CC" w:rsidP="001D75CC">
      <w:pPr>
        <w:jc w:val="center"/>
        <w:rPr>
          <w:rFonts w:ascii="Times New Roman" w:hAnsi="Times New Roman" w:cs="Times New Roman"/>
        </w:rPr>
      </w:pPr>
      <w:r w:rsidRPr="00BE029F">
        <w:rPr>
          <w:rFonts w:ascii="Times New Roman" w:hAnsi="Times New Roman" w:cs="Times New Roman"/>
        </w:rPr>
        <w:t>Figure S</w:t>
      </w:r>
      <w:r>
        <w:rPr>
          <w:rFonts w:ascii="Times New Roman" w:hAnsi="Times New Roman" w:cs="Times New Roman"/>
        </w:rPr>
        <w:t>2</w:t>
      </w:r>
      <w:r w:rsidRPr="00BE029F">
        <w:rPr>
          <w:rFonts w:ascii="Times New Roman" w:hAnsi="Times New Roman" w:cs="Times New Roman"/>
        </w:rPr>
        <w:t xml:space="preserve">: </w:t>
      </w:r>
      <w:r w:rsidR="00025079">
        <w:rPr>
          <w:rFonts w:ascii="Times New Roman" w:hAnsi="Times New Roman" w:cs="Times New Roman"/>
        </w:rPr>
        <w:t xml:space="preserve">Multilevel within-between model for intragenerational occupational mobility, network diversity, and </w:t>
      </w:r>
      <w:r w:rsidR="00072622">
        <w:rPr>
          <w:rFonts w:ascii="Times New Roman" w:hAnsi="Times New Roman" w:cs="Times New Roman"/>
        </w:rPr>
        <w:t>market</w:t>
      </w:r>
      <w:r w:rsidR="00025079">
        <w:rPr>
          <w:rFonts w:ascii="Times New Roman" w:hAnsi="Times New Roman" w:cs="Times New Roman"/>
        </w:rPr>
        <w:t xml:space="preserve"> justice preferences.</w:t>
      </w:r>
    </w:p>
    <w:p w14:paraId="7D1886D3" w14:textId="77777777" w:rsidR="001D75CC" w:rsidRPr="00BE029F" w:rsidRDefault="001D75CC" w:rsidP="00864B71">
      <w:pPr>
        <w:jc w:val="both"/>
        <w:rPr>
          <w:rFonts w:ascii="Times New Roman" w:hAnsi="Times New Roman" w:cs="Times New Roman"/>
        </w:rPr>
      </w:pPr>
    </w:p>
    <w:p w14:paraId="4B76B87B" w14:textId="39F2FA4B" w:rsidR="00D728C2" w:rsidRPr="00BE029F" w:rsidRDefault="008733B9" w:rsidP="008733B9">
      <w:pPr>
        <w:pStyle w:val="Heading1"/>
        <w:rPr>
          <w:rFonts w:ascii="Times New Roman" w:hAnsi="Times New Roman" w:cs="Times New Roman"/>
        </w:rPr>
      </w:pPr>
      <w:r w:rsidRPr="00BE029F">
        <w:rPr>
          <w:rFonts w:ascii="Times New Roman" w:hAnsi="Times New Roman" w:cs="Times New Roman"/>
        </w:rPr>
        <w:t>References</w:t>
      </w:r>
    </w:p>
    <w:p w14:paraId="3DCCA833" w14:textId="77777777" w:rsidR="007630EE" w:rsidRPr="00BE029F" w:rsidRDefault="008733B9" w:rsidP="007630EE">
      <w:pPr>
        <w:pStyle w:val="Bibliography"/>
        <w:rPr>
          <w:rFonts w:ascii="Times New Roman" w:hAnsi="Times New Roman" w:cs="Times New Roman"/>
        </w:rPr>
      </w:pPr>
      <w:r w:rsidRPr="00BE029F">
        <w:rPr>
          <w:rFonts w:ascii="Times New Roman" w:hAnsi="Times New Roman" w:cs="Times New Roman"/>
        </w:rPr>
        <w:fldChar w:fldCharType="begin"/>
      </w:r>
      <w:r w:rsidR="00270243" w:rsidRPr="00BE029F">
        <w:rPr>
          <w:rFonts w:ascii="Times New Roman" w:hAnsi="Times New Roman" w:cs="Times New Roman"/>
          <w:lang w:val="es-CL"/>
        </w:rPr>
        <w:instrText xml:space="preserve"> ADDIN ZOTERO_BIBL {"uncited":[],"omitted":[],"custom":[]} CSL_BIBLIOGRAPHY </w:instrText>
      </w:r>
      <w:r w:rsidRPr="00BE029F">
        <w:rPr>
          <w:rFonts w:ascii="Times New Roman" w:hAnsi="Times New Roman" w:cs="Times New Roman"/>
        </w:rPr>
        <w:fldChar w:fldCharType="separate"/>
      </w:r>
      <w:r w:rsidR="007630EE" w:rsidRPr="00BE029F">
        <w:rPr>
          <w:rFonts w:ascii="Times New Roman" w:hAnsi="Times New Roman" w:cs="Times New Roman"/>
          <w:lang w:val="es-CL"/>
        </w:rPr>
        <w:t xml:space="preserve">Ares, M., &amp; Van </w:t>
      </w:r>
      <w:proofErr w:type="spellStart"/>
      <w:r w:rsidR="007630EE" w:rsidRPr="00BE029F">
        <w:rPr>
          <w:rFonts w:ascii="Times New Roman" w:hAnsi="Times New Roman" w:cs="Times New Roman"/>
          <w:lang w:val="es-CL"/>
        </w:rPr>
        <w:t>Ditmars</w:t>
      </w:r>
      <w:proofErr w:type="spellEnd"/>
      <w:r w:rsidR="007630EE" w:rsidRPr="00BE029F">
        <w:rPr>
          <w:rFonts w:ascii="Times New Roman" w:hAnsi="Times New Roman" w:cs="Times New Roman"/>
          <w:lang w:val="es-CL"/>
        </w:rPr>
        <w:t xml:space="preserve">, M. M. (2025). </w:t>
      </w:r>
      <w:r w:rsidR="007630EE" w:rsidRPr="00BE029F">
        <w:rPr>
          <w:rFonts w:ascii="Times New Roman" w:hAnsi="Times New Roman" w:cs="Times New Roman"/>
        </w:rPr>
        <w:t xml:space="preserve">A life course approach to political preference formation across social classes. </w:t>
      </w:r>
      <w:r w:rsidR="007630EE" w:rsidRPr="00BE029F">
        <w:rPr>
          <w:rFonts w:ascii="Times New Roman" w:hAnsi="Times New Roman" w:cs="Times New Roman"/>
          <w:i/>
          <w:iCs/>
        </w:rPr>
        <w:t>West European Politics</w:t>
      </w:r>
      <w:r w:rsidR="007630EE" w:rsidRPr="00BE029F">
        <w:rPr>
          <w:rFonts w:ascii="Times New Roman" w:hAnsi="Times New Roman" w:cs="Times New Roman"/>
        </w:rPr>
        <w:t xml:space="preserve">, </w:t>
      </w:r>
      <w:r w:rsidR="007630EE" w:rsidRPr="00BE029F">
        <w:rPr>
          <w:rFonts w:ascii="Times New Roman" w:hAnsi="Times New Roman" w:cs="Times New Roman"/>
          <w:i/>
          <w:iCs/>
        </w:rPr>
        <w:t>48</w:t>
      </w:r>
      <w:r w:rsidR="007630EE" w:rsidRPr="00BE029F">
        <w:rPr>
          <w:rFonts w:ascii="Times New Roman" w:hAnsi="Times New Roman" w:cs="Times New Roman"/>
        </w:rPr>
        <w:t>(4), 951–976. https://doi.org/10.1080/01402382.2024.2415845</w:t>
      </w:r>
    </w:p>
    <w:p w14:paraId="6F5D7761" w14:textId="77777777" w:rsidR="007630EE" w:rsidRPr="00BE029F" w:rsidRDefault="007630EE" w:rsidP="007630EE">
      <w:pPr>
        <w:pStyle w:val="Bibliography"/>
        <w:rPr>
          <w:rFonts w:ascii="Times New Roman" w:hAnsi="Times New Roman" w:cs="Times New Roman"/>
        </w:rPr>
      </w:pPr>
      <w:r w:rsidRPr="00BE029F">
        <w:rPr>
          <w:rFonts w:ascii="Times New Roman" w:hAnsi="Times New Roman" w:cs="Times New Roman"/>
        </w:rPr>
        <w:t xml:space="preserve">Helgason, A. F., &amp; Rehm, P. (2024). Class experiences and the long-term evolution of economic values. </w:t>
      </w:r>
      <w:r w:rsidRPr="00BE029F">
        <w:rPr>
          <w:rFonts w:ascii="Times New Roman" w:hAnsi="Times New Roman" w:cs="Times New Roman"/>
          <w:i/>
          <w:iCs/>
        </w:rPr>
        <w:t>Social Forces</w:t>
      </w:r>
      <w:r w:rsidRPr="00BE029F">
        <w:rPr>
          <w:rFonts w:ascii="Times New Roman" w:hAnsi="Times New Roman" w:cs="Times New Roman"/>
        </w:rPr>
        <w:t>, soae135. https://doi.org/10.1093/sf/soae135</w:t>
      </w:r>
    </w:p>
    <w:p w14:paraId="6FB9AFAF" w14:textId="77777777" w:rsidR="007630EE" w:rsidRPr="00BE029F" w:rsidRDefault="007630EE" w:rsidP="007630EE">
      <w:pPr>
        <w:pStyle w:val="Bibliography"/>
        <w:rPr>
          <w:rFonts w:ascii="Times New Roman" w:hAnsi="Times New Roman" w:cs="Times New Roman"/>
        </w:rPr>
      </w:pPr>
      <w:r w:rsidRPr="00BE029F">
        <w:rPr>
          <w:rFonts w:ascii="Times New Roman" w:hAnsi="Times New Roman" w:cs="Times New Roman"/>
        </w:rPr>
        <w:t xml:space="preserve">Revelle, W. (2025). </w:t>
      </w:r>
      <w:r w:rsidRPr="00BE029F">
        <w:rPr>
          <w:rFonts w:ascii="Times New Roman" w:hAnsi="Times New Roman" w:cs="Times New Roman"/>
          <w:i/>
          <w:iCs/>
        </w:rPr>
        <w:t>psych: Procedures for psychological, psychometric, and personality research</w:t>
      </w:r>
      <w:r w:rsidRPr="00BE029F">
        <w:rPr>
          <w:rFonts w:ascii="Times New Roman" w:hAnsi="Times New Roman" w:cs="Times New Roman"/>
        </w:rPr>
        <w:t xml:space="preserve"> [Manual]. Northwestern University. https://CRAN.R-project.org/package=psych</w:t>
      </w:r>
    </w:p>
    <w:p w14:paraId="4195B8B2" w14:textId="77777777" w:rsidR="007630EE" w:rsidRPr="00BE029F" w:rsidRDefault="007630EE" w:rsidP="007630EE">
      <w:pPr>
        <w:pStyle w:val="Bibliography"/>
        <w:rPr>
          <w:rFonts w:ascii="Times New Roman" w:hAnsi="Times New Roman" w:cs="Times New Roman"/>
        </w:rPr>
      </w:pPr>
      <w:r w:rsidRPr="00BE029F">
        <w:rPr>
          <w:rFonts w:ascii="Times New Roman" w:hAnsi="Times New Roman" w:cs="Times New Roman"/>
        </w:rPr>
        <w:t xml:space="preserve">Schmidt-Catran, A. W. (2016). Economic inequality and public demand for redistribution: Combining cross-sectional and longitudinal evidence. </w:t>
      </w:r>
      <w:r w:rsidRPr="00BE029F">
        <w:rPr>
          <w:rFonts w:ascii="Times New Roman" w:hAnsi="Times New Roman" w:cs="Times New Roman"/>
          <w:i/>
          <w:iCs/>
        </w:rPr>
        <w:t>Socio-Economic Review</w:t>
      </w:r>
      <w:r w:rsidRPr="00BE029F">
        <w:rPr>
          <w:rFonts w:ascii="Times New Roman" w:hAnsi="Times New Roman" w:cs="Times New Roman"/>
        </w:rPr>
        <w:t xml:space="preserve">, </w:t>
      </w:r>
      <w:r w:rsidRPr="00BE029F">
        <w:rPr>
          <w:rFonts w:ascii="Times New Roman" w:hAnsi="Times New Roman" w:cs="Times New Roman"/>
          <w:i/>
          <w:iCs/>
        </w:rPr>
        <w:t>14</w:t>
      </w:r>
      <w:r w:rsidRPr="00BE029F">
        <w:rPr>
          <w:rFonts w:ascii="Times New Roman" w:hAnsi="Times New Roman" w:cs="Times New Roman"/>
        </w:rPr>
        <w:t>(1), 119–140. https://doi.org/10.1093/ser/mwu030</w:t>
      </w:r>
    </w:p>
    <w:p w14:paraId="27DB62B3" w14:textId="77777777" w:rsidR="007630EE" w:rsidRPr="00BE029F" w:rsidRDefault="007630EE" w:rsidP="007630EE">
      <w:pPr>
        <w:pStyle w:val="Bibliography"/>
        <w:rPr>
          <w:rFonts w:ascii="Times New Roman" w:hAnsi="Times New Roman" w:cs="Times New Roman"/>
        </w:rPr>
      </w:pPr>
      <w:r w:rsidRPr="00BE029F">
        <w:rPr>
          <w:rFonts w:ascii="Times New Roman" w:hAnsi="Times New Roman" w:cs="Times New Roman"/>
        </w:rPr>
        <w:t xml:space="preserve">Singer, J. D., &amp; Willett, J. B. (2009). </w:t>
      </w:r>
      <w:r w:rsidRPr="00BE029F">
        <w:rPr>
          <w:rFonts w:ascii="Times New Roman" w:hAnsi="Times New Roman" w:cs="Times New Roman"/>
          <w:i/>
          <w:iCs/>
        </w:rPr>
        <w:t xml:space="preserve">Applied longitudinal data analysis: Modeling change and event </w:t>
      </w:r>
      <w:proofErr w:type="spellStart"/>
      <w:r w:rsidRPr="00BE029F">
        <w:rPr>
          <w:rFonts w:ascii="Times New Roman" w:hAnsi="Times New Roman" w:cs="Times New Roman"/>
          <w:i/>
          <w:iCs/>
        </w:rPr>
        <w:t>occurence</w:t>
      </w:r>
      <w:proofErr w:type="spellEnd"/>
      <w:r w:rsidRPr="00BE029F">
        <w:rPr>
          <w:rFonts w:ascii="Times New Roman" w:hAnsi="Times New Roman" w:cs="Times New Roman"/>
        </w:rPr>
        <w:t>. Oxford University Press, Incorporated.</w:t>
      </w:r>
    </w:p>
    <w:p w14:paraId="5F06FB81" w14:textId="284F677A" w:rsidR="008733B9" w:rsidRPr="00BE029F" w:rsidRDefault="008733B9" w:rsidP="008733B9">
      <w:pPr>
        <w:rPr>
          <w:rFonts w:ascii="Times New Roman" w:hAnsi="Times New Roman" w:cs="Times New Roman"/>
        </w:rPr>
      </w:pPr>
      <w:r w:rsidRPr="00BE029F">
        <w:rPr>
          <w:rFonts w:ascii="Times New Roman" w:hAnsi="Times New Roman" w:cs="Times New Roman"/>
        </w:rPr>
        <w:fldChar w:fldCharType="end"/>
      </w:r>
    </w:p>
    <w:sectPr w:rsidR="008733B9" w:rsidRPr="00BE029F">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29E16" w14:textId="77777777" w:rsidR="00284CE1" w:rsidRDefault="00284CE1" w:rsidP="00284CE1">
      <w:pPr>
        <w:spacing w:after="0" w:line="240" w:lineRule="auto"/>
      </w:pPr>
      <w:r>
        <w:separator/>
      </w:r>
    </w:p>
  </w:endnote>
  <w:endnote w:type="continuationSeparator" w:id="0">
    <w:p w14:paraId="7D7595E9" w14:textId="77777777" w:rsidR="00284CE1" w:rsidRDefault="00284CE1" w:rsidP="0028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52C5D" w14:textId="77777777" w:rsidR="00284CE1" w:rsidRDefault="00284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7046501"/>
      <w:docPartObj>
        <w:docPartGallery w:val="Page Numbers (Bottom of Page)"/>
        <w:docPartUnique/>
      </w:docPartObj>
    </w:sdtPr>
    <w:sdtEndPr>
      <w:rPr>
        <w:noProof/>
      </w:rPr>
    </w:sdtEndPr>
    <w:sdtContent>
      <w:p w14:paraId="65785498" w14:textId="7197BD43" w:rsidR="00284CE1" w:rsidRDefault="00284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EAE97" w14:textId="77777777" w:rsidR="00284CE1" w:rsidRDefault="00284C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E783" w14:textId="77777777" w:rsidR="00284CE1" w:rsidRDefault="0028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07225" w14:textId="77777777" w:rsidR="00284CE1" w:rsidRDefault="00284CE1" w:rsidP="00284CE1">
      <w:pPr>
        <w:spacing w:after="0" w:line="240" w:lineRule="auto"/>
      </w:pPr>
      <w:r>
        <w:separator/>
      </w:r>
    </w:p>
  </w:footnote>
  <w:footnote w:type="continuationSeparator" w:id="0">
    <w:p w14:paraId="571BFAEB" w14:textId="77777777" w:rsidR="00284CE1" w:rsidRDefault="00284CE1" w:rsidP="0028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5EBD3" w14:textId="77777777" w:rsidR="00284CE1" w:rsidRDefault="00284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385DB" w14:textId="77777777" w:rsidR="00284CE1" w:rsidRDefault="00284C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079A9" w14:textId="77777777" w:rsidR="00284CE1" w:rsidRDefault="00284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3A"/>
    <w:rsid w:val="000061CB"/>
    <w:rsid w:val="00021BF3"/>
    <w:rsid w:val="0002352E"/>
    <w:rsid w:val="00025079"/>
    <w:rsid w:val="00044CA4"/>
    <w:rsid w:val="00072622"/>
    <w:rsid w:val="000778E7"/>
    <w:rsid w:val="000811FA"/>
    <w:rsid w:val="000B578A"/>
    <w:rsid w:val="000E4CAB"/>
    <w:rsid w:val="000E79A5"/>
    <w:rsid w:val="000F06DB"/>
    <w:rsid w:val="00126A4B"/>
    <w:rsid w:val="001862D0"/>
    <w:rsid w:val="001D05C4"/>
    <w:rsid w:val="001D2468"/>
    <w:rsid w:val="001D75CC"/>
    <w:rsid w:val="001E5C69"/>
    <w:rsid w:val="001F4360"/>
    <w:rsid w:val="00221F10"/>
    <w:rsid w:val="0023254C"/>
    <w:rsid w:val="0023360B"/>
    <w:rsid w:val="00243F94"/>
    <w:rsid w:val="00270243"/>
    <w:rsid w:val="0028403E"/>
    <w:rsid w:val="00284CE1"/>
    <w:rsid w:val="0029295A"/>
    <w:rsid w:val="002A7732"/>
    <w:rsid w:val="002C65E6"/>
    <w:rsid w:val="002D38CD"/>
    <w:rsid w:val="002F2742"/>
    <w:rsid w:val="00301972"/>
    <w:rsid w:val="003157BB"/>
    <w:rsid w:val="00324545"/>
    <w:rsid w:val="00331058"/>
    <w:rsid w:val="003702CE"/>
    <w:rsid w:val="003843ED"/>
    <w:rsid w:val="003B3363"/>
    <w:rsid w:val="003B4FE1"/>
    <w:rsid w:val="003B6514"/>
    <w:rsid w:val="003D696C"/>
    <w:rsid w:val="003E1068"/>
    <w:rsid w:val="003E2757"/>
    <w:rsid w:val="00423A46"/>
    <w:rsid w:val="00433F98"/>
    <w:rsid w:val="00435B0E"/>
    <w:rsid w:val="00455622"/>
    <w:rsid w:val="00480CD8"/>
    <w:rsid w:val="004B67CB"/>
    <w:rsid w:val="004D6321"/>
    <w:rsid w:val="005025AD"/>
    <w:rsid w:val="0051059B"/>
    <w:rsid w:val="005D1B47"/>
    <w:rsid w:val="00614A5C"/>
    <w:rsid w:val="006233EF"/>
    <w:rsid w:val="00627AD9"/>
    <w:rsid w:val="006472D0"/>
    <w:rsid w:val="006D6D0F"/>
    <w:rsid w:val="006F2829"/>
    <w:rsid w:val="006F3610"/>
    <w:rsid w:val="007420D2"/>
    <w:rsid w:val="0075083A"/>
    <w:rsid w:val="007630EE"/>
    <w:rsid w:val="00774A6F"/>
    <w:rsid w:val="00775643"/>
    <w:rsid w:val="007975B9"/>
    <w:rsid w:val="007C023F"/>
    <w:rsid w:val="00821414"/>
    <w:rsid w:val="00864B71"/>
    <w:rsid w:val="008733B9"/>
    <w:rsid w:val="0088444E"/>
    <w:rsid w:val="008C07EA"/>
    <w:rsid w:val="008C3A69"/>
    <w:rsid w:val="008C7489"/>
    <w:rsid w:val="008D6079"/>
    <w:rsid w:val="008F3387"/>
    <w:rsid w:val="00937C40"/>
    <w:rsid w:val="00946464"/>
    <w:rsid w:val="00984056"/>
    <w:rsid w:val="009D6084"/>
    <w:rsid w:val="009E0D5F"/>
    <w:rsid w:val="00A05C7F"/>
    <w:rsid w:val="00A457B2"/>
    <w:rsid w:val="00AB53BC"/>
    <w:rsid w:val="00AD30D0"/>
    <w:rsid w:val="00B16256"/>
    <w:rsid w:val="00B26AA5"/>
    <w:rsid w:val="00B303F2"/>
    <w:rsid w:val="00B32C93"/>
    <w:rsid w:val="00B474F1"/>
    <w:rsid w:val="00B80D3F"/>
    <w:rsid w:val="00B82B80"/>
    <w:rsid w:val="00B91C3F"/>
    <w:rsid w:val="00B91CC4"/>
    <w:rsid w:val="00BA2A88"/>
    <w:rsid w:val="00BA5BF1"/>
    <w:rsid w:val="00BE029F"/>
    <w:rsid w:val="00C039C6"/>
    <w:rsid w:val="00C03DF9"/>
    <w:rsid w:val="00C146D3"/>
    <w:rsid w:val="00C17939"/>
    <w:rsid w:val="00C73B9B"/>
    <w:rsid w:val="00C95853"/>
    <w:rsid w:val="00CE1DB6"/>
    <w:rsid w:val="00D31041"/>
    <w:rsid w:val="00D31FD1"/>
    <w:rsid w:val="00D46E5C"/>
    <w:rsid w:val="00D50199"/>
    <w:rsid w:val="00D55EC1"/>
    <w:rsid w:val="00D728C2"/>
    <w:rsid w:val="00DA09B5"/>
    <w:rsid w:val="00DB641E"/>
    <w:rsid w:val="00DD04F9"/>
    <w:rsid w:val="00DD1079"/>
    <w:rsid w:val="00DD2DE1"/>
    <w:rsid w:val="00DD756F"/>
    <w:rsid w:val="00E17AB5"/>
    <w:rsid w:val="00E20EB7"/>
    <w:rsid w:val="00E211C4"/>
    <w:rsid w:val="00E43AFE"/>
    <w:rsid w:val="00E553BC"/>
    <w:rsid w:val="00E61715"/>
    <w:rsid w:val="00EA1645"/>
    <w:rsid w:val="00EA1DBF"/>
    <w:rsid w:val="00EB4F4E"/>
    <w:rsid w:val="00EC54B3"/>
    <w:rsid w:val="00F6455D"/>
    <w:rsid w:val="00F934F1"/>
    <w:rsid w:val="00FD7B90"/>
    <w:rsid w:val="00FE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40134"/>
  <w15:chartTrackingRefBased/>
  <w15:docId w15:val="{C73C5131-5BE2-4E21-B34E-F3E1E95A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CC"/>
  </w:style>
  <w:style w:type="paragraph" w:styleId="Heading1">
    <w:name w:val="heading 1"/>
    <w:basedOn w:val="Normal"/>
    <w:next w:val="Normal"/>
    <w:link w:val="Heading1Char"/>
    <w:uiPriority w:val="9"/>
    <w:qFormat/>
    <w:rsid w:val="0075083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5083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083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083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083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0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3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508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083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083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083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0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3A"/>
    <w:rPr>
      <w:rFonts w:eastAsiaTheme="majorEastAsia" w:cstheme="majorBidi"/>
      <w:color w:val="272727" w:themeColor="text1" w:themeTint="D8"/>
    </w:rPr>
  </w:style>
  <w:style w:type="paragraph" w:styleId="Title">
    <w:name w:val="Title"/>
    <w:basedOn w:val="Normal"/>
    <w:next w:val="Normal"/>
    <w:link w:val="TitleChar"/>
    <w:uiPriority w:val="10"/>
    <w:qFormat/>
    <w:rsid w:val="00750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3A"/>
    <w:pPr>
      <w:spacing w:before="160"/>
      <w:jc w:val="center"/>
    </w:pPr>
    <w:rPr>
      <w:i/>
      <w:iCs/>
      <w:color w:val="404040" w:themeColor="text1" w:themeTint="BF"/>
    </w:rPr>
  </w:style>
  <w:style w:type="character" w:customStyle="1" w:styleId="QuoteChar">
    <w:name w:val="Quote Char"/>
    <w:basedOn w:val="DefaultParagraphFont"/>
    <w:link w:val="Quote"/>
    <w:uiPriority w:val="29"/>
    <w:rsid w:val="0075083A"/>
    <w:rPr>
      <w:i/>
      <w:iCs/>
      <w:color w:val="404040" w:themeColor="text1" w:themeTint="BF"/>
    </w:rPr>
  </w:style>
  <w:style w:type="paragraph" w:styleId="ListParagraph">
    <w:name w:val="List Paragraph"/>
    <w:basedOn w:val="Normal"/>
    <w:uiPriority w:val="34"/>
    <w:qFormat/>
    <w:rsid w:val="0075083A"/>
    <w:pPr>
      <w:ind w:left="720"/>
      <w:contextualSpacing/>
    </w:pPr>
  </w:style>
  <w:style w:type="character" w:styleId="IntenseEmphasis">
    <w:name w:val="Intense Emphasis"/>
    <w:basedOn w:val="DefaultParagraphFont"/>
    <w:uiPriority w:val="21"/>
    <w:qFormat/>
    <w:rsid w:val="0075083A"/>
    <w:rPr>
      <w:i/>
      <w:iCs/>
      <w:color w:val="2E74B5" w:themeColor="accent1" w:themeShade="BF"/>
    </w:rPr>
  </w:style>
  <w:style w:type="paragraph" w:styleId="IntenseQuote">
    <w:name w:val="Intense Quote"/>
    <w:basedOn w:val="Normal"/>
    <w:next w:val="Normal"/>
    <w:link w:val="IntenseQuoteChar"/>
    <w:uiPriority w:val="30"/>
    <w:qFormat/>
    <w:rsid w:val="0075083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083A"/>
    <w:rPr>
      <w:i/>
      <w:iCs/>
      <w:color w:val="2E74B5" w:themeColor="accent1" w:themeShade="BF"/>
    </w:rPr>
  </w:style>
  <w:style w:type="character" w:styleId="IntenseReference">
    <w:name w:val="Intense Reference"/>
    <w:basedOn w:val="DefaultParagraphFont"/>
    <w:uiPriority w:val="32"/>
    <w:qFormat/>
    <w:rsid w:val="0075083A"/>
    <w:rPr>
      <w:b/>
      <w:bCs/>
      <w:smallCaps/>
      <w:color w:val="2E74B5" w:themeColor="accent1" w:themeShade="BF"/>
      <w:spacing w:val="5"/>
    </w:rPr>
  </w:style>
  <w:style w:type="character" w:styleId="PlaceholderText">
    <w:name w:val="Placeholder Text"/>
    <w:basedOn w:val="DefaultParagraphFont"/>
    <w:uiPriority w:val="99"/>
    <w:semiHidden/>
    <w:rsid w:val="0029295A"/>
    <w:rPr>
      <w:color w:val="666666"/>
    </w:rPr>
  </w:style>
  <w:style w:type="paragraph" w:styleId="Bibliography">
    <w:name w:val="Bibliography"/>
    <w:basedOn w:val="Normal"/>
    <w:next w:val="Normal"/>
    <w:uiPriority w:val="37"/>
    <w:unhideWhenUsed/>
    <w:rsid w:val="008733B9"/>
    <w:pPr>
      <w:spacing w:after="0" w:line="240" w:lineRule="auto"/>
      <w:ind w:left="720" w:hanging="720"/>
    </w:pPr>
  </w:style>
  <w:style w:type="paragraph" w:styleId="Header">
    <w:name w:val="header"/>
    <w:basedOn w:val="Normal"/>
    <w:link w:val="HeaderChar"/>
    <w:uiPriority w:val="99"/>
    <w:unhideWhenUsed/>
    <w:rsid w:val="00284C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4CE1"/>
  </w:style>
  <w:style w:type="paragraph" w:styleId="Footer">
    <w:name w:val="footer"/>
    <w:basedOn w:val="Normal"/>
    <w:link w:val="FooterChar"/>
    <w:uiPriority w:val="99"/>
    <w:unhideWhenUsed/>
    <w:rsid w:val="00284CE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48282">
      <w:bodyDiv w:val="1"/>
      <w:marLeft w:val="0"/>
      <w:marRight w:val="0"/>
      <w:marTop w:val="0"/>
      <w:marBottom w:val="0"/>
      <w:divBdr>
        <w:top w:val="none" w:sz="0" w:space="0" w:color="auto"/>
        <w:left w:val="none" w:sz="0" w:space="0" w:color="auto"/>
        <w:bottom w:val="none" w:sz="0" w:space="0" w:color="auto"/>
        <w:right w:val="none" w:sz="0" w:space="0" w:color="auto"/>
      </w:divBdr>
    </w:div>
    <w:div w:id="1995375352">
      <w:bodyDiv w:val="1"/>
      <w:marLeft w:val="0"/>
      <w:marRight w:val="0"/>
      <w:marTop w:val="0"/>
      <w:marBottom w:val="0"/>
      <w:divBdr>
        <w:top w:val="none" w:sz="0" w:space="0" w:color="auto"/>
        <w:left w:val="none" w:sz="0" w:space="0" w:color="auto"/>
        <w:bottom w:val="none" w:sz="0" w:space="0" w:color="auto"/>
        <w:right w:val="none" w:sz="0" w:space="0" w:color="auto"/>
      </w:divBdr>
    </w:div>
    <w:div w:id="20471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6948-7A8A-40F0-B4B2-E8DAF4B8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716</Words>
  <Characters>4400</Characters>
  <Application>Microsoft Office Word</Application>
  <DocSecurity>0</DocSecurity>
  <Lines>182</Lines>
  <Paragraphs>115</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122</cp:revision>
  <dcterms:created xsi:type="dcterms:W3CDTF">2025-04-28T08:17:00Z</dcterms:created>
  <dcterms:modified xsi:type="dcterms:W3CDTF">2025-10-29T21:23:00Z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566db158-03ce-4abd-ac59-2fd97ec33131</vt:lpwstr>
  </property>
  <property fmtid="{D5CDD505-2E9C-101B-9397-08002B2CF9AE}" pid="3" name="ZOTERO_PREF_1">
    <vt:lpwstr>&lt;data data-version="3" zotero-version="7.0.16"&gt;&lt;session id="vfbD586G"/&gt;&lt;style id="http://www.zotero.org/styles/apa-single-spaced" locale="en-US" hasBibliography="1" bibliographyStyleHasBeenSet="1"/&gt;&lt;prefs&gt;&lt;pref name="fieldType" value="Field"/&gt;&lt;/prefs&gt;&lt;/da</vt:lpwstr>
  </property>
  <property fmtid="{D5CDD505-2E9C-101B-9397-08002B2CF9AE}" pid="4" name="ZOTERO_PREF_2">
    <vt:lpwstr>ta&gt;</vt:lpwstr>
  </property>
</Properties>
</file>