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ustomTitle"/>
        <w:jc w:val="left"/>
      </w:pPr>
      <w:r>
        <w:t>Case Study: Policy &amp; Guidance RAG Application</w:t>
      </w:r>
    </w:p>
    <w:p>
      <w:pPr>
        <w:pStyle w:val="CustomSubtitle"/>
        <w:spacing w:before="0" w:after="160" w:line="276" w:lineRule="auto"/>
      </w:pPr>
      <w:r>
        <w:t>For internal risk and review teams | 50-minute interview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368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80" w:line="276" w:lineRule="auto"/>
            </w:pPr>
            <w:r>
              <w:rPr>
                <w:b/>
                <w:color w:val="1F4E79"/>
              </w:rPr>
              <w:t>Context</w:t>
            </w:r>
            <w:r>
              <w:t>: Design an internal application that helps risk, review, and validation teams find, interpret, and apply policy and guidance documents in a controlled and evidence-backed way.</w:t>
            </w:r>
          </w:p>
          <w:p>
            <w:pPr>
              <w:spacing w:before="0" w:after="0" w:line="276" w:lineRule="auto"/>
            </w:pPr>
            <w:r>
              <w:rPr>
                <w:b w:val="0"/>
              </w:rPr>
              <w:t xml:space="preserve">This is not </w:t>
            </w:r>
            <w:r>
              <w:rPr>
                <w:b/>
              </w:rPr>
              <w:t>a generic chatbot</w:t>
            </w:r>
            <w:r>
              <w:t xml:space="preserve"> and not </w:t>
            </w:r>
            <w:r>
              <w:rPr>
                <w:b/>
              </w:rPr>
              <w:t>enterprise search only</w:t>
            </w:r>
            <w:r>
              <w:t>. It should support review and challenge workflows, complex multi-document questions, citations, and safe handling of ambiguity.</w:t>
            </w:r>
          </w:p>
        </w:tc>
      </w:tr>
    </w:tbl>
    <w:p>
      <w:pPr>
        <w:spacing w:before="80" w:after="80" w:line="276" w:lineRule="auto"/>
      </w:pPr>
      <w:r>
        <w:rPr>
          <w:b/>
        </w:rPr>
        <w:t xml:space="preserve">Assume the document base includes: </w:t>
      </w:r>
      <w:r>
        <w:t>policy standards, procedural guidance, control requirements, implementation notes, FAQs, review checklists, and prior interpretation guidance.</w:t>
      </w:r>
    </w:p>
    <w:p>
      <w:pPr>
        <w:spacing w:before="0" w:after="120" w:line="276" w:lineRule="auto"/>
      </w:pPr>
      <w:r>
        <w:rPr>
          <w:b/>
        </w:rPr>
        <w:t xml:space="preserve">Assume further that: </w:t>
      </w:r>
      <w:r>
        <w:t>documents may exist in PDF, Word, HTML, and wiki-like formats; documents may have versions, owners, and effective dates; and some future use cases may need a second knowledge base for case-specific submissions or evidence.</w:t>
      </w:r>
    </w:p>
    <w:p>
      <w:pPr>
        <w:pStyle w:val="Heading1"/>
        <w:spacing w:before="60" w:after="60" w:line="276" w:lineRule="auto"/>
      </w:pPr>
      <w:r>
        <w:t>Your task</w:t>
      </w:r>
    </w:p>
    <w:p>
      <w:pPr>
        <w:pStyle w:val="ListBullet"/>
        <w:spacing w:before="0" w:after="0" w:line="276" w:lineRule="auto"/>
      </w:pPr>
      <w:r>
        <w:t>Define the product and key user journeys.</w:t>
      </w:r>
    </w:p>
    <w:p>
      <w:pPr>
        <w:pStyle w:val="ListBullet"/>
        <w:spacing w:before="0" w:after="0" w:line="276" w:lineRule="auto"/>
      </w:pPr>
      <w:r>
        <w:t>Explain what your MVP would include and what you would leave out initially.</w:t>
      </w:r>
    </w:p>
    <w:p>
      <w:pPr>
        <w:pStyle w:val="ListBullet"/>
        <w:spacing w:before="0" w:after="0" w:line="276" w:lineRule="auto"/>
      </w:pPr>
      <w:r>
        <w:t>Describe the end-to-end architecture and RAG workflow.</w:t>
      </w:r>
    </w:p>
    <w:p>
      <w:pPr>
        <w:pStyle w:val="ListBullet"/>
        <w:spacing w:before="0" w:after="0" w:line="276" w:lineRule="auto"/>
      </w:pPr>
      <w:r>
        <w:t>Explain how you would handle retrieval, citations, document versions, and complex multi-document questions.</w:t>
      </w:r>
    </w:p>
    <w:p>
      <w:pPr>
        <w:pStyle w:val="ListBullet"/>
        <w:spacing w:before="0" w:after="0" w:line="276" w:lineRule="auto"/>
      </w:pPr>
      <w:r>
        <w:t>Explain when standard RAG is sufficient and when agentic or graph-based orchestration may be justified.</w:t>
      </w:r>
    </w:p>
    <w:p>
      <w:pPr>
        <w:pStyle w:val="ListBullet"/>
        <w:spacing w:before="0" w:after="0" w:line="276" w:lineRule="auto"/>
      </w:pPr>
      <w:r>
        <w:t>Describe the main risks, controls, and evaluation approach.</w:t>
      </w:r>
    </w:p>
    <w:p>
      <w:pPr>
        <w:pStyle w:val="ListBullet"/>
        <w:spacing w:before="0" w:after="0" w:line="276" w:lineRule="auto"/>
      </w:pPr>
      <w:r>
        <w:t>Explain how you would lead delivery of this workstream in the first 8–12 weeks.</w:t>
      </w:r>
    </w:p>
    <w:p>
      <w:pPr>
        <w:spacing w:before="80" w:after="100" w:line="276" w:lineRule="auto"/>
      </w:pPr>
      <w:r>
        <w:rPr>
          <w:b/>
        </w:rPr>
        <w:t xml:space="preserve">Please be prepared to discuss practical trade-offs. </w:t>
      </w:r>
      <w:r>
        <w:t>For example: handling conflicting guidance, weak evidence, unsupported synthesis, and debugging poor answers when retrieval appears correct.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560"/>
      </w:tblGrid>
      <w:tr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jc w:val="center"/>
            </w:pPr>
            <w:r>
              <w:rPr>
                <w:b/>
                <w:color w:val="1F4E79"/>
              </w:rPr>
              <w:t>What we are</w:t>
              <w:br/>
              <w:t>looking for</w:t>
            </w:r>
          </w:p>
        </w:tc>
        <w:tc>
          <w:tcPr>
            <w:tcW w:type="dxa" w:w="518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8FBFD"/>
          </w:tcPr>
          <w:p>
            <w:pPr>
              <w:spacing w:before="0" w:after="0" w:line="276" w:lineRule="auto"/>
            </w:pPr>
            <w:r>
              <w:t xml:space="preserve">Clear product framing, practical RAG design, strong handling of complex questions, appropriate control thinking, and sound judgement on when </w:t>
            </w:r>
            <w:r>
              <w:rPr>
                <w:b/>
              </w:rPr>
              <w:t>not</w:t>
            </w:r>
            <w:r>
              <w:t xml:space="preserve"> to over-engineer with agents.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7"/>
      </w:rPr>
      <w:t>Candidate Handout | Policy &amp; Guidance RAG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878"/>
        <w:sz w:val="17"/>
      </w:rPr>
      <w:t>Agentic AI Interview Case Study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rPr>
      <w:rFonts w:ascii="Aptos Display" w:hAnsi="Aptos Display"/>
      <w:b/>
      <w:color w:val="1F4E79"/>
      <w:sz w:val="40"/>
    </w:rPr>
  </w:style>
  <w:style w:type="paragraph" w:customStyle="1" w:styleId="CustomSubtitle">
    <w:name w:val="CustomSubtitle"/>
    <w:rPr>
      <w:rFonts w:ascii="Aptos" w:hAnsi="Aptos"/>
      <w:color w:val="595959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