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0"/>
        </w:rPr>
        <w:t>MRO AI Risk Intelligence Core</w:t>
      </w:r>
    </w:p>
    <w:p>
      <w:pPr>
        <w:jc w:val="center"/>
      </w:pPr>
      <w:r>
        <w:rPr>
          <w:color w:val="1F4E79"/>
          <w:sz w:val="32"/>
        </w:rPr>
        <w:t>Team Operating Model, Technical Moat and Long-Term Stewardship Guide</w:t>
      </w:r>
    </w:p>
    <w:p>
      <w:pPr>
        <w:spacing w:before="360"/>
        <w:jc w:val="center"/>
      </w:pPr>
      <w:r>
        <w:rPr>
          <w:b/>
          <w:sz w:val="24"/>
        </w:rPr>
        <w:t>AI Tech &amp; Tooling | Model Risk Office</w:t>
      </w:r>
    </w:p>
    <w:p>
      <w:pPr>
        <w:spacing w:before="1800"/>
        <w:jc w:val="center"/>
      </w:pPr>
      <w:r>
        <w:rPr>
          <w:b/>
          <w:color w:val="1F4E79"/>
        </w:rPr>
        <w:t>Purpose</w:t>
      </w:r>
    </w:p>
    <w:p>
      <w:pPr>
        <w:jc w:val="center"/>
      </w:pPr>
      <w:r>
        <w:t>To define what constitutes the team’s enduring core capability, how that capability creates defensible organisational and technical advantage, and how it will be governed, operated, calibrated, maintained and improved over time.</w:t>
      </w:r>
    </w:p>
    <w:p>
      <w:pPr>
        <w:spacing w:before="1200"/>
        <w:jc w:val="center"/>
      </w:pPr>
      <w:r>
        <w:rPr>
          <w:i/>
          <w:color w:val="646464"/>
        </w:rPr>
        <w:t>Internal Operating Guidance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Field</w:t>
            </w:r>
          </w:p>
        </w:tc>
        <w:tc>
          <w:tcPr>
            <w:tcW w:type="dxa" w:w="5040"/>
            <w:shd w:fill="1F4E79"/>
            <w:vAlign w:val="center"/>
            <w:tcMar>
              <w:top w:w="80" w:type="dxa"/>
              <w:start w:w="90" w:type="dxa"/>
              <w:bottom w:w="80" w:type="dxa"/>
              <w:end w:w="90" w:type="dxa"/>
            </w:tcMar>
          </w:tcPr>
          <w:p>
            <w:r>
              <w:rPr>
                <w:b/>
                <w:color w:val="FFFFFF"/>
              </w:rPr>
              <w:t>Detail</w:t>
            </w:r>
          </w:p>
        </w:tc>
      </w:tr>
      <w:tr>
        <w:tc>
          <w:tcPr>
            <w:tcW w:type="dxa" w:w="5040"/>
            <w:vAlign w:val="top"/>
            <w:tcMar>
              <w:top w:w="80" w:type="dxa"/>
              <w:start w:w="90" w:type="dxa"/>
              <w:bottom w:w="80" w:type="dxa"/>
              <w:end w:w="90" w:type="dxa"/>
            </w:tcMar>
          </w:tcPr>
          <w:p>
            <w:r>
              <w:t>Document owner</w:t>
            </w:r>
          </w:p>
        </w:tc>
        <w:tc>
          <w:tcPr>
            <w:tcW w:type="dxa" w:w="5040"/>
            <w:vAlign w:val="top"/>
            <w:tcMar>
              <w:top w:w="80" w:type="dxa"/>
              <w:start w:w="90" w:type="dxa"/>
              <w:bottom w:w="80" w:type="dxa"/>
              <w:end w:w="90" w:type="dxa"/>
            </w:tcMar>
          </w:tcPr>
          <w:p>
            <w:r>
              <w:t>Head of AI Tech &amp; Tooling</w:t>
            </w:r>
          </w:p>
        </w:tc>
      </w:tr>
      <w:tr>
        <w:tc>
          <w:tcPr>
            <w:tcW w:type="dxa" w:w="5040"/>
            <w:vAlign w:val="top"/>
            <w:tcMar>
              <w:top w:w="80" w:type="dxa"/>
              <w:start w:w="90" w:type="dxa"/>
              <w:bottom w:w="80" w:type="dxa"/>
              <w:end w:w="90" w:type="dxa"/>
            </w:tcMar>
            <w:shd w:fill="F5F8FA"/>
          </w:tcPr>
          <w:p>
            <w:r>
              <w:t>Business sponsors</w:t>
            </w:r>
          </w:p>
        </w:tc>
        <w:tc>
          <w:tcPr>
            <w:tcW w:type="dxa" w:w="5040"/>
            <w:vAlign w:val="top"/>
            <w:tcMar>
              <w:top w:w="80" w:type="dxa"/>
              <w:start w:w="90" w:type="dxa"/>
              <w:bottom w:w="80" w:type="dxa"/>
              <w:end w:w="90" w:type="dxa"/>
            </w:tcMar>
            <w:shd w:fill="F5F8FA"/>
          </w:tcPr>
          <w:p>
            <w:r>
              <w:t>AI Risk Oversight and AI Independent Validation leadership</w:t>
            </w:r>
          </w:p>
        </w:tc>
      </w:tr>
      <w:tr>
        <w:tc>
          <w:tcPr>
            <w:tcW w:type="dxa" w:w="5040"/>
            <w:vAlign w:val="top"/>
            <w:tcMar>
              <w:top w:w="80" w:type="dxa"/>
              <w:start w:w="90" w:type="dxa"/>
              <w:bottom w:w="80" w:type="dxa"/>
              <w:end w:w="90" w:type="dxa"/>
            </w:tcMar>
          </w:tcPr>
          <w:p>
            <w:r>
              <w:t>Primary audience</w:t>
            </w:r>
          </w:p>
        </w:tc>
        <w:tc>
          <w:tcPr>
            <w:tcW w:type="dxa" w:w="5040"/>
            <w:vAlign w:val="top"/>
            <w:tcMar>
              <w:top w:w="80" w:type="dxa"/>
              <w:start w:w="90" w:type="dxa"/>
              <w:bottom w:w="80" w:type="dxa"/>
              <w:end w:w="90" w:type="dxa"/>
            </w:tcMar>
          </w:tcPr>
          <w:p>
            <w:r>
              <w:t>AI Tech &amp; Tooling, AI Independent Validation, AI Risk Oversight and relevant MRO governance stakeholders</w:t>
            </w:r>
          </w:p>
        </w:tc>
      </w:tr>
      <w:tr>
        <w:tc>
          <w:tcPr>
            <w:tcW w:type="dxa" w:w="5040"/>
            <w:vAlign w:val="top"/>
            <w:tcMar>
              <w:top w:w="80" w:type="dxa"/>
              <w:start w:w="90" w:type="dxa"/>
              <w:bottom w:w="80" w:type="dxa"/>
              <w:end w:w="90" w:type="dxa"/>
            </w:tcMar>
            <w:shd w:fill="F5F8FA"/>
          </w:tcPr>
          <w:p>
            <w:r>
              <w:t>Status</w:t>
            </w:r>
          </w:p>
        </w:tc>
        <w:tc>
          <w:tcPr>
            <w:tcW w:type="dxa" w:w="5040"/>
            <w:vAlign w:val="top"/>
            <w:tcMar>
              <w:top w:w="80" w:type="dxa"/>
              <w:start w:w="90" w:type="dxa"/>
              <w:bottom w:w="80" w:type="dxa"/>
              <w:end w:w="90" w:type="dxa"/>
            </w:tcMar>
            <w:shd w:fill="F5F8FA"/>
          </w:tcPr>
          <w:p>
            <w:r>
              <w:t>Core operating guidance</w:t>
            </w:r>
          </w:p>
        </w:tc>
      </w:tr>
      <w:tr>
        <w:tc>
          <w:tcPr>
            <w:tcW w:type="dxa" w:w="5040"/>
            <w:vAlign w:val="top"/>
            <w:tcMar>
              <w:top w:w="80" w:type="dxa"/>
              <w:start w:w="90" w:type="dxa"/>
              <w:bottom w:w="80" w:type="dxa"/>
              <w:end w:w="90" w:type="dxa"/>
            </w:tcMar>
          </w:tcPr>
          <w:p>
            <w:r>
              <w:t>Review frequency</w:t>
            </w:r>
          </w:p>
        </w:tc>
        <w:tc>
          <w:tcPr>
            <w:tcW w:type="dxa" w:w="5040"/>
            <w:vAlign w:val="top"/>
            <w:tcMar>
              <w:top w:w="80" w:type="dxa"/>
              <w:start w:w="90" w:type="dxa"/>
              <w:bottom w:w="80" w:type="dxa"/>
              <w:end w:w="90" w:type="dxa"/>
            </w:tcMar>
          </w:tcPr>
          <w:p>
            <w:r>
              <w:t>At least annually, or following a material change to policy, operating model, platform architecture or methodology</w:t>
            </w:r>
          </w:p>
        </w:tc>
      </w:tr>
      <w:tr>
        <w:tc>
          <w:tcPr>
            <w:tcW w:type="dxa" w:w="5040"/>
            <w:vAlign w:val="top"/>
            <w:tcMar>
              <w:top w:w="80" w:type="dxa"/>
              <w:start w:w="90" w:type="dxa"/>
              <w:bottom w:w="80" w:type="dxa"/>
              <w:end w:w="90" w:type="dxa"/>
            </w:tcMar>
            <w:shd w:fill="F5F8FA"/>
          </w:tcPr>
          <w:p>
            <w:r>
              <w:t>Confidentiality</w:t>
            </w:r>
          </w:p>
        </w:tc>
        <w:tc>
          <w:tcPr>
            <w:tcW w:type="dxa" w:w="5040"/>
            <w:vAlign w:val="top"/>
            <w:tcMar>
              <w:top w:w="80" w:type="dxa"/>
              <w:start w:w="90" w:type="dxa"/>
              <w:bottom w:w="80" w:type="dxa"/>
              <w:end w:w="90" w:type="dxa"/>
            </w:tcMar>
            <w:shd w:fill="F5F8FA"/>
          </w:tcPr>
          <w:p>
            <w:r>
              <w:t>Internal MRO use</w:t>
            </w:r>
          </w:p>
        </w:tc>
      </w:tr>
    </w:tbl>
    <w:p/>
    <w:p>
      <w:pPr>
        <w:pStyle w:val="Heading1"/>
      </w:pPr>
      <w:r>
        <w:t>Executive Summary</w:t>
      </w:r>
    </w:p>
    <w:p>
      <w:r>
        <w:t>A standalone code repository named mro-ai-risk-core does not, by itself, create a durable technical moat. If the repository contains only Python code, prompts, deterministic rules and evaluation scripts, another capable team could eventually reproduce similar functionality, even if access to the original source is restricted.</w:t>
      </w:r>
    </w:p>
    <w:p>
      <w:r>
        <w:t>The defensible capability is the continuously operating MRO AI Risk Intelligence System that surrounds and extends the repository. Its value comes from the combination of approved methodology, structured historical decisions, calibration evidence, evaluation assets, expert workflows, governance authority, feedback learning and deep integration into the MRO operating process.</w:t>
      </w:r>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1F4E79"/>
                <w:sz w:val="22"/>
              </w:rPr>
              <w:t>Core strategic principle</w:t>
              <w:br/>
            </w:r>
            <w:r>
              <w:t>The objective is not merely to prevent other teams from seeing code. The objective is to build an authoritative, evidence-backed and continuously improving risk intelligence capability that other teams cannot readily reproduce, govern or operate with equivalent credibility.</w:t>
            </w:r>
          </w:p>
        </w:tc>
      </w:tr>
    </w:tbl>
    <w:p>
      <w:pPr>
        <w:spacing w:after="0"/>
      </w:pPr>
    </w:p>
    <w:p>
      <w:r>
        <w:t>The team’s enduring role should therefore be defined as follows:</w:t>
      </w:r>
    </w:p>
    <w:tbl>
      <w:tblPr>
        <w:tblW w:type="auto" w:w="0"/>
        <w:jc w:val="center"/>
        <w:tblLook w:firstColumn="1" w:firstRow="1" w:lastColumn="0" w:lastRow="0" w:noHBand="0" w:noVBand="1" w:val="04A0"/>
      </w:tblPr>
      <w:tblGrid>
        <w:gridCol w:w="10080"/>
      </w:tblGrid>
      <w:tr>
        <w:tc>
          <w:tcPr>
            <w:tcW w:type="dxa" w:w="10080"/>
            <w:shd w:fill="E2F0D9"/>
            <w:tcMar>
              <w:top w:w="140" w:type="dxa"/>
              <w:start w:w="160" w:type="dxa"/>
              <w:bottom w:w="140" w:type="dxa"/>
              <w:end w:w="160" w:type="dxa"/>
            </w:tcMar>
          </w:tcPr>
          <w:p>
            <w:r>
              <w:rPr>
                <w:b/>
                <w:color w:val="1F4E79"/>
                <w:sz w:val="22"/>
              </w:rPr>
              <w:t>Recommended team positioning</w:t>
              <w:br/>
            </w:r>
            <w:r>
              <w:t>AI Tech &amp; Tooling is the technical custodian of MRO’s authoritative AI risk intelligence. It converts approved methodology, expert judgement, historical validation evidence and calibration assets into controlled, auditable and reusable capabilities across the end-to-end AI risk lifecycle.</w:t>
            </w:r>
          </w:p>
        </w:tc>
      </w:tr>
    </w:tbl>
    <w:p>
      <w:pPr>
        <w:spacing w:after="0"/>
      </w:pPr>
    </w:p>
    <w:p>
      <w:r>
        <w:t>This operating model creates a moat through high replacement cost, authoritative governance, unique decision data, calibrated credibility, integrated workflows and an institutional learning loop. It is stronger than relying on source-code secrecy and remains relevant even if the user interface, infrastructure, deployment model or technology stack changes.</w:t>
      </w:r>
    </w:p>
    <w:p>
      <w:pPr>
        <w:pStyle w:val="Heading1"/>
      </w:pPr>
      <w:r>
        <w:t>1. Strategic Intent and Design Principles</w:t>
      </w:r>
    </w:p>
    <w:p>
      <w:r>
        <w:rPr>
          <w:b/>
        </w:rPr>
        <w:t xml:space="preserve">Authority before automation: </w:t>
      </w:r>
      <w:r>
        <w:t>The Core must reflect approved second-line methodology and must not become an ungoverned automation layer. Human accountability remains explicit.</w:t>
      </w:r>
    </w:p>
    <w:p>
      <w:r>
        <w:rPr>
          <w:b/>
        </w:rPr>
        <w:t xml:space="preserve">Evidence before assertion: </w:t>
      </w:r>
      <w:r>
        <w:t>Every recommendation, risk conclusion and override should be linked to evidence, methodology version and decision lineage.</w:t>
      </w:r>
    </w:p>
    <w:p>
      <w:r>
        <w:rPr>
          <w:b/>
        </w:rPr>
        <w:t xml:space="preserve">Learning before static rules: </w:t>
      </w:r>
      <w:r>
        <w:t>The system should learn from reviewed cases, disagreement patterns, incidents and validation outcomes through controlled calibration, not uncontrolled self-modification.</w:t>
      </w:r>
    </w:p>
    <w:p>
      <w:r>
        <w:rPr>
          <w:b/>
        </w:rPr>
        <w:t xml:space="preserve">Reusable intelligence before isolated tools: </w:t>
      </w:r>
      <w:r>
        <w:t>Risk intelligence should be built once and reused across Layer 1, Layer 2, Layer 3, reporting, Copilot assistants and future MRO workflows.</w:t>
      </w:r>
    </w:p>
    <w:p>
      <w:r>
        <w:rPr>
          <w:b/>
        </w:rPr>
        <w:t xml:space="preserve">Separation of concerns: </w:t>
      </w:r>
      <w:r>
        <w:t>Generic technology may be shared. MRO methodology, thresholds, judgement frameworks, benchmark ownership and risk conclusions remain under MRO control.</w:t>
      </w:r>
    </w:p>
    <w:p>
      <w:r>
        <w:rPr>
          <w:b/>
        </w:rPr>
        <w:t xml:space="preserve">Controlled evolution: </w:t>
      </w:r>
      <w:r>
        <w:t>All material changes require impact assessment, calibration evidence, approval, versioning and release records.</w:t>
      </w:r>
    </w:p>
    <w:p>
      <w:r>
        <w:rPr>
          <w:b/>
        </w:rPr>
        <w:t xml:space="preserve">Human judgement as an asset: </w:t>
      </w:r>
      <w:r>
        <w:t>Human review and overrides are not exceptions to hide; they are valuable data that improve future methodology and calibration.</w:t>
      </w:r>
    </w:p>
    <w:p>
      <w:r>
        <w:rPr>
          <w:b/>
        </w:rPr>
        <w:t xml:space="preserve">Measurable value: </w:t>
      </w:r>
      <w:r>
        <w:t>The team must demonstrate reduced effort, improved consistency, stronger detection, better traceability and faster delivery without weakening independent judgement.</w:t>
      </w:r>
    </w:p>
    <w:p>
      <w:pPr>
        <w:pStyle w:val="Heading1"/>
      </w:pPr>
      <w:r>
        <w:t>2. What the MRO AI Risk Intelligence Core Is</w:t>
      </w:r>
    </w:p>
    <w:p>
      <w:r>
        <w:t>The MRO AI Risk Intelligence Core is the controlled decision and knowledge layer of the MRO AI Risk Oversight Platform. It transforms policy, evidence, experience and evaluation results into consistent decision support across the AI risk lifecycle.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F4E79"/>
            <w:vAlign w:val="center"/>
            <w:tcMar>
              <w:top w:w="80" w:type="dxa"/>
              <w:start w:w="90" w:type="dxa"/>
              <w:bottom w:w="80" w:type="dxa"/>
              <w:end w:w="90" w:type="dxa"/>
            </w:tcMar>
          </w:tcPr>
          <w:p>
            <w:r>
              <w:rPr>
                <w:b/>
                <w:color w:val="FFFFFF"/>
              </w:rPr>
              <w:t>Inputs</w:t>
            </w:r>
          </w:p>
        </w:tc>
        <w:tc>
          <w:tcPr>
            <w:tcW w:type="dxa" w:w="4032"/>
            <w:shd w:fill="1F4E79"/>
            <w:vAlign w:val="center"/>
            <w:tcMar>
              <w:top w:w="80" w:type="dxa"/>
              <w:start w:w="90" w:type="dxa"/>
              <w:bottom w:w="80" w:type="dxa"/>
              <w:end w:w="90" w:type="dxa"/>
            </w:tcMar>
          </w:tcPr>
          <w:p>
            <w:r>
              <w:rPr>
                <w:b/>
                <w:color w:val="FFFFFF"/>
              </w:rPr>
              <w:t>Transformation performed by the Core</w:t>
            </w:r>
          </w:p>
        </w:tc>
        <w:tc>
          <w:tcPr>
            <w:tcW w:type="dxa" w:w="3024"/>
            <w:shd w:fill="1F4E79"/>
            <w:vAlign w:val="center"/>
            <w:tcMar>
              <w:top w:w="80" w:type="dxa"/>
              <w:start w:w="90" w:type="dxa"/>
              <w:bottom w:w="80" w:type="dxa"/>
              <w:end w:w="90" w:type="dxa"/>
            </w:tcMar>
          </w:tcPr>
          <w:p>
            <w:r>
              <w:rPr>
                <w:b/>
                <w:color w:val="FFFFFF"/>
              </w:rPr>
              <w:t>Outputs</w:t>
            </w:r>
          </w:p>
        </w:tc>
      </w:tr>
      <w:tr>
        <w:tc>
          <w:tcPr>
            <w:tcW w:type="dxa" w:w="2880"/>
            <w:vAlign w:val="top"/>
            <w:tcMar>
              <w:top w:w="80" w:type="dxa"/>
              <w:start w:w="90" w:type="dxa"/>
              <w:bottom w:w="80" w:type="dxa"/>
              <w:end w:w="90" w:type="dxa"/>
            </w:tcMar>
          </w:tcPr>
          <w:p>
            <w:r>
              <w:t>Policies, standards and guidance</w:t>
            </w:r>
          </w:p>
        </w:tc>
        <w:tc>
          <w:tcPr>
            <w:tcW w:type="dxa" w:w="4032"/>
            <w:vAlign w:val="top"/>
            <w:tcMar>
              <w:top w:w="80" w:type="dxa"/>
              <w:start w:w="90" w:type="dxa"/>
              <w:bottom w:w="80" w:type="dxa"/>
              <w:end w:w="90" w:type="dxa"/>
            </w:tcMar>
          </w:tcPr>
          <w:p>
            <w:r>
              <w:t>Interpret obligations, applicability and required controls</w:t>
            </w:r>
          </w:p>
        </w:tc>
        <w:tc>
          <w:tcPr>
            <w:tcW w:type="dxa" w:w="3024"/>
            <w:vAlign w:val="top"/>
            <w:tcMar>
              <w:top w:w="80" w:type="dxa"/>
              <w:start w:w="90" w:type="dxa"/>
              <w:bottom w:w="80" w:type="dxa"/>
              <w:end w:w="90" w:type="dxa"/>
            </w:tcMar>
          </w:tcPr>
          <w:p>
            <w:r>
              <w:t>Policy mappings, obligations and escalation points</w:t>
            </w:r>
          </w:p>
        </w:tc>
      </w:tr>
      <w:tr>
        <w:tc>
          <w:tcPr>
            <w:tcW w:type="dxa" w:w="2880"/>
            <w:vAlign w:val="top"/>
            <w:tcMar>
              <w:top w:w="80" w:type="dxa"/>
              <w:start w:w="90" w:type="dxa"/>
              <w:bottom w:w="80" w:type="dxa"/>
              <w:end w:w="90" w:type="dxa"/>
            </w:tcMar>
            <w:shd w:fill="F5F8FA"/>
          </w:tcPr>
          <w:p>
            <w:r>
              <w:t>AI use-case and model evidence</w:t>
            </w:r>
          </w:p>
        </w:tc>
        <w:tc>
          <w:tcPr>
            <w:tcW w:type="dxa" w:w="4032"/>
            <w:vAlign w:val="top"/>
            <w:tcMar>
              <w:top w:w="80" w:type="dxa"/>
              <w:start w:w="90" w:type="dxa"/>
              <w:bottom w:w="80" w:type="dxa"/>
              <w:end w:w="90" w:type="dxa"/>
            </w:tcMar>
            <w:shd w:fill="F5F8FA"/>
          </w:tcPr>
          <w:p>
            <w:r>
              <w:t>Identify characteristics, missing evidence and risk factors</w:t>
            </w:r>
          </w:p>
        </w:tc>
        <w:tc>
          <w:tcPr>
            <w:tcW w:type="dxa" w:w="3024"/>
            <w:vAlign w:val="top"/>
            <w:tcMar>
              <w:top w:w="80" w:type="dxa"/>
              <w:start w:w="90" w:type="dxa"/>
              <w:bottom w:w="80" w:type="dxa"/>
              <w:end w:w="90" w:type="dxa"/>
            </w:tcMar>
            <w:shd w:fill="F5F8FA"/>
          </w:tcPr>
          <w:p>
            <w:r>
              <w:t>Structured risk profile and evidence gaps</w:t>
            </w:r>
          </w:p>
        </w:tc>
      </w:tr>
      <w:tr>
        <w:tc>
          <w:tcPr>
            <w:tcW w:type="dxa" w:w="2880"/>
            <w:vAlign w:val="top"/>
            <w:tcMar>
              <w:top w:w="80" w:type="dxa"/>
              <w:start w:w="90" w:type="dxa"/>
              <w:bottom w:w="80" w:type="dxa"/>
              <w:end w:w="90" w:type="dxa"/>
            </w:tcMar>
          </w:tcPr>
          <w:p>
            <w:r>
              <w:t>Risk taxonomy and materiality criteria</w:t>
            </w:r>
          </w:p>
        </w:tc>
        <w:tc>
          <w:tcPr>
            <w:tcW w:type="dxa" w:w="4032"/>
            <w:vAlign w:val="top"/>
            <w:tcMar>
              <w:top w:w="80" w:type="dxa"/>
              <w:start w:w="90" w:type="dxa"/>
              <w:bottom w:w="80" w:type="dxa"/>
              <w:end w:w="90" w:type="dxa"/>
            </w:tcMar>
          </w:tcPr>
          <w:p>
            <w:r>
              <w:t>Apply controlled decision frameworks and thresholds</w:t>
            </w:r>
          </w:p>
        </w:tc>
        <w:tc>
          <w:tcPr>
            <w:tcW w:type="dxa" w:w="3024"/>
            <w:vAlign w:val="top"/>
            <w:tcMar>
              <w:top w:w="80" w:type="dxa"/>
              <w:start w:w="90" w:type="dxa"/>
              <w:bottom w:w="80" w:type="dxa"/>
              <w:end w:w="90" w:type="dxa"/>
            </w:tcMar>
          </w:tcPr>
          <w:p>
            <w:r>
              <w:t>Materiality band, proposed risk tier and risk-team routing</w:t>
            </w:r>
          </w:p>
        </w:tc>
      </w:tr>
      <w:tr>
        <w:tc>
          <w:tcPr>
            <w:tcW w:type="dxa" w:w="2880"/>
            <w:vAlign w:val="top"/>
            <w:tcMar>
              <w:top w:w="80" w:type="dxa"/>
              <w:start w:w="90" w:type="dxa"/>
              <w:bottom w:w="80" w:type="dxa"/>
              <w:end w:w="90" w:type="dxa"/>
            </w:tcMar>
            <w:shd w:fill="F5F8FA"/>
          </w:tcPr>
          <w:p>
            <w:r>
              <w:t>Historical validation experience</w:t>
            </w:r>
          </w:p>
        </w:tc>
        <w:tc>
          <w:tcPr>
            <w:tcW w:type="dxa" w:w="4032"/>
            <w:vAlign w:val="top"/>
            <w:tcMar>
              <w:top w:w="80" w:type="dxa"/>
              <w:start w:w="90" w:type="dxa"/>
              <w:bottom w:w="80" w:type="dxa"/>
              <w:end w:w="90" w:type="dxa"/>
            </w:tcMar>
            <w:shd w:fill="F5F8FA"/>
          </w:tcPr>
          <w:p>
            <w:r>
              <w:t>Retrieve precedents and compare relevant prior decisions</w:t>
            </w:r>
          </w:p>
        </w:tc>
        <w:tc>
          <w:tcPr>
            <w:tcW w:type="dxa" w:w="3024"/>
            <w:vAlign w:val="top"/>
            <w:tcMar>
              <w:top w:w="80" w:type="dxa"/>
              <w:start w:w="90" w:type="dxa"/>
              <w:bottom w:w="80" w:type="dxa"/>
              <w:end w:w="90" w:type="dxa"/>
            </w:tcMar>
            <w:shd w:fill="F5F8FA"/>
          </w:tcPr>
          <w:p>
            <w:r>
              <w:t>Precedent-based insights and challenge prompts</w:t>
            </w:r>
          </w:p>
        </w:tc>
      </w:tr>
      <w:tr>
        <w:tc>
          <w:tcPr>
            <w:tcW w:type="dxa" w:w="2880"/>
            <w:vAlign w:val="top"/>
            <w:tcMar>
              <w:top w:w="80" w:type="dxa"/>
              <w:start w:w="90" w:type="dxa"/>
              <w:bottom w:w="80" w:type="dxa"/>
              <w:end w:w="90" w:type="dxa"/>
            </w:tcMar>
          </w:tcPr>
          <w:p>
            <w:r>
              <w:t>Expert judgement</w:t>
            </w:r>
          </w:p>
        </w:tc>
        <w:tc>
          <w:tcPr>
            <w:tcW w:type="dxa" w:w="4032"/>
            <w:vAlign w:val="top"/>
            <w:tcMar>
              <w:top w:w="80" w:type="dxa"/>
              <w:start w:w="90" w:type="dxa"/>
              <w:bottom w:w="80" w:type="dxa"/>
              <w:end w:w="90" w:type="dxa"/>
            </w:tcMar>
          </w:tcPr>
          <w:p>
            <w:r>
              <w:t>Capture decisions, overrides, rationale and approvals</w:t>
            </w:r>
          </w:p>
        </w:tc>
        <w:tc>
          <w:tcPr>
            <w:tcW w:type="dxa" w:w="3024"/>
            <w:vAlign w:val="top"/>
            <w:tcMar>
              <w:top w:w="80" w:type="dxa"/>
              <w:start w:w="90" w:type="dxa"/>
              <w:bottom w:w="80" w:type="dxa"/>
              <w:end w:w="90" w:type="dxa"/>
            </w:tcMar>
          </w:tcPr>
          <w:p>
            <w:r>
              <w:t>Auditable human decision record</w:t>
            </w:r>
          </w:p>
        </w:tc>
      </w:tr>
      <w:tr>
        <w:tc>
          <w:tcPr>
            <w:tcW w:type="dxa" w:w="2880"/>
            <w:vAlign w:val="top"/>
            <w:tcMar>
              <w:top w:w="80" w:type="dxa"/>
              <w:start w:w="90" w:type="dxa"/>
              <w:bottom w:w="80" w:type="dxa"/>
              <w:end w:w="90" w:type="dxa"/>
            </w:tcMar>
            <w:shd w:fill="F5F8FA"/>
          </w:tcPr>
          <w:p>
            <w:r>
              <w:t>Evaluation results</w:t>
            </w:r>
          </w:p>
        </w:tc>
        <w:tc>
          <w:tcPr>
            <w:tcW w:type="dxa" w:w="4032"/>
            <w:vAlign w:val="top"/>
            <w:tcMar>
              <w:top w:w="80" w:type="dxa"/>
              <w:start w:w="90" w:type="dxa"/>
              <w:bottom w:w="80" w:type="dxa"/>
              <w:end w:w="90" w:type="dxa"/>
            </w:tcMar>
            <w:shd w:fill="F5F8FA"/>
          </w:tcPr>
          <w:p>
            <w:r>
              <w:t>Interpret metrics and scenario results against approved rubrics</w:t>
            </w:r>
          </w:p>
        </w:tc>
        <w:tc>
          <w:tcPr>
            <w:tcW w:type="dxa" w:w="3024"/>
            <w:vAlign w:val="top"/>
            <w:tcMar>
              <w:top w:w="80" w:type="dxa"/>
              <w:start w:w="90" w:type="dxa"/>
              <w:bottom w:w="80" w:type="dxa"/>
              <w:end w:w="90" w:type="dxa"/>
            </w:tcMar>
            <w:shd w:fill="F5F8FA"/>
          </w:tcPr>
          <w:p>
            <w:r>
              <w:t>Findings, severity, limitations and conclusions</w:t>
            </w:r>
          </w:p>
        </w:tc>
      </w:tr>
      <w:tr>
        <w:tc>
          <w:tcPr>
            <w:tcW w:type="dxa" w:w="2880"/>
            <w:vAlign w:val="top"/>
            <w:tcMar>
              <w:top w:w="80" w:type="dxa"/>
              <w:start w:w="90" w:type="dxa"/>
              <w:bottom w:w="80" w:type="dxa"/>
              <w:end w:w="90" w:type="dxa"/>
            </w:tcMar>
          </w:tcPr>
          <w:p>
            <w:r>
              <w:t>Post-go-live information</w:t>
            </w:r>
          </w:p>
        </w:tc>
        <w:tc>
          <w:tcPr>
            <w:tcW w:type="dxa" w:w="4032"/>
            <w:vAlign w:val="top"/>
            <w:tcMar>
              <w:top w:w="80" w:type="dxa"/>
              <w:start w:w="90" w:type="dxa"/>
              <w:bottom w:w="80" w:type="dxa"/>
              <w:end w:w="90" w:type="dxa"/>
            </w:tcMar>
          </w:tcPr>
          <w:p>
            <w:r>
              <w:t>Assess changes, incidents and monitoring indicators</w:t>
            </w:r>
          </w:p>
        </w:tc>
        <w:tc>
          <w:tcPr>
            <w:tcW w:type="dxa" w:w="3024"/>
            <w:vAlign w:val="top"/>
            <w:tcMar>
              <w:top w:w="80" w:type="dxa"/>
              <w:start w:w="90" w:type="dxa"/>
              <w:bottom w:w="80" w:type="dxa"/>
              <w:end w:w="90" w:type="dxa"/>
            </w:tcMar>
          </w:tcPr>
          <w:p>
            <w:r>
              <w:t>Monitoring requirements and revalidation triggers</w:t>
            </w:r>
          </w:p>
        </w:tc>
      </w:tr>
    </w:tbl>
    <w:p/>
    <w:tbl>
      <w:tblPr>
        <w:tblStyle w:val="TableGrid"/>
        <w:tblW w:type="auto" w:w="0"/>
        <w:jc w:val="center"/>
        <w:tblLook w:firstColumn="1" w:firstRow="1" w:lastColumn="0" w:lastRow="0" w:noHBand="0" w:noVBand="1" w:val="04A0"/>
      </w:tblPr>
      <w:tblGrid>
        <w:gridCol w:w="10080"/>
      </w:tblGrid>
      <w:tr>
        <w:tc>
          <w:tcPr>
            <w:tcW w:type="dxa" w:w="10080"/>
            <w:shd w:fill="F3F4F6"/>
            <w:tcMar>
              <w:top w:w="120" w:type="dxa"/>
              <w:start w:w="160" w:type="dxa"/>
              <w:bottom w:w="120" w:type="dxa"/>
              <w:end w:w="160" w:type="dxa"/>
            </w:tcMar>
          </w:tcPr>
          <w:p>
            <w:r>
              <w:rPr>
                <w:rFonts w:ascii="Consolas" w:hAnsi="Consolas"/>
                <w:sz w:val="17"/>
              </w:rPr>
              <w:t>mro-ai-risk-core/</w:t>
              <w:br/>
              <w:t>├── contracts/</w:t>
              <w:br/>
              <w:t>├── methodology/</w:t>
              <w:br/>
              <w:t>├── risk_taxonomy/</w:t>
              <w:br/>
              <w:t>├── domain_skills/</w:t>
              <w:br/>
              <w:t>├── decision_frameworks/</w:t>
              <w:br/>
              <w:t>├── calibration/</w:t>
              <w:br/>
              <w:t>├── evaluation_assets/</w:t>
              <w:br/>
              <w:t>├── historical_intelligence/</w:t>
              <w:br/>
              <w:t>├── policy_intelligence/</w:t>
              <w:br/>
              <w:t>├── human_judgment/</w:t>
              <w:br/>
              <w:t>├── quality_assurance/</w:t>
              <w:br/>
              <w:t>└── release_governance/</w:t>
            </w:r>
          </w:p>
        </w:tc>
      </w:tr>
    </w:tbl>
    <w:p/>
    <w:p>
      <w:r>
        <w:t>The directory structure is secondary. Each capability must have a defined owner, approval authority, version, supporting evidence, calibration record, change history, effective date, performance record and known limitations.</w:t>
      </w:r>
    </w:p>
    <w:p>
      <w:pPr>
        <w:pStyle w:val="Heading1"/>
      </w:pPr>
      <w:r>
        <w:t>3. The Team’s Defensible Moat</w:t>
      </w:r>
    </w:p>
    <w:p>
      <w:r>
        <w:t>The moat is created by several reinforcing layers. None is sufficient alone; their combined operation creates a capability that is difficult to reproduce and costly to replace.</w:t>
      </w:r>
    </w:p>
    <w:p>
      <w:pPr>
        <w:pStyle w:val="Heading2"/>
      </w:pPr>
      <w:r>
        <w:t>3.1 Governance and Authority Moat</w:t>
      </w:r>
    </w:p>
    <w:p>
      <w:r>
        <w:t>The strongest layer is formal recognition that the Core is the MRO-approved source of AI risk methodology, validation intelligence and decision support. Other teams may create technically similar functions, but they cannot independently replace the second-line authority, approval path and accountable interpretation embedded in the Core.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Accountability area</w:t>
            </w:r>
          </w:p>
        </w:tc>
        <w:tc>
          <w:tcPr>
            <w:tcW w:type="dxa" w:w="5040"/>
            <w:shd w:fill="1F4E79"/>
            <w:vAlign w:val="center"/>
            <w:tcMar>
              <w:top w:w="80" w:type="dxa"/>
              <w:start w:w="90" w:type="dxa"/>
              <w:bottom w:w="80" w:type="dxa"/>
              <w:end w:w="90" w:type="dxa"/>
            </w:tcMar>
          </w:tcPr>
          <w:p>
            <w:r>
              <w:rPr>
                <w:b/>
                <w:color w:val="FFFFFF"/>
              </w:rPr>
              <w:t>Primary owner</w:t>
            </w:r>
          </w:p>
        </w:tc>
      </w:tr>
      <w:tr>
        <w:tc>
          <w:tcPr>
            <w:tcW w:type="dxa" w:w="5040"/>
            <w:vAlign w:val="top"/>
            <w:tcMar>
              <w:top w:w="80" w:type="dxa"/>
              <w:start w:w="90" w:type="dxa"/>
              <w:bottom w:w="80" w:type="dxa"/>
              <w:end w:w="90" w:type="dxa"/>
            </w:tcMar>
          </w:tcPr>
          <w:p>
            <w:r>
              <w:t>Layer 1 risk methodology and risk-triage policy interpretation</w:t>
            </w:r>
          </w:p>
        </w:tc>
        <w:tc>
          <w:tcPr>
            <w:tcW w:type="dxa" w:w="5040"/>
            <w:vAlign w:val="top"/>
            <w:tcMar>
              <w:top w:w="80" w:type="dxa"/>
              <w:start w:w="90" w:type="dxa"/>
              <w:bottom w:w="80" w:type="dxa"/>
              <w:end w:w="90" w:type="dxa"/>
            </w:tcMar>
          </w:tcPr>
          <w:p>
            <w:r>
              <w:t>AI Risk Oversight</w:t>
            </w:r>
          </w:p>
        </w:tc>
      </w:tr>
      <w:tr>
        <w:tc>
          <w:tcPr>
            <w:tcW w:type="dxa" w:w="5040"/>
            <w:vAlign w:val="top"/>
            <w:tcMar>
              <w:top w:w="80" w:type="dxa"/>
              <w:start w:w="90" w:type="dxa"/>
              <w:bottom w:w="80" w:type="dxa"/>
              <w:end w:w="90" w:type="dxa"/>
            </w:tcMar>
            <w:shd w:fill="F5F8FA"/>
          </w:tcPr>
          <w:p>
            <w:r>
              <w:t>Layer 2 independent-validation methodology and final validation judgement</w:t>
            </w:r>
          </w:p>
        </w:tc>
        <w:tc>
          <w:tcPr>
            <w:tcW w:type="dxa" w:w="5040"/>
            <w:vAlign w:val="top"/>
            <w:tcMar>
              <w:top w:w="80" w:type="dxa"/>
              <w:start w:w="90" w:type="dxa"/>
              <w:bottom w:w="80" w:type="dxa"/>
              <w:end w:w="90" w:type="dxa"/>
            </w:tcMar>
            <w:shd w:fill="F5F8FA"/>
          </w:tcPr>
          <w:p>
            <w:r>
              <w:t>AI Independent Validation</w:t>
            </w:r>
          </w:p>
        </w:tc>
      </w:tr>
      <w:tr>
        <w:tc>
          <w:tcPr>
            <w:tcW w:type="dxa" w:w="5040"/>
            <w:vAlign w:val="top"/>
            <w:tcMar>
              <w:top w:w="80" w:type="dxa"/>
              <w:start w:w="90" w:type="dxa"/>
              <w:bottom w:w="80" w:type="dxa"/>
              <w:end w:w="90" w:type="dxa"/>
            </w:tcMar>
          </w:tcPr>
          <w:p>
            <w:r>
              <w:t>Technical architecture, implementation, controlled releases and calibration tooling</w:t>
            </w:r>
          </w:p>
        </w:tc>
        <w:tc>
          <w:tcPr>
            <w:tcW w:type="dxa" w:w="5040"/>
            <w:vAlign w:val="top"/>
            <w:tcMar>
              <w:top w:w="80" w:type="dxa"/>
              <w:start w:w="90" w:type="dxa"/>
              <w:bottom w:w="80" w:type="dxa"/>
              <w:end w:w="90" w:type="dxa"/>
            </w:tcMar>
          </w:tcPr>
          <w:p>
            <w:r>
              <w:t>AI Tech &amp; Tooling</w:t>
            </w:r>
          </w:p>
        </w:tc>
      </w:tr>
      <w:tr>
        <w:tc>
          <w:tcPr>
            <w:tcW w:type="dxa" w:w="5040"/>
            <w:vAlign w:val="top"/>
            <w:tcMar>
              <w:top w:w="80" w:type="dxa"/>
              <w:start w:w="90" w:type="dxa"/>
              <w:bottom w:w="80" w:type="dxa"/>
              <w:end w:w="90" w:type="dxa"/>
            </w:tcMar>
            <w:shd w:fill="F5F8FA"/>
          </w:tcPr>
          <w:p>
            <w:r>
              <w:t>Approval of material methodology changes</w:t>
            </w:r>
          </w:p>
        </w:tc>
        <w:tc>
          <w:tcPr>
            <w:tcW w:type="dxa" w:w="5040"/>
            <w:vAlign w:val="top"/>
            <w:tcMar>
              <w:top w:w="80" w:type="dxa"/>
              <w:start w:w="90" w:type="dxa"/>
              <w:bottom w:w="80" w:type="dxa"/>
              <w:end w:w="90" w:type="dxa"/>
            </w:tcMar>
            <w:shd w:fill="F5F8FA"/>
          </w:tcPr>
          <w:p>
            <w:r>
              <w:t>Relevant MRO governance authority</w:t>
            </w:r>
          </w:p>
        </w:tc>
      </w:tr>
      <w:tr>
        <w:tc>
          <w:tcPr>
            <w:tcW w:type="dxa" w:w="5040"/>
            <w:vAlign w:val="top"/>
            <w:tcMar>
              <w:top w:w="80" w:type="dxa"/>
              <w:start w:w="90" w:type="dxa"/>
              <w:bottom w:w="80" w:type="dxa"/>
              <w:end w:w="90" w:type="dxa"/>
            </w:tcMar>
          </w:tcPr>
          <w:p>
            <w:r>
              <w:t>Infrastructure, runtime and enterprise deployment where applicable</w:t>
            </w:r>
          </w:p>
        </w:tc>
        <w:tc>
          <w:tcPr>
            <w:tcW w:type="dxa" w:w="5040"/>
            <w:vAlign w:val="top"/>
            <w:tcMar>
              <w:top w:w="80" w:type="dxa"/>
              <w:start w:w="90" w:type="dxa"/>
              <w:bottom w:w="80" w:type="dxa"/>
              <w:end w:w="90" w:type="dxa"/>
            </w:tcMar>
          </w:tcPr>
          <w:p>
            <w:r>
              <w:t>Platform or infrastructure team</w:t>
            </w:r>
          </w:p>
        </w:tc>
      </w:tr>
    </w:tbl>
    <w:p/>
    <w:p>
      <w:r>
        <w:t>Other teams may support generic frameworks, user interfaces, infrastructure, document parsing and general evaluation engines. They must not independently define materiality logic, risk-tier thresholds, validation coverage, finding severity, acceptable performance, policy interpretation or final MRO risk conclusions.</w:t>
      </w:r>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1F4E79"/>
                <w:sz w:val="22"/>
              </w:rPr>
              <w:t>Organisational moat</w:t>
              <w:br/>
            </w:r>
            <w:r>
              <w:t>Other teams may reproduce functionality, but they cannot reproduce MRO authority, accountable ownership and approved decision rights.</w:t>
            </w:r>
          </w:p>
        </w:tc>
      </w:tr>
    </w:tbl>
    <w:p>
      <w:pPr>
        <w:spacing w:after="0"/>
      </w:pPr>
    </w:p>
    <w:p>
      <w:pPr>
        <w:pStyle w:val="Heading2"/>
      </w:pPr>
      <w:r>
        <w:t>3.2 Historical Decision and Data Moat</w:t>
      </w:r>
    </w:p>
    <w:p>
      <w:r>
        <w:t>The most valuable long-term asset is not a prompt library. It is a structured corpus of reviewed MRO risk decisions, evidence, overrides, validation outcomes, findings and subsequent performance. This corpus becomes more valuable with each completed case and cannot be reproduced simply by copying source code.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Case information to capture</w:t>
            </w:r>
          </w:p>
        </w:tc>
        <w:tc>
          <w:tcPr>
            <w:tcW w:type="dxa" w:w="5040"/>
            <w:shd w:fill="1F4E79"/>
            <w:vAlign w:val="center"/>
            <w:tcMar>
              <w:top w:w="80" w:type="dxa"/>
              <w:start w:w="90" w:type="dxa"/>
              <w:bottom w:w="80" w:type="dxa"/>
              <w:end w:w="90" w:type="dxa"/>
            </w:tcMar>
          </w:tcPr>
          <w:p>
            <w:r>
              <w:rPr>
                <w:b/>
                <w:color w:val="FFFFFF"/>
              </w:rPr>
              <w:t>Purpose</w:t>
            </w:r>
          </w:p>
        </w:tc>
      </w:tr>
      <w:tr>
        <w:tc>
          <w:tcPr>
            <w:tcW w:type="dxa" w:w="5040"/>
            <w:vAlign w:val="top"/>
            <w:tcMar>
              <w:top w:w="80" w:type="dxa"/>
              <w:start w:w="90" w:type="dxa"/>
              <w:bottom w:w="80" w:type="dxa"/>
              <w:end w:w="90" w:type="dxa"/>
            </w:tcMar>
          </w:tcPr>
          <w:p>
            <w:r>
              <w:t>Use-case and model characteristics</w:t>
            </w:r>
          </w:p>
        </w:tc>
        <w:tc>
          <w:tcPr>
            <w:tcW w:type="dxa" w:w="5040"/>
            <w:vAlign w:val="top"/>
            <w:tcMar>
              <w:top w:w="80" w:type="dxa"/>
              <w:start w:w="90" w:type="dxa"/>
              <w:bottom w:w="80" w:type="dxa"/>
              <w:end w:w="90" w:type="dxa"/>
            </w:tcMar>
          </w:tcPr>
          <w:p>
            <w:r>
              <w:t>Supports segmentation and comparison</w:t>
            </w:r>
          </w:p>
        </w:tc>
      </w:tr>
      <w:tr>
        <w:tc>
          <w:tcPr>
            <w:tcW w:type="dxa" w:w="5040"/>
            <w:vAlign w:val="top"/>
            <w:tcMar>
              <w:top w:w="80" w:type="dxa"/>
              <w:start w:w="90" w:type="dxa"/>
              <w:bottom w:w="80" w:type="dxa"/>
              <w:end w:w="90" w:type="dxa"/>
            </w:tcMar>
            <w:shd w:fill="F5F8FA"/>
          </w:tcPr>
          <w:p>
            <w:r>
              <w:t>Initial risk assessment and supporting evidence</w:t>
            </w:r>
          </w:p>
        </w:tc>
        <w:tc>
          <w:tcPr>
            <w:tcW w:type="dxa" w:w="5040"/>
            <w:vAlign w:val="top"/>
            <w:tcMar>
              <w:top w:w="80" w:type="dxa"/>
              <w:start w:w="90" w:type="dxa"/>
              <w:bottom w:w="80" w:type="dxa"/>
              <w:end w:w="90" w:type="dxa"/>
            </w:tcMar>
            <w:shd w:fill="F5F8FA"/>
          </w:tcPr>
          <w:p>
            <w:r>
              <w:t>Preserves the original basis for the assessment</w:t>
            </w:r>
          </w:p>
        </w:tc>
      </w:tr>
      <w:tr>
        <w:tc>
          <w:tcPr>
            <w:tcW w:type="dxa" w:w="5040"/>
            <w:vAlign w:val="top"/>
            <w:tcMar>
              <w:top w:w="80" w:type="dxa"/>
              <w:start w:w="90" w:type="dxa"/>
              <w:bottom w:w="80" w:type="dxa"/>
              <w:end w:w="90" w:type="dxa"/>
            </w:tcMar>
          </w:tcPr>
          <w:p>
            <w:r>
              <w:t>System recommendation and confidence</w:t>
            </w:r>
          </w:p>
        </w:tc>
        <w:tc>
          <w:tcPr>
            <w:tcW w:type="dxa" w:w="5040"/>
            <w:vAlign w:val="top"/>
            <w:tcMar>
              <w:top w:w="80" w:type="dxa"/>
              <w:start w:w="90" w:type="dxa"/>
              <w:bottom w:w="80" w:type="dxa"/>
              <w:end w:w="90" w:type="dxa"/>
            </w:tcMar>
          </w:tcPr>
          <w:p>
            <w:r>
              <w:t>Enables performance measurement</w:t>
            </w:r>
          </w:p>
        </w:tc>
      </w:tr>
      <w:tr>
        <w:tc>
          <w:tcPr>
            <w:tcW w:type="dxa" w:w="5040"/>
            <w:vAlign w:val="top"/>
            <w:tcMar>
              <w:top w:w="80" w:type="dxa"/>
              <w:start w:w="90" w:type="dxa"/>
              <w:bottom w:w="80" w:type="dxa"/>
              <w:end w:w="90" w:type="dxa"/>
            </w:tcMar>
            <w:shd w:fill="F5F8FA"/>
          </w:tcPr>
          <w:p>
            <w:r>
              <w:t>Human decision, override reason and approver</w:t>
            </w:r>
          </w:p>
        </w:tc>
        <w:tc>
          <w:tcPr>
            <w:tcW w:type="dxa" w:w="5040"/>
            <w:vAlign w:val="top"/>
            <w:tcMar>
              <w:top w:w="80" w:type="dxa"/>
              <w:start w:w="90" w:type="dxa"/>
              <w:bottom w:w="80" w:type="dxa"/>
              <w:end w:w="90" w:type="dxa"/>
            </w:tcMar>
            <w:shd w:fill="F5F8FA"/>
          </w:tcPr>
          <w:p>
            <w:r>
              <w:t>Captures expert judgement and accountability</w:t>
            </w:r>
          </w:p>
        </w:tc>
      </w:tr>
      <w:tr>
        <w:tc>
          <w:tcPr>
            <w:tcW w:type="dxa" w:w="5040"/>
            <w:vAlign w:val="top"/>
            <w:tcMar>
              <w:top w:w="80" w:type="dxa"/>
              <w:start w:w="90" w:type="dxa"/>
              <w:bottom w:w="80" w:type="dxa"/>
              <w:end w:w="90" w:type="dxa"/>
            </w:tcMar>
          </w:tcPr>
          <w:p>
            <w:r>
              <w:t>Validation scope, tests and evaluation results</w:t>
            </w:r>
          </w:p>
        </w:tc>
        <w:tc>
          <w:tcPr>
            <w:tcW w:type="dxa" w:w="5040"/>
            <w:vAlign w:val="top"/>
            <w:tcMar>
              <w:top w:w="80" w:type="dxa"/>
              <w:start w:w="90" w:type="dxa"/>
              <w:bottom w:w="80" w:type="dxa"/>
              <w:end w:w="90" w:type="dxa"/>
            </w:tcMar>
          </w:tcPr>
          <w:p>
            <w:r>
              <w:t>Links risk hypotheses to independent testing</w:t>
            </w:r>
          </w:p>
        </w:tc>
      </w:tr>
      <w:tr>
        <w:tc>
          <w:tcPr>
            <w:tcW w:type="dxa" w:w="5040"/>
            <w:vAlign w:val="top"/>
            <w:tcMar>
              <w:top w:w="80" w:type="dxa"/>
              <w:start w:w="90" w:type="dxa"/>
              <w:bottom w:w="80" w:type="dxa"/>
              <w:end w:w="90" w:type="dxa"/>
            </w:tcMar>
            <w:shd w:fill="F5F8FA"/>
          </w:tcPr>
          <w:p>
            <w:r>
              <w:t>Findings, severity and final conclusions</w:t>
            </w:r>
          </w:p>
        </w:tc>
        <w:tc>
          <w:tcPr>
            <w:tcW w:type="dxa" w:w="5040"/>
            <w:vAlign w:val="top"/>
            <w:tcMar>
              <w:top w:w="80" w:type="dxa"/>
              <w:start w:w="90" w:type="dxa"/>
              <w:bottom w:w="80" w:type="dxa"/>
              <w:end w:w="90" w:type="dxa"/>
            </w:tcMar>
            <w:shd w:fill="F5F8FA"/>
          </w:tcPr>
          <w:p>
            <w:r>
              <w:t>Creates precedents and outcome intelligence</w:t>
            </w:r>
          </w:p>
        </w:tc>
      </w:tr>
      <w:tr>
        <w:tc>
          <w:tcPr>
            <w:tcW w:type="dxa" w:w="5040"/>
            <w:vAlign w:val="top"/>
            <w:tcMar>
              <w:top w:w="80" w:type="dxa"/>
              <w:start w:w="90" w:type="dxa"/>
              <w:bottom w:w="80" w:type="dxa"/>
              <w:end w:w="90" w:type="dxa"/>
            </w:tcMar>
          </w:tcPr>
          <w:p>
            <w:r>
              <w:t>Post-validation performance, incidents and changes</w:t>
            </w:r>
          </w:p>
        </w:tc>
        <w:tc>
          <w:tcPr>
            <w:tcW w:type="dxa" w:w="5040"/>
            <w:vAlign w:val="top"/>
            <w:tcMar>
              <w:top w:w="80" w:type="dxa"/>
              <w:start w:w="90" w:type="dxa"/>
              <w:bottom w:w="80" w:type="dxa"/>
              <w:end w:w="90" w:type="dxa"/>
            </w:tcMar>
          </w:tcPr>
          <w:p>
            <w:r>
              <w:t>Tests whether earlier decisions were effective</w:t>
            </w:r>
          </w:p>
        </w:tc>
      </w:tr>
    </w:tbl>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1F4E79"/>
                <w:sz w:val="22"/>
              </w:rPr>
              <w:t>Target asset</w:t>
              <w:br/>
            </w:r>
            <w:r>
              <w:t>MRO AI Risk Decision &amp; Validation Corpus: a structured, quality-controlled and access-controlled body of decisions and evidence—not merely a document library.</w:t>
            </w:r>
          </w:p>
        </w:tc>
      </w:tr>
    </w:tbl>
    <w:p>
      <w:pPr>
        <w:spacing w:after="0"/>
      </w:pPr>
    </w:p>
    <w:p>
      <w:pPr>
        <w:pStyle w:val="Heading2"/>
      </w:pPr>
      <w:r>
        <w:t>3.3 Calibration and Credibility Moat</w:t>
      </w:r>
    </w:p>
    <w:p>
      <w:r>
        <w:t>Many teams can create a risk-classification agent or an LLM judge. The defensible capability is the evidence that shows when the system is reliable, when it fails, why thresholds are appropriate, how performance varies by domain and whether a new release remains aligned with experts.</w:t>
      </w:r>
    </w:p>
    <w:tbl>
      <w:tblPr>
        <w:tblStyle w:val="TableGrid"/>
        <w:tblW w:type="auto" w:w="0"/>
        <w:jc w:val="center"/>
        <w:tblLook w:firstColumn="1" w:firstRow="1" w:lastColumn="0" w:lastRow="0" w:noHBand="0" w:noVBand="1" w:val="04A0"/>
      </w:tblPr>
      <w:tblGrid>
        <w:gridCol w:w="10080"/>
      </w:tblGrid>
      <w:tr>
        <w:tc>
          <w:tcPr>
            <w:tcW w:type="dxa" w:w="10080"/>
            <w:shd w:fill="F3F4F6"/>
            <w:tcMar>
              <w:top w:w="120" w:type="dxa"/>
              <w:start w:w="160" w:type="dxa"/>
              <w:bottom w:w="120" w:type="dxa"/>
              <w:end w:w="160" w:type="dxa"/>
            </w:tcMar>
          </w:tcPr>
          <w:p>
            <w:r>
              <w:rPr>
                <w:rFonts w:ascii="Consolas" w:hAnsi="Consolas"/>
                <w:sz w:val="17"/>
              </w:rPr>
              <w:t>Expert benchmark set</w:t>
              <w:br/>
              <w:t xml:space="preserve">        ↓</w:t>
              <w:br/>
              <w:t>System-generated assessment</w:t>
              <w:br/>
              <w:t xml:space="preserve">        ↓</w:t>
              <w:br/>
              <w:t>Human comparison</w:t>
              <w:br/>
              <w:t xml:space="preserve">        ↓</w:t>
              <w:br/>
              <w:t>Disagreement analysis</w:t>
              <w:br/>
              <w:t xml:space="preserve">        ↓</w:t>
              <w:br/>
              <w:t>Rule, prompt, threshold or rubric adjustment</w:t>
              <w:br/>
              <w:t xml:space="preserve">        ↓</w:t>
              <w:br/>
              <w:t>Independent approval</w:t>
              <w:br/>
              <w:t xml:space="preserve">        ↓</w:t>
              <w:br/>
              <w:t>Versioned release and monitoring</w:t>
            </w:r>
          </w:p>
        </w:tc>
      </w:tr>
    </w:tbl>
    <w:p/>
    <w:p>
      <w:pPr>
        <w:pStyle w:val="Heading2"/>
      </w:pPr>
      <w:r>
        <w:t>3.4 Methodology and Domain-Skill Moat</w:t>
      </w:r>
    </w:p>
    <w:p>
      <w:r>
        <w:t>Expert judgement that currently sits in experienced validators and oversight specialists must be converted into maintained domain skills. These assets capture applicability, risk hypotheses, evidence requirements, test scenarios, metrics, failure modes, decision rules, escalation triggers, examples and limitations.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Domain skill content</w:t>
            </w:r>
          </w:p>
        </w:tc>
        <w:tc>
          <w:tcPr>
            <w:tcW w:type="dxa" w:w="5040"/>
            <w:shd w:fill="1F4E79"/>
            <w:vAlign w:val="center"/>
            <w:tcMar>
              <w:top w:w="80" w:type="dxa"/>
              <w:start w:w="90" w:type="dxa"/>
              <w:bottom w:w="80" w:type="dxa"/>
              <w:end w:w="90" w:type="dxa"/>
            </w:tcMar>
          </w:tcPr>
          <w:p>
            <w:r>
              <w:rPr>
                <w:b/>
                <w:color w:val="FFFFFF"/>
              </w:rPr>
              <w:t>Minimum requirement</w:t>
            </w:r>
          </w:p>
        </w:tc>
      </w:tr>
      <w:tr>
        <w:tc>
          <w:tcPr>
            <w:tcW w:type="dxa" w:w="5040"/>
            <w:vAlign w:val="top"/>
            <w:tcMar>
              <w:top w:w="80" w:type="dxa"/>
              <w:start w:w="90" w:type="dxa"/>
              <w:bottom w:w="80" w:type="dxa"/>
              <w:end w:w="90" w:type="dxa"/>
            </w:tcMar>
          </w:tcPr>
          <w:p>
            <w:r>
              <w:t>Scope</w:t>
            </w:r>
          </w:p>
        </w:tc>
        <w:tc>
          <w:tcPr>
            <w:tcW w:type="dxa" w:w="5040"/>
            <w:vAlign w:val="top"/>
            <w:tcMar>
              <w:top w:w="80" w:type="dxa"/>
              <w:start w:w="90" w:type="dxa"/>
              <w:bottom w:w="80" w:type="dxa"/>
              <w:end w:w="90" w:type="dxa"/>
            </w:tcMar>
          </w:tcPr>
          <w:p>
            <w:r>
              <w:t>Models, use cases and circumstances to which the skill applies</w:t>
            </w:r>
          </w:p>
        </w:tc>
      </w:tr>
      <w:tr>
        <w:tc>
          <w:tcPr>
            <w:tcW w:type="dxa" w:w="5040"/>
            <w:vAlign w:val="top"/>
            <w:tcMar>
              <w:top w:w="80" w:type="dxa"/>
              <w:start w:w="90" w:type="dxa"/>
              <w:bottom w:w="80" w:type="dxa"/>
              <w:end w:w="90" w:type="dxa"/>
            </w:tcMar>
            <w:shd w:fill="F5F8FA"/>
          </w:tcPr>
          <w:p>
            <w:r>
              <w:t>Risk hypotheses</w:t>
            </w:r>
          </w:p>
        </w:tc>
        <w:tc>
          <w:tcPr>
            <w:tcW w:type="dxa" w:w="5040"/>
            <w:vAlign w:val="top"/>
            <w:tcMar>
              <w:top w:w="80" w:type="dxa"/>
              <w:start w:w="90" w:type="dxa"/>
              <w:bottom w:w="80" w:type="dxa"/>
              <w:end w:w="90" w:type="dxa"/>
            </w:tcMar>
            <w:shd w:fill="F5F8FA"/>
          </w:tcPr>
          <w:p>
            <w:r>
              <w:t>Specific failure mechanisms and harms to assess</w:t>
            </w:r>
          </w:p>
        </w:tc>
      </w:tr>
      <w:tr>
        <w:tc>
          <w:tcPr>
            <w:tcW w:type="dxa" w:w="5040"/>
            <w:vAlign w:val="top"/>
            <w:tcMar>
              <w:top w:w="80" w:type="dxa"/>
              <w:start w:w="90" w:type="dxa"/>
              <w:bottom w:w="80" w:type="dxa"/>
              <w:end w:w="90" w:type="dxa"/>
            </w:tcMar>
          </w:tcPr>
          <w:p>
            <w:r>
              <w:t>Required evidence</w:t>
            </w:r>
          </w:p>
        </w:tc>
        <w:tc>
          <w:tcPr>
            <w:tcW w:type="dxa" w:w="5040"/>
            <w:vAlign w:val="top"/>
            <w:tcMar>
              <w:top w:w="80" w:type="dxa"/>
              <w:start w:w="90" w:type="dxa"/>
              <w:bottom w:w="80" w:type="dxa"/>
              <w:end w:w="90" w:type="dxa"/>
            </w:tcMar>
          </w:tcPr>
          <w:p>
            <w:r>
              <w:t>Documentation, data and trace evidence needed</w:t>
            </w:r>
          </w:p>
        </w:tc>
      </w:tr>
      <w:tr>
        <w:tc>
          <w:tcPr>
            <w:tcW w:type="dxa" w:w="5040"/>
            <w:vAlign w:val="top"/>
            <w:tcMar>
              <w:top w:w="80" w:type="dxa"/>
              <w:start w:w="90" w:type="dxa"/>
              <w:bottom w:w="80" w:type="dxa"/>
              <w:end w:w="90" w:type="dxa"/>
            </w:tcMar>
            <w:shd w:fill="F5F8FA"/>
          </w:tcPr>
          <w:p>
            <w:r>
              <w:t>Test scenarios</w:t>
            </w:r>
          </w:p>
        </w:tc>
        <w:tc>
          <w:tcPr>
            <w:tcW w:type="dxa" w:w="5040"/>
            <w:vAlign w:val="top"/>
            <w:tcMar>
              <w:top w:w="80" w:type="dxa"/>
              <w:start w:w="90" w:type="dxa"/>
              <w:bottom w:w="80" w:type="dxa"/>
              <w:end w:w="90" w:type="dxa"/>
            </w:tcMar>
            <w:shd w:fill="F5F8FA"/>
          </w:tcPr>
          <w:p>
            <w:r>
              <w:t>Positive, negative, boundary and adversarial scenarios</w:t>
            </w:r>
          </w:p>
        </w:tc>
      </w:tr>
      <w:tr>
        <w:tc>
          <w:tcPr>
            <w:tcW w:type="dxa" w:w="5040"/>
            <w:vAlign w:val="top"/>
            <w:tcMar>
              <w:top w:w="80" w:type="dxa"/>
              <w:start w:w="90" w:type="dxa"/>
              <w:bottom w:w="80" w:type="dxa"/>
              <w:end w:w="90" w:type="dxa"/>
            </w:tcMar>
          </w:tcPr>
          <w:p>
            <w:r>
              <w:t>Evaluation metrics</w:t>
            </w:r>
          </w:p>
        </w:tc>
        <w:tc>
          <w:tcPr>
            <w:tcW w:type="dxa" w:w="5040"/>
            <w:vAlign w:val="top"/>
            <w:tcMar>
              <w:top w:w="80" w:type="dxa"/>
              <w:start w:w="90" w:type="dxa"/>
              <w:bottom w:w="80" w:type="dxa"/>
              <w:end w:w="90" w:type="dxa"/>
            </w:tcMar>
          </w:tcPr>
          <w:p>
            <w:r>
              <w:t>Metrics, rubrics, thresholds and interpretation guidance</w:t>
            </w:r>
          </w:p>
        </w:tc>
      </w:tr>
      <w:tr>
        <w:tc>
          <w:tcPr>
            <w:tcW w:type="dxa" w:w="5040"/>
            <w:vAlign w:val="top"/>
            <w:tcMar>
              <w:top w:w="80" w:type="dxa"/>
              <w:start w:w="90" w:type="dxa"/>
              <w:bottom w:w="80" w:type="dxa"/>
              <w:end w:w="90" w:type="dxa"/>
            </w:tcMar>
            <w:shd w:fill="F5F8FA"/>
          </w:tcPr>
          <w:p>
            <w:r>
              <w:t>Decision rules</w:t>
            </w:r>
          </w:p>
        </w:tc>
        <w:tc>
          <w:tcPr>
            <w:tcW w:type="dxa" w:w="5040"/>
            <w:vAlign w:val="top"/>
            <w:tcMar>
              <w:top w:w="80" w:type="dxa"/>
              <w:start w:w="90" w:type="dxa"/>
              <w:bottom w:w="80" w:type="dxa"/>
              <w:end w:w="90" w:type="dxa"/>
            </w:tcMar>
            <w:shd w:fill="F5F8FA"/>
          </w:tcPr>
          <w:p>
            <w:r>
              <w:t>How evidence and results influence scope, findings and conclusions</w:t>
            </w:r>
          </w:p>
        </w:tc>
      </w:tr>
      <w:tr>
        <w:tc>
          <w:tcPr>
            <w:tcW w:type="dxa" w:w="5040"/>
            <w:vAlign w:val="top"/>
            <w:tcMar>
              <w:top w:w="80" w:type="dxa"/>
              <w:start w:w="90" w:type="dxa"/>
              <w:bottom w:w="80" w:type="dxa"/>
              <w:end w:w="90" w:type="dxa"/>
            </w:tcMar>
          </w:tcPr>
          <w:p>
            <w:r>
              <w:t>Escalation triggers</w:t>
            </w:r>
          </w:p>
        </w:tc>
        <w:tc>
          <w:tcPr>
            <w:tcW w:type="dxa" w:w="5040"/>
            <w:vAlign w:val="top"/>
            <w:tcMar>
              <w:top w:w="80" w:type="dxa"/>
              <w:start w:w="90" w:type="dxa"/>
              <w:bottom w:w="80" w:type="dxa"/>
              <w:end w:w="90" w:type="dxa"/>
            </w:tcMar>
          </w:tcPr>
          <w:p>
            <w:r>
              <w:t>Conditions requiring enhanced review or governance escalation</w:t>
            </w:r>
          </w:p>
        </w:tc>
      </w:tr>
      <w:tr>
        <w:tc>
          <w:tcPr>
            <w:tcW w:type="dxa" w:w="5040"/>
            <w:vAlign w:val="top"/>
            <w:tcMar>
              <w:top w:w="80" w:type="dxa"/>
              <w:start w:w="90" w:type="dxa"/>
              <w:bottom w:w="80" w:type="dxa"/>
              <w:end w:w="90" w:type="dxa"/>
            </w:tcMar>
            <w:shd w:fill="F5F8FA"/>
          </w:tcPr>
          <w:p>
            <w:r>
              <w:t>Examples and precedents</w:t>
            </w:r>
          </w:p>
        </w:tc>
        <w:tc>
          <w:tcPr>
            <w:tcW w:type="dxa" w:w="5040"/>
            <w:vAlign w:val="top"/>
            <w:tcMar>
              <w:top w:w="80" w:type="dxa"/>
              <w:start w:w="90" w:type="dxa"/>
              <w:bottom w:w="80" w:type="dxa"/>
              <w:end w:w="90" w:type="dxa"/>
            </w:tcMar>
            <w:shd w:fill="F5F8FA"/>
          </w:tcPr>
          <w:p>
            <w:r>
              <w:t>Approved examples and prior cases</w:t>
            </w:r>
          </w:p>
        </w:tc>
      </w:tr>
      <w:tr>
        <w:tc>
          <w:tcPr>
            <w:tcW w:type="dxa" w:w="5040"/>
            <w:vAlign w:val="top"/>
            <w:tcMar>
              <w:top w:w="80" w:type="dxa"/>
              <w:start w:w="90" w:type="dxa"/>
              <w:bottom w:w="80" w:type="dxa"/>
              <w:end w:w="90" w:type="dxa"/>
            </w:tcMar>
          </w:tcPr>
          <w:p>
            <w:r>
              <w:t>Known limitations</w:t>
            </w:r>
          </w:p>
        </w:tc>
        <w:tc>
          <w:tcPr>
            <w:tcW w:type="dxa" w:w="5040"/>
            <w:vAlign w:val="top"/>
            <w:tcMar>
              <w:top w:w="80" w:type="dxa"/>
              <w:start w:w="90" w:type="dxa"/>
              <w:bottom w:w="80" w:type="dxa"/>
              <w:end w:w="90" w:type="dxa"/>
            </w:tcMar>
          </w:tcPr>
          <w:p>
            <w:r>
              <w:t>Areas where the skill is unreliable or incomplete</w:t>
            </w:r>
          </w:p>
        </w:tc>
      </w:tr>
      <w:tr>
        <w:tc>
          <w:tcPr>
            <w:tcW w:type="dxa" w:w="5040"/>
            <w:vAlign w:val="top"/>
            <w:tcMar>
              <w:top w:w="80" w:type="dxa"/>
              <w:start w:w="90" w:type="dxa"/>
              <w:bottom w:w="80" w:type="dxa"/>
              <w:end w:w="90" w:type="dxa"/>
            </w:tcMar>
            <w:shd w:fill="F5F8FA"/>
          </w:tcPr>
          <w:p>
            <w:r>
              <w:t>Ownership</w:t>
            </w:r>
          </w:p>
        </w:tc>
        <w:tc>
          <w:tcPr>
            <w:tcW w:type="dxa" w:w="5040"/>
            <w:vAlign w:val="top"/>
            <w:tcMar>
              <w:top w:w="80" w:type="dxa"/>
              <w:start w:w="90" w:type="dxa"/>
              <w:bottom w:w="80" w:type="dxa"/>
              <w:end w:w="90" w:type="dxa"/>
            </w:tcMar>
            <w:shd w:fill="F5F8FA"/>
          </w:tcPr>
          <w:p>
            <w:r>
              <w:t>Methodology owner, technical owner, SME reviewers and review date</w:t>
            </w:r>
          </w:p>
        </w:tc>
      </w:tr>
    </w:tbl>
    <w:p/>
    <w:p>
      <w:pPr>
        <w:pStyle w:val="Heading2"/>
      </w:pPr>
      <w:r>
        <w:t>3.5 Workflow and Integration Moat</w:t>
      </w:r>
    </w:p>
    <w:p>
      <w:r>
        <w:t>A standalone summarisation or evaluation tool is easy to replace. A system embedded across intake, triage, validation planning, testing, findings, reporting, approval, monitoring and revalidation becomes part of the MRO operating model. Its structured objects and decision lineage create genuine switching costs.</w:t>
      </w:r>
    </w:p>
    <w:tbl>
      <w:tblPr>
        <w:tblStyle w:val="TableGrid"/>
        <w:tblW w:type="auto" w:w="0"/>
        <w:jc w:val="center"/>
        <w:tblLook w:firstColumn="1" w:firstRow="1" w:lastColumn="0" w:lastRow="0" w:noHBand="0" w:noVBand="1" w:val="04A0"/>
      </w:tblPr>
      <w:tblGrid>
        <w:gridCol w:w="10080"/>
      </w:tblGrid>
      <w:tr>
        <w:tc>
          <w:tcPr>
            <w:tcW w:type="dxa" w:w="10080"/>
            <w:shd w:fill="F3F4F6"/>
            <w:tcMar>
              <w:top w:w="120" w:type="dxa"/>
              <w:start w:w="160" w:type="dxa"/>
              <w:bottom w:w="120" w:type="dxa"/>
              <w:end w:w="160" w:type="dxa"/>
            </w:tcMar>
          </w:tcPr>
          <w:p>
            <w:r>
              <w:rPr>
                <w:rFonts w:ascii="Consolas" w:hAnsi="Consolas"/>
                <w:sz w:val="17"/>
              </w:rPr>
              <w:t>Intake → Evidence Extraction → Risk Triage → Reviewer Challenge</w:t>
              <w:br/>
              <w:t xml:space="preserve">      → Risk-Team Engagement → Validation Planning → Scenario Design</w:t>
              <w:br/>
              <w:t xml:space="preserve">      → Evaluation → Findings → Report → Approval → Monitoring → Revalidation</w:t>
              <w:br/>
              <w:br/>
              <w:t>Layer 1 Risk Profile</w:t>
              <w:br/>
              <w:t xml:space="preserve">        ↓</w:t>
              <w:br/>
              <w:t>Layer 2 Validation Configuration</w:t>
              <w:br/>
              <w:t xml:space="preserve">        ↓</w:t>
              <w:br/>
              <w:t>Validation Findings and Conclusions</w:t>
              <w:br/>
              <w:t xml:space="preserve">        ↓</w:t>
              <w:br/>
              <w:t>Layer 3 Monitoring Plan and Revalidation Triggers</w:t>
            </w:r>
          </w:p>
        </w:tc>
      </w:tr>
    </w:tbl>
    <w:p/>
    <w:p>
      <w:pPr>
        <w:pStyle w:val="Heading2"/>
      </w:pPr>
      <w:r>
        <w:t>3.6 Human Judgement and Learning Moat</w:t>
      </w:r>
    </w:p>
    <w:p>
      <w:r>
        <w:t>The Core should record the relationship between system recommendations and human decisions. Disagreements, overrides and adjudications become calibration inputs, historical intelligence and methodology improvements, creating a compounding learning cycle.</w:t>
      </w:r>
    </w:p>
    <w:tbl>
      <w:tblPr>
        <w:tblStyle w:val="TableGrid"/>
        <w:tblW w:type="auto" w:w="0"/>
        <w:jc w:val="center"/>
        <w:tblLook w:firstColumn="1" w:firstRow="1" w:lastColumn="0" w:lastRow="0" w:noHBand="0" w:noVBand="1" w:val="04A0"/>
      </w:tblPr>
      <w:tblGrid>
        <w:gridCol w:w="10080"/>
      </w:tblGrid>
      <w:tr>
        <w:tc>
          <w:tcPr>
            <w:tcW w:type="dxa" w:w="10080"/>
            <w:shd w:fill="F3F4F6"/>
            <w:tcMar>
              <w:top w:w="120" w:type="dxa"/>
              <w:start w:w="160" w:type="dxa"/>
              <w:bottom w:w="120" w:type="dxa"/>
              <w:end w:w="160" w:type="dxa"/>
            </w:tcMar>
          </w:tcPr>
          <w:p>
            <w:r>
              <w:rPr>
                <w:rFonts w:ascii="Consolas" w:hAnsi="Consolas"/>
                <w:sz w:val="17"/>
              </w:rPr>
              <w:t>System recommendation</w:t>
              <w:br/>
              <w:t xml:space="preserve">        ↓</w:t>
              <w:br/>
              <w:t>Human review and challenge</w:t>
              <w:br/>
              <w:t xml:space="preserve">        ↓</w:t>
              <w:br/>
              <w:t>Decision and override captured</w:t>
              <w:br/>
              <w:t xml:space="preserve">        ↓</w:t>
              <w:br/>
              <w:t>Disagreement classified</w:t>
              <w:br/>
              <w:t xml:space="preserve">        ↓</w:t>
              <w:br/>
              <w:t>Calibration backlog and historical corpus</w:t>
              <w:br/>
              <w:t xml:space="preserve">        ↓</w:t>
              <w:br/>
              <w:t>Methodology improvement and approved release</w:t>
              <w:br/>
              <w:t xml:space="preserve">        ↓</w:t>
              <w:br/>
              <w:t>Better future recommendation</w:t>
            </w:r>
          </w:p>
        </w:tc>
      </w:tr>
    </w:tbl>
    <w:p/>
    <w:p>
      <w:pPr>
        <w:pStyle w:val="Heading1"/>
      </w:pPr>
      <w:r>
        <w:t>4. Four-Layer Moat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F4E79"/>
            <w:vAlign w:val="center"/>
            <w:tcMar>
              <w:top w:w="80" w:type="dxa"/>
              <w:start w:w="90" w:type="dxa"/>
              <w:bottom w:w="80" w:type="dxa"/>
              <w:end w:w="90" w:type="dxa"/>
            </w:tcMar>
          </w:tcPr>
          <w:p>
            <w:r>
              <w:rPr>
                <w:b/>
                <w:color w:val="FFFFFF"/>
              </w:rPr>
              <w:t>Layer</w:t>
            </w:r>
          </w:p>
        </w:tc>
        <w:tc>
          <w:tcPr>
            <w:tcW w:type="dxa" w:w="3888"/>
            <w:shd w:fill="1F4E79"/>
            <w:vAlign w:val="center"/>
            <w:tcMar>
              <w:top w:w="80" w:type="dxa"/>
              <w:start w:w="90" w:type="dxa"/>
              <w:bottom w:w="80" w:type="dxa"/>
              <w:end w:w="90" w:type="dxa"/>
            </w:tcMar>
          </w:tcPr>
          <w:p>
            <w:r>
              <w:rPr>
                <w:b/>
                <w:color w:val="FFFFFF"/>
              </w:rPr>
              <w:t>Purpose</w:t>
            </w:r>
          </w:p>
        </w:tc>
        <w:tc>
          <w:tcPr>
            <w:tcW w:type="dxa" w:w="4176"/>
            <w:shd w:fill="1F4E79"/>
            <w:vAlign w:val="center"/>
            <w:tcMar>
              <w:top w:w="80" w:type="dxa"/>
              <w:start w:w="90" w:type="dxa"/>
              <w:bottom w:w="80" w:type="dxa"/>
              <w:end w:w="90" w:type="dxa"/>
            </w:tcMar>
          </w:tcPr>
          <w:p>
            <w:r>
              <w:rPr>
                <w:b/>
                <w:color w:val="FFFFFF"/>
              </w:rPr>
              <w:t>Primary assets</w:t>
            </w:r>
          </w:p>
        </w:tc>
      </w:tr>
      <w:tr>
        <w:tc>
          <w:tcPr>
            <w:tcW w:type="dxa" w:w="2016"/>
            <w:vAlign w:val="top"/>
            <w:tcMar>
              <w:top w:w="80" w:type="dxa"/>
              <w:start w:w="90" w:type="dxa"/>
              <w:bottom w:w="80" w:type="dxa"/>
              <w:end w:w="90" w:type="dxa"/>
            </w:tcMar>
          </w:tcPr>
          <w:p>
            <w:r>
              <w:t>Layer A - MRO Authority and Governance</w:t>
            </w:r>
          </w:p>
        </w:tc>
        <w:tc>
          <w:tcPr>
            <w:tcW w:type="dxa" w:w="3888"/>
            <w:vAlign w:val="top"/>
            <w:tcMar>
              <w:top w:w="80" w:type="dxa"/>
              <w:start w:w="90" w:type="dxa"/>
              <w:bottom w:w="80" w:type="dxa"/>
              <w:end w:w="90" w:type="dxa"/>
            </w:tcMar>
          </w:tcPr>
          <w:p>
            <w:r>
              <w:t>Establish decision rights, approvals, accountability and policy ownership</w:t>
            </w:r>
          </w:p>
        </w:tc>
        <w:tc>
          <w:tcPr>
            <w:tcW w:type="dxa" w:w="4176"/>
            <w:vAlign w:val="top"/>
            <w:tcMar>
              <w:top w:w="80" w:type="dxa"/>
              <w:start w:w="90" w:type="dxa"/>
              <w:bottom w:w="80" w:type="dxa"/>
              <w:end w:w="90" w:type="dxa"/>
            </w:tcMar>
          </w:tcPr>
          <w:p>
            <w:r>
              <w:t>Mandates, approval authorities, methodology ownership, control standards and audit trail</w:t>
            </w:r>
          </w:p>
        </w:tc>
      </w:tr>
      <w:tr>
        <w:tc>
          <w:tcPr>
            <w:tcW w:type="dxa" w:w="2016"/>
            <w:vAlign w:val="top"/>
            <w:tcMar>
              <w:top w:w="80" w:type="dxa"/>
              <w:start w:w="90" w:type="dxa"/>
              <w:bottom w:w="80" w:type="dxa"/>
              <w:end w:w="90" w:type="dxa"/>
            </w:tcMar>
            <w:shd w:fill="F5F8FA"/>
          </w:tcPr>
          <w:p>
            <w:r>
              <w:t>Layer B - AI Risk Intelligence Core</w:t>
            </w:r>
          </w:p>
        </w:tc>
        <w:tc>
          <w:tcPr>
            <w:tcW w:type="dxa" w:w="3888"/>
            <w:vAlign w:val="top"/>
            <w:tcMar>
              <w:top w:w="80" w:type="dxa"/>
              <w:start w:w="90" w:type="dxa"/>
              <w:bottom w:w="80" w:type="dxa"/>
              <w:end w:w="90" w:type="dxa"/>
            </w:tcMar>
            <w:shd w:fill="F5F8FA"/>
          </w:tcPr>
          <w:p>
            <w:r>
              <w:t>Codify methodology, risk knowledge, domain skills, decision frameworks and calibration logic</w:t>
            </w:r>
          </w:p>
        </w:tc>
        <w:tc>
          <w:tcPr>
            <w:tcW w:type="dxa" w:w="4176"/>
            <w:vAlign w:val="top"/>
            <w:tcMar>
              <w:top w:w="80" w:type="dxa"/>
              <w:start w:w="90" w:type="dxa"/>
              <w:bottom w:w="80" w:type="dxa"/>
              <w:end w:w="90" w:type="dxa"/>
            </w:tcMar>
            <w:shd w:fill="F5F8FA"/>
          </w:tcPr>
          <w:p>
            <w:r>
              <w:t>Versioned code, rules, rubrics, schemas, controlled prompts, methods and release gates</w:t>
            </w:r>
          </w:p>
        </w:tc>
      </w:tr>
      <w:tr>
        <w:tc>
          <w:tcPr>
            <w:tcW w:type="dxa" w:w="2016"/>
            <w:vAlign w:val="top"/>
            <w:tcMar>
              <w:top w:w="80" w:type="dxa"/>
              <w:start w:w="90" w:type="dxa"/>
              <w:bottom w:w="80" w:type="dxa"/>
              <w:end w:w="90" w:type="dxa"/>
            </w:tcMar>
          </w:tcPr>
          <w:p>
            <w:r>
              <w:t>Layer C - Intelligence Assets</w:t>
            </w:r>
          </w:p>
        </w:tc>
        <w:tc>
          <w:tcPr>
            <w:tcW w:type="dxa" w:w="3888"/>
            <w:vAlign w:val="top"/>
            <w:tcMar>
              <w:top w:w="80" w:type="dxa"/>
              <w:start w:w="90" w:type="dxa"/>
              <w:bottom w:w="80" w:type="dxa"/>
              <w:end w:w="90" w:type="dxa"/>
            </w:tcMar>
          </w:tcPr>
          <w:p>
            <w:r>
              <w:t>Store unique evidence and learning accumulated from MRO activities</w:t>
            </w:r>
          </w:p>
        </w:tc>
        <w:tc>
          <w:tcPr>
            <w:tcW w:type="dxa" w:w="4176"/>
            <w:vAlign w:val="top"/>
            <w:tcMar>
              <w:top w:w="80" w:type="dxa"/>
              <w:start w:w="90" w:type="dxa"/>
              <w:bottom w:w="80" w:type="dxa"/>
              <w:end w:w="90" w:type="dxa"/>
            </w:tcMar>
          </w:tcPr>
          <w:p>
            <w:r>
              <w:t>Historical cases, benchmarks, overrides, evaluation datasets, findings, incidents and calibration results</w:t>
            </w:r>
          </w:p>
        </w:tc>
      </w:tr>
      <w:tr>
        <w:tc>
          <w:tcPr>
            <w:tcW w:type="dxa" w:w="2016"/>
            <w:vAlign w:val="top"/>
            <w:tcMar>
              <w:top w:w="80" w:type="dxa"/>
              <w:start w:w="90" w:type="dxa"/>
              <w:bottom w:w="80" w:type="dxa"/>
              <w:end w:w="90" w:type="dxa"/>
            </w:tcMar>
            <w:shd w:fill="F5F8FA"/>
          </w:tcPr>
          <w:p>
            <w:r>
              <w:t>Layer D - MRO AI Risk Oversight Platform</w:t>
            </w:r>
          </w:p>
        </w:tc>
        <w:tc>
          <w:tcPr>
            <w:tcW w:type="dxa" w:w="3888"/>
            <w:vAlign w:val="top"/>
            <w:tcMar>
              <w:top w:w="80" w:type="dxa"/>
              <w:start w:w="90" w:type="dxa"/>
              <w:bottom w:w="80" w:type="dxa"/>
              <w:end w:w="90" w:type="dxa"/>
            </w:tcMar>
            <w:shd w:fill="F5F8FA"/>
          </w:tcPr>
          <w:p>
            <w:r>
              <w:t>Operationalise the intelligence across the end-to-end workflow</w:t>
            </w:r>
          </w:p>
        </w:tc>
        <w:tc>
          <w:tcPr>
            <w:tcW w:type="dxa" w:w="4176"/>
            <w:vAlign w:val="top"/>
            <w:tcMar>
              <w:top w:w="80" w:type="dxa"/>
              <w:start w:w="90" w:type="dxa"/>
              <w:bottom w:w="80" w:type="dxa"/>
              <w:end w:w="90" w:type="dxa"/>
            </w:tcMar>
            <w:shd w:fill="F5F8FA"/>
          </w:tcPr>
          <w:p>
            <w:r>
              <w:t>Layer 1, Layer 2, Layer 3, reports, approvals, dashboards and integrations</w:t>
            </w:r>
          </w:p>
        </w:tc>
      </w:tr>
    </w:tbl>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1F4E79"/>
                <w:sz w:val="22"/>
              </w:rPr>
              <w:t>Key dependency</w:t>
              <w:br/>
            </w:r>
            <w:r>
              <w:t>The repository primarily implements Layer B. It becomes a moat only when it operates with the authority of Layer A, the unique intelligence of Layer C and the embedded workflow of Layer D.</w:t>
            </w:r>
          </w:p>
        </w:tc>
      </w:tr>
    </w:tbl>
    <w:p>
      <w:pPr>
        <w:spacing w:after="0"/>
      </w:pPr>
    </w:p>
    <w:p>
      <w:pPr>
        <w:pStyle w:val="Heading1"/>
      </w:pPr>
      <w:r>
        <w:t>5. Repository and Asset Architecture</w:t>
      </w:r>
    </w:p>
    <w:p>
      <w:pPr>
        <w:pStyle w:val="Heading2"/>
      </w:pPr>
      <w:r>
        <w:t>5.1 Recommended repository structure</w:t>
      </w:r>
    </w:p>
    <w:tbl>
      <w:tblPr>
        <w:tblStyle w:val="TableGrid"/>
        <w:tblW w:type="auto" w:w="0"/>
        <w:jc w:val="center"/>
        <w:tblLook w:firstColumn="1" w:firstRow="1" w:lastColumn="0" w:lastRow="0" w:noHBand="0" w:noVBand="1" w:val="04A0"/>
      </w:tblPr>
      <w:tblGrid>
        <w:gridCol w:w="10080"/>
      </w:tblGrid>
      <w:tr>
        <w:tc>
          <w:tcPr>
            <w:tcW w:type="dxa" w:w="10080"/>
            <w:shd w:fill="F3F4F6"/>
            <w:tcMar>
              <w:top w:w="120" w:type="dxa"/>
              <w:start w:w="160" w:type="dxa"/>
              <w:bottom w:w="120" w:type="dxa"/>
              <w:end w:w="160" w:type="dxa"/>
            </w:tcMar>
          </w:tcPr>
          <w:p>
            <w:r>
              <w:rPr>
                <w:rFonts w:ascii="Consolas" w:hAnsi="Consolas"/>
                <w:sz w:val="17"/>
              </w:rPr>
              <w:t>mro-ai-risk-core/</w:t>
              <w:br/>
              <w:t>├── contracts/</w:t>
              <w:br/>
              <w:t>│   ├── risk_profile.py</w:t>
              <w:br/>
              <w:t>│   ├── validation_plan.py</w:t>
              <w:br/>
              <w:t>│   ├── finding.py</w:t>
              <w:br/>
              <w:t>│   └── human_decision.py</w:t>
              <w:br/>
              <w:t>├── methodology/</w:t>
              <w:br/>
              <w:t>│   ├── layer1/</w:t>
              <w:br/>
              <w:t>│   ├── layer2/</w:t>
              <w:br/>
              <w:t>│   └── layer3/</w:t>
              <w:br/>
              <w:t>├── risk_taxonomy/</w:t>
              <w:br/>
              <w:t>│   ├── foundation_models/</w:t>
              <w:br/>
              <w:t>│   ├── rag/</w:t>
              <w:br/>
              <w:t>│   └── agentic_ai/</w:t>
              <w:br/>
              <w:t>├── domain_skills/</w:t>
              <w:br/>
              <w:t>│   ├── credit_risk/</w:t>
              <w:br/>
              <w:t>│   ├── markets/</w:t>
              <w:br/>
              <w:t>│   ├── trade_surveillance/</w:t>
              <w:br/>
              <w:t>│   └── economic_models/</w:t>
              <w:br/>
              <w:t>├── calibration/</w:t>
              <w:br/>
              <w:t>│   ├── benchmarks/</w:t>
              <w:br/>
              <w:t>│   ├── agreement_tests/</w:t>
              <w:br/>
              <w:t>│   ├── drift_tests/</w:t>
              <w:br/>
              <w:t>│   └── release_gates/</w:t>
              <w:br/>
              <w:t>├── evaluation_assets/</w:t>
              <w:br/>
              <w:t>│   ├── scenarios/</w:t>
              <w:br/>
              <w:t>│   ├── datasets/</w:t>
              <w:br/>
              <w:t>│   ├── rubrics/</w:t>
              <w:br/>
              <w:t>│   └── expected_results/</w:t>
              <w:br/>
              <w:t>├── historical_intelligence/</w:t>
              <w:br/>
              <w:t>│   ├── retrieval/</w:t>
              <w:br/>
              <w:t>│   ├── similarity/</w:t>
              <w:br/>
              <w:t>│   └── precedent_reasoning/</w:t>
              <w:br/>
              <w:t>├── human_judgment/</w:t>
              <w:br/>
              <w:t>│   ├── override_capture/</w:t>
              <w:br/>
              <w:t>│   ├── adjudication/</w:t>
              <w:br/>
              <w:t>│   └── escalation/</w:t>
              <w:br/>
              <w:t>├── policy_intelligence/</w:t>
              <w:br/>
              <w:t>│   ├── policy_mapping/</w:t>
              <w:br/>
              <w:t>│   ├── obligations/</w:t>
              <w:br/>
              <w:t>│   └── change_impact/</w:t>
              <w:br/>
              <w:t>└── governance/</w:t>
              <w:br/>
              <w:t xml:space="preserve">    ├── versions/</w:t>
              <w:br/>
              <w:t xml:space="preserve">    ├── approvals/</w:t>
              <w:br/>
              <w:t xml:space="preserve">    ├── changelogs/</w:t>
              <w:br/>
              <w:t xml:space="preserve">    └── release_manifest/</w:t>
            </w:r>
          </w:p>
        </w:tc>
      </w:tr>
    </w:tbl>
    <w:p/>
    <w:p>
      <w:pPr>
        <w:pStyle w:val="Heading2"/>
      </w:pPr>
      <w:r>
        <w:t>5.2 What belongs in source control</w:t>
      </w:r>
    </w:p>
    <w:p>
      <w:pPr>
        <w:pStyle w:val="ListBullet"/>
      </w:pPr>
      <w:r>
        <w:t>Methodology implementations and decision frameworks</w:t>
      </w:r>
    </w:p>
    <w:p>
      <w:pPr>
        <w:pStyle w:val="ListBullet"/>
      </w:pPr>
      <w:r>
        <w:t>Schemas and data contracts</w:t>
      </w:r>
    </w:p>
    <w:p>
      <w:pPr>
        <w:pStyle w:val="ListBullet"/>
      </w:pPr>
      <w:r>
        <w:t>Evaluation logic and test harnesses</w:t>
      </w:r>
    </w:p>
    <w:p>
      <w:pPr>
        <w:pStyle w:val="ListBullet"/>
      </w:pPr>
      <w:r>
        <w:t>Approved prompt and rubric templates</w:t>
      </w:r>
    </w:p>
    <w:p>
      <w:pPr>
        <w:pStyle w:val="ListBullet"/>
      </w:pPr>
      <w:r>
        <w:t>Risk taxonomies and domain-skill definitions</w:t>
      </w:r>
    </w:p>
    <w:p>
      <w:pPr>
        <w:pStyle w:val="ListBullet"/>
      </w:pPr>
      <w:r>
        <w:t>Version definitions and release manifests</w:t>
      </w:r>
    </w:p>
    <w:p>
      <w:pPr>
        <w:pStyle w:val="ListBullet"/>
      </w:pPr>
      <w:r>
        <w:t>Automated quality, regression and calibration tests</w:t>
      </w:r>
    </w:p>
    <w:p>
      <w:pPr>
        <w:pStyle w:val="ListBullet"/>
      </w:pPr>
      <w:r>
        <w:t>Non-sensitive synthetic or public benchmark fixtures</w:t>
      </w:r>
    </w:p>
    <w:p>
      <w:pPr>
        <w:pStyle w:val="Heading2"/>
      </w:pPr>
      <w:r>
        <w:t>5.3 What should remain outside the repository</w:t>
      </w:r>
    </w:p>
    <w:p>
      <w:pPr>
        <w:pStyle w:val="ListBullet"/>
      </w:pPr>
      <w:r>
        <w:t>Historical cases and sensitive use-case evidence</w:t>
      </w:r>
    </w:p>
    <w:p>
      <w:pPr>
        <w:pStyle w:val="ListBullet"/>
      </w:pPr>
      <w:r>
        <w:t>Human decisions, overrides and adjudication records</w:t>
      </w:r>
    </w:p>
    <w:p>
      <w:pPr>
        <w:pStyle w:val="ListBullet"/>
      </w:pPr>
      <w:r>
        <w:t>Validation results, findings and final reports</w:t>
      </w:r>
    </w:p>
    <w:p>
      <w:pPr>
        <w:pStyle w:val="ListBullet"/>
      </w:pPr>
      <w:r>
        <w:t>Sensitive evaluation datasets and supporting artefacts</w:t>
      </w:r>
    </w:p>
    <w:p>
      <w:pPr>
        <w:pStyle w:val="ListBullet"/>
      </w:pPr>
      <w:r>
        <w:t>Production calibration datasets and benchmark labels</w:t>
      </w:r>
    </w:p>
    <w:p>
      <w:pPr>
        <w:pStyle w:val="ListBullet"/>
      </w:pPr>
      <w:r>
        <w:t>Post-go-live monitoring data, incidents and change records</w:t>
      </w:r>
    </w:p>
    <w:p>
      <w:r>
        <w:t>These assets should reside in controlled databases and object storage with role-based access, audit logging, retention controls, data classification and explicit ownership.</w:t>
      </w:r>
    </w:p>
    <w:tbl>
      <w:tblPr>
        <w:tblStyle w:val="TableGrid"/>
        <w:tblW w:type="auto" w:w="0"/>
        <w:jc w:val="center"/>
        <w:tblLook w:firstColumn="1" w:firstRow="1" w:lastColumn="0" w:lastRow="0" w:noHBand="0" w:noVBand="1" w:val="04A0"/>
      </w:tblPr>
      <w:tblGrid>
        <w:gridCol w:w="10080"/>
      </w:tblGrid>
      <w:tr>
        <w:tc>
          <w:tcPr>
            <w:tcW w:type="dxa" w:w="10080"/>
            <w:shd w:fill="F3F4F6"/>
            <w:tcMar>
              <w:top w:w="120" w:type="dxa"/>
              <w:start w:w="160" w:type="dxa"/>
              <w:bottom w:w="120" w:type="dxa"/>
              <w:end w:w="160" w:type="dxa"/>
            </w:tcMar>
          </w:tcPr>
          <w:p>
            <w:r>
              <w:rPr>
                <w:rFonts w:ascii="Consolas" w:hAnsi="Consolas"/>
                <w:sz w:val="17"/>
              </w:rPr>
              <w:t>Docker image or local package → contains approved logic</w:t>
              <w:br/>
              <w:t>Shared controlled database       → contains decisions, metadata and lineage</w:t>
              <w:br/>
              <w:t>Controlled object storage        → contains evidence, datasets and evaluation artefacts</w:t>
            </w:r>
          </w:p>
        </w:tc>
      </w:tr>
    </w:tbl>
    <w:p/>
    <w:p>
      <w:pPr>
        <w:pStyle w:val="Heading1"/>
      </w:pPr>
      <w:r>
        <w:t>6. Decision Rights and Operating Boundaries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9"/>
            <w:vAlign w:val="center"/>
            <w:tcMar>
              <w:top w:w="80" w:type="dxa"/>
              <w:start w:w="90" w:type="dxa"/>
              <w:bottom w:w="80" w:type="dxa"/>
              <w:end w:w="90" w:type="dxa"/>
            </w:tcMar>
          </w:tcPr>
          <w:p>
            <w:r>
              <w:rPr>
                <w:b/>
                <w:color w:val="FFFFFF"/>
              </w:rPr>
              <w:t>Capability</w:t>
            </w:r>
          </w:p>
        </w:tc>
        <w:tc>
          <w:tcPr>
            <w:tcW w:type="dxa" w:w="2016"/>
            <w:shd w:fill="1F4E79"/>
            <w:vAlign w:val="center"/>
            <w:tcMar>
              <w:top w:w="80" w:type="dxa"/>
              <w:start w:w="90" w:type="dxa"/>
              <w:bottom w:w="80" w:type="dxa"/>
              <w:end w:w="90" w:type="dxa"/>
            </w:tcMar>
          </w:tcPr>
          <w:p>
            <w:r>
              <w:rPr>
                <w:b/>
                <w:color w:val="FFFFFF"/>
              </w:rPr>
              <w:t>AI Tech &amp; Tooling</w:t>
            </w:r>
          </w:p>
        </w:tc>
        <w:tc>
          <w:tcPr>
            <w:tcW w:type="dxa" w:w="2016"/>
            <w:shd w:fill="1F4E79"/>
            <w:vAlign w:val="center"/>
            <w:tcMar>
              <w:top w:w="80" w:type="dxa"/>
              <w:start w:w="90" w:type="dxa"/>
              <w:bottom w:w="80" w:type="dxa"/>
              <w:end w:w="90" w:type="dxa"/>
            </w:tcMar>
          </w:tcPr>
          <w:p>
            <w:r>
              <w:rPr>
                <w:b/>
                <w:color w:val="FFFFFF"/>
              </w:rPr>
              <w:t>AI Risk Oversight</w:t>
            </w:r>
          </w:p>
        </w:tc>
        <w:tc>
          <w:tcPr>
            <w:tcW w:type="dxa" w:w="2016"/>
            <w:shd w:fill="1F4E79"/>
            <w:vAlign w:val="center"/>
            <w:tcMar>
              <w:top w:w="80" w:type="dxa"/>
              <w:start w:w="90" w:type="dxa"/>
              <w:bottom w:w="80" w:type="dxa"/>
              <w:end w:w="90" w:type="dxa"/>
            </w:tcMar>
          </w:tcPr>
          <w:p>
            <w:r>
              <w:rPr>
                <w:b/>
                <w:color w:val="FFFFFF"/>
              </w:rPr>
              <w:t>AI Independent Validation</w:t>
            </w:r>
          </w:p>
        </w:tc>
        <w:tc>
          <w:tcPr>
            <w:tcW w:type="dxa" w:w="2016"/>
            <w:shd w:fill="1F4E79"/>
            <w:vAlign w:val="center"/>
            <w:tcMar>
              <w:top w:w="80" w:type="dxa"/>
              <w:start w:w="90" w:type="dxa"/>
              <w:bottom w:w="80" w:type="dxa"/>
              <w:end w:w="90" w:type="dxa"/>
            </w:tcMar>
          </w:tcPr>
          <w:p>
            <w:r>
              <w:rPr>
                <w:b/>
                <w:color w:val="FFFFFF"/>
              </w:rPr>
              <w:t>Other teams</w:t>
            </w:r>
          </w:p>
        </w:tc>
      </w:tr>
      <w:tr>
        <w:tc>
          <w:tcPr>
            <w:tcW w:type="dxa" w:w="2016"/>
            <w:vAlign w:val="top"/>
            <w:tcMar>
              <w:top w:w="80" w:type="dxa"/>
              <w:start w:w="90" w:type="dxa"/>
              <w:bottom w:w="80" w:type="dxa"/>
              <w:end w:w="90" w:type="dxa"/>
            </w:tcMar>
          </w:tcPr>
          <w:p>
            <w:r>
              <w:t>Core architecture and data contracts</w:t>
            </w:r>
          </w:p>
        </w:tc>
        <w:tc>
          <w:tcPr>
            <w:tcW w:type="dxa" w:w="2016"/>
            <w:vAlign w:val="top"/>
            <w:tcMar>
              <w:top w:w="80" w:type="dxa"/>
              <w:start w:w="90" w:type="dxa"/>
              <w:bottom w:w="80" w:type="dxa"/>
              <w:end w:w="90" w:type="dxa"/>
            </w:tcMar>
          </w:tcPr>
          <w:p>
            <w:r>
              <w:t>Accountable and responsible</w:t>
            </w:r>
          </w:p>
        </w:tc>
        <w:tc>
          <w:tcPr>
            <w:tcW w:type="dxa" w:w="2016"/>
            <w:vAlign w:val="top"/>
            <w:tcMar>
              <w:top w:w="80" w:type="dxa"/>
              <w:start w:w="90" w:type="dxa"/>
              <w:bottom w:w="80" w:type="dxa"/>
              <w:end w:w="90" w:type="dxa"/>
            </w:tcMar>
          </w:tcPr>
          <w:p>
            <w:r>
              <w:t>Consulted</w:t>
            </w:r>
          </w:p>
        </w:tc>
        <w:tc>
          <w:tcPr>
            <w:tcW w:type="dxa" w:w="2016"/>
            <w:vAlign w:val="top"/>
            <w:tcMar>
              <w:top w:w="80" w:type="dxa"/>
              <w:start w:w="90" w:type="dxa"/>
              <w:bottom w:w="80" w:type="dxa"/>
              <w:end w:w="90" w:type="dxa"/>
            </w:tcMar>
          </w:tcPr>
          <w:p>
            <w:r>
              <w:t>Consulted</w:t>
            </w:r>
          </w:p>
        </w:tc>
        <w:tc>
          <w:tcPr>
            <w:tcW w:type="dxa" w:w="2016"/>
            <w:vAlign w:val="top"/>
            <w:tcMar>
              <w:top w:w="80" w:type="dxa"/>
              <w:start w:w="90" w:type="dxa"/>
              <w:bottom w:w="80" w:type="dxa"/>
              <w:end w:w="90" w:type="dxa"/>
            </w:tcMar>
          </w:tcPr>
          <w:p>
            <w:r>
              <w:t>May contribute to agreed interfaces</w:t>
            </w:r>
          </w:p>
        </w:tc>
      </w:tr>
      <w:tr>
        <w:tc>
          <w:tcPr>
            <w:tcW w:type="dxa" w:w="2016"/>
            <w:vAlign w:val="top"/>
            <w:tcMar>
              <w:top w:w="80" w:type="dxa"/>
              <w:start w:w="90" w:type="dxa"/>
              <w:bottom w:w="80" w:type="dxa"/>
              <w:end w:w="90" w:type="dxa"/>
            </w:tcMar>
            <w:shd w:fill="F5F8FA"/>
          </w:tcPr>
          <w:p>
            <w:r>
              <w:t>Layer 1 methodology</w:t>
            </w:r>
          </w:p>
        </w:tc>
        <w:tc>
          <w:tcPr>
            <w:tcW w:type="dxa" w:w="2016"/>
            <w:vAlign w:val="top"/>
            <w:tcMar>
              <w:top w:w="80" w:type="dxa"/>
              <w:start w:w="90" w:type="dxa"/>
              <w:bottom w:w="80" w:type="dxa"/>
              <w:end w:w="90" w:type="dxa"/>
            </w:tcMar>
            <w:shd w:fill="F5F8FA"/>
          </w:tcPr>
          <w:p>
            <w:r>
              <w:t>Technical custodian</w:t>
            </w:r>
          </w:p>
        </w:tc>
        <w:tc>
          <w:tcPr>
            <w:tcW w:type="dxa" w:w="2016"/>
            <w:vAlign w:val="top"/>
            <w:tcMar>
              <w:top w:w="80" w:type="dxa"/>
              <w:start w:w="90" w:type="dxa"/>
              <w:bottom w:w="80" w:type="dxa"/>
              <w:end w:w="90" w:type="dxa"/>
            </w:tcMar>
            <w:shd w:fill="F5F8FA"/>
          </w:tcPr>
          <w:p>
            <w:r>
              <w:t>Accountable</w:t>
            </w:r>
          </w:p>
        </w:tc>
        <w:tc>
          <w:tcPr>
            <w:tcW w:type="dxa" w:w="2016"/>
            <w:vAlign w:val="top"/>
            <w:tcMar>
              <w:top w:w="80" w:type="dxa"/>
              <w:start w:w="90" w:type="dxa"/>
              <w:bottom w:w="80" w:type="dxa"/>
              <w:end w:w="90" w:type="dxa"/>
            </w:tcMar>
            <w:shd w:fill="F5F8FA"/>
          </w:tcPr>
          <w:p>
            <w:r>
              <w:t>Consulted</w:t>
            </w:r>
          </w:p>
        </w:tc>
        <w:tc>
          <w:tcPr>
            <w:tcW w:type="dxa" w:w="2016"/>
            <w:vAlign w:val="top"/>
            <w:tcMar>
              <w:top w:w="80" w:type="dxa"/>
              <w:start w:w="90" w:type="dxa"/>
              <w:bottom w:w="80" w:type="dxa"/>
              <w:end w:w="90" w:type="dxa"/>
            </w:tcMar>
            <w:shd w:fill="F5F8FA"/>
          </w:tcPr>
          <w:p>
            <w:r>
              <w:t>No independent authority</w:t>
            </w:r>
          </w:p>
        </w:tc>
      </w:tr>
      <w:tr>
        <w:tc>
          <w:tcPr>
            <w:tcW w:type="dxa" w:w="2016"/>
            <w:vAlign w:val="top"/>
            <w:tcMar>
              <w:top w:w="80" w:type="dxa"/>
              <w:start w:w="90" w:type="dxa"/>
              <w:bottom w:w="80" w:type="dxa"/>
              <w:end w:w="90" w:type="dxa"/>
            </w:tcMar>
          </w:tcPr>
          <w:p>
            <w:r>
              <w:t>Layer 2 methodology</w:t>
            </w:r>
          </w:p>
        </w:tc>
        <w:tc>
          <w:tcPr>
            <w:tcW w:type="dxa" w:w="2016"/>
            <w:vAlign w:val="top"/>
            <w:tcMar>
              <w:top w:w="80" w:type="dxa"/>
              <w:start w:w="90" w:type="dxa"/>
              <w:bottom w:w="80" w:type="dxa"/>
              <w:end w:w="90" w:type="dxa"/>
            </w:tcMar>
          </w:tcPr>
          <w:p>
            <w:r>
              <w:t>Technical custodian</w:t>
            </w:r>
          </w:p>
        </w:tc>
        <w:tc>
          <w:tcPr>
            <w:tcW w:type="dxa" w:w="2016"/>
            <w:vAlign w:val="top"/>
            <w:tcMar>
              <w:top w:w="80" w:type="dxa"/>
              <w:start w:w="90" w:type="dxa"/>
              <w:bottom w:w="80" w:type="dxa"/>
              <w:end w:w="90" w:type="dxa"/>
            </w:tcMar>
          </w:tcPr>
          <w:p>
            <w:r>
              <w:t>Consulted</w:t>
            </w:r>
          </w:p>
        </w:tc>
        <w:tc>
          <w:tcPr>
            <w:tcW w:type="dxa" w:w="2016"/>
            <w:vAlign w:val="top"/>
            <w:tcMar>
              <w:top w:w="80" w:type="dxa"/>
              <w:start w:w="90" w:type="dxa"/>
              <w:bottom w:w="80" w:type="dxa"/>
              <w:end w:w="90" w:type="dxa"/>
            </w:tcMar>
          </w:tcPr>
          <w:p>
            <w:r>
              <w:t>Accountable</w:t>
            </w:r>
          </w:p>
        </w:tc>
        <w:tc>
          <w:tcPr>
            <w:tcW w:type="dxa" w:w="2016"/>
            <w:vAlign w:val="top"/>
            <w:tcMar>
              <w:top w:w="80" w:type="dxa"/>
              <w:start w:w="90" w:type="dxa"/>
              <w:bottom w:w="80" w:type="dxa"/>
              <w:end w:w="90" w:type="dxa"/>
            </w:tcMar>
          </w:tcPr>
          <w:p>
            <w:r>
              <w:t>No independent authority</w:t>
            </w:r>
          </w:p>
        </w:tc>
      </w:tr>
      <w:tr>
        <w:tc>
          <w:tcPr>
            <w:tcW w:type="dxa" w:w="2016"/>
            <w:vAlign w:val="top"/>
            <w:tcMar>
              <w:top w:w="80" w:type="dxa"/>
              <w:start w:w="90" w:type="dxa"/>
              <w:bottom w:w="80" w:type="dxa"/>
              <w:end w:w="90" w:type="dxa"/>
            </w:tcMar>
            <w:shd w:fill="F5F8FA"/>
          </w:tcPr>
          <w:p>
            <w:r>
              <w:t>Core release engineering</w:t>
            </w:r>
          </w:p>
        </w:tc>
        <w:tc>
          <w:tcPr>
            <w:tcW w:type="dxa" w:w="2016"/>
            <w:vAlign w:val="top"/>
            <w:tcMar>
              <w:top w:w="80" w:type="dxa"/>
              <w:start w:w="90" w:type="dxa"/>
              <w:bottom w:w="80" w:type="dxa"/>
              <w:end w:w="90" w:type="dxa"/>
            </w:tcMar>
            <w:shd w:fill="F5F8FA"/>
          </w:tcPr>
          <w:p>
            <w:r>
              <w:t>Accountable and responsible</w:t>
            </w:r>
          </w:p>
        </w:tc>
        <w:tc>
          <w:tcPr>
            <w:tcW w:type="dxa" w:w="2016"/>
            <w:vAlign w:val="top"/>
            <w:tcMar>
              <w:top w:w="80" w:type="dxa"/>
              <w:start w:w="90" w:type="dxa"/>
              <w:bottom w:w="80" w:type="dxa"/>
              <w:end w:w="90" w:type="dxa"/>
            </w:tcMar>
            <w:shd w:fill="F5F8FA"/>
          </w:tcPr>
          <w:p>
            <w:r>
              <w:t>Approve methodology-related impacts</w:t>
            </w:r>
          </w:p>
        </w:tc>
        <w:tc>
          <w:tcPr>
            <w:tcW w:type="dxa" w:w="2016"/>
            <w:vAlign w:val="top"/>
            <w:tcMar>
              <w:top w:w="80" w:type="dxa"/>
              <w:start w:w="90" w:type="dxa"/>
              <w:bottom w:w="80" w:type="dxa"/>
              <w:end w:w="90" w:type="dxa"/>
            </w:tcMar>
            <w:shd w:fill="F5F8FA"/>
          </w:tcPr>
          <w:p>
            <w:r>
              <w:t>Approve validation-related impacts</w:t>
            </w:r>
          </w:p>
        </w:tc>
        <w:tc>
          <w:tcPr>
            <w:tcW w:type="dxa" w:w="2016"/>
            <w:vAlign w:val="top"/>
            <w:tcMar>
              <w:top w:w="80" w:type="dxa"/>
              <w:start w:w="90" w:type="dxa"/>
              <w:bottom w:w="80" w:type="dxa"/>
              <w:end w:w="90" w:type="dxa"/>
            </w:tcMar>
            <w:shd w:fill="F5F8FA"/>
          </w:tcPr>
          <w:p>
            <w:r>
              <w:t>Platform team may operate approved pipeline</w:t>
            </w:r>
          </w:p>
        </w:tc>
      </w:tr>
      <w:tr>
        <w:tc>
          <w:tcPr>
            <w:tcW w:type="dxa" w:w="2016"/>
            <w:vAlign w:val="top"/>
            <w:tcMar>
              <w:top w:w="80" w:type="dxa"/>
              <w:start w:w="90" w:type="dxa"/>
              <w:bottom w:w="80" w:type="dxa"/>
              <w:end w:w="90" w:type="dxa"/>
            </w:tcMar>
          </w:tcPr>
          <w:p>
            <w:r>
              <w:t>Historical intelligence design</w:t>
            </w:r>
          </w:p>
        </w:tc>
        <w:tc>
          <w:tcPr>
            <w:tcW w:type="dxa" w:w="2016"/>
            <w:vAlign w:val="top"/>
            <w:tcMar>
              <w:top w:w="80" w:type="dxa"/>
              <w:start w:w="90" w:type="dxa"/>
              <w:bottom w:w="80" w:type="dxa"/>
              <w:end w:w="90" w:type="dxa"/>
            </w:tcMar>
          </w:tcPr>
          <w:p>
            <w:r>
              <w:t>Accountable</w:t>
            </w:r>
          </w:p>
        </w:tc>
        <w:tc>
          <w:tcPr>
            <w:tcW w:type="dxa" w:w="2016"/>
            <w:vAlign w:val="top"/>
            <w:tcMar>
              <w:top w:w="80" w:type="dxa"/>
              <w:start w:w="90" w:type="dxa"/>
              <w:bottom w:w="80" w:type="dxa"/>
              <w:end w:w="90" w:type="dxa"/>
            </w:tcMar>
          </w:tcPr>
          <w:p>
            <w:r>
              <w:t>Joint content owner</w:t>
            </w:r>
          </w:p>
        </w:tc>
        <w:tc>
          <w:tcPr>
            <w:tcW w:type="dxa" w:w="2016"/>
            <w:vAlign w:val="top"/>
            <w:tcMar>
              <w:top w:w="80" w:type="dxa"/>
              <w:start w:w="90" w:type="dxa"/>
              <w:bottom w:w="80" w:type="dxa"/>
              <w:end w:w="90" w:type="dxa"/>
            </w:tcMar>
          </w:tcPr>
          <w:p>
            <w:r>
              <w:t>Joint content owner</w:t>
            </w:r>
          </w:p>
        </w:tc>
        <w:tc>
          <w:tcPr>
            <w:tcW w:type="dxa" w:w="2016"/>
            <w:vAlign w:val="top"/>
            <w:tcMar>
              <w:top w:w="80" w:type="dxa"/>
              <w:start w:w="90" w:type="dxa"/>
              <w:bottom w:w="80" w:type="dxa"/>
              <w:end w:w="90" w:type="dxa"/>
            </w:tcMar>
          </w:tcPr>
          <w:p>
            <w:r>
              <w:t>No uncontrolled access</w:t>
            </w:r>
          </w:p>
        </w:tc>
      </w:tr>
      <w:tr>
        <w:tc>
          <w:tcPr>
            <w:tcW w:type="dxa" w:w="2016"/>
            <w:vAlign w:val="top"/>
            <w:tcMar>
              <w:top w:w="80" w:type="dxa"/>
              <w:start w:w="90" w:type="dxa"/>
              <w:bottom w:w="80" w:type="dxa"/>
              <w:end w:w="90" w:type="dxa"/>
            </w:tcMar>
            <w:shd w:fill="F5F8FA"/>
          </w:tcPr>
          <w:p>
            <w:r>
              <w:t>Calibration framework</w:t>
            </w:r>
          </w:p>
        </w:tc>
        <w:tc>
          <w:tcPr>
            <w:tcW w:type="dxa" w:w="2016"/>
            <w:vAlign w:val="top"/>
            <w:tcMar>
              <w:top w:w="80" w:type="dxa"/>
              <w:start w:w="90" w:type="dxa"/>
              <w:bottom w:w="80" w:type="dxa"/>
              <w:end w:w="90" w:type="dxa"/>
            </w:tcMar>
            <w:shd w:fill="F5F8FA"/>
          </w:tcPr>
          <w:p>
            <w:r>
              <w:t>Accountable for tooling and execution</w:t>
            </w:r>
          </w:p>
        </w:tc>
        <w:tc>
          <w:tcPr>
            <w:tcW w:type="dxa" w:w="2016"/>
            <w:vAlign w:val="top"/>
            <w:tcMar>
              <w:top w:w="80" w:type="dxa"/>
              <w:start w:w="90" w:type="dxa"/>
              <w:bottom w:w="80" w:type="dxa"/>
              <w:end w:w="90" w:type="dxa"/>
            </w:tcMar>
            <w:shd w:fill="F5F8FA"/>
          </w:tcPr>
          <w:p>
            <w:r>
              <w:t>Own Layer 1 expert benchmarks</w:t>
            </w:r>
          </w:p>
        </w:tc>
        <w:tc>
          <w:tcPr>
            <w:tcW w:type="dxa" w:w="2016"/>
            <w:vAlign w:val="top"/>
            <w:tcMar>
              <w:top w:w="80" w:type="dxa"/>
              <w:start w:w="90" w:type="dxa"/>
              <w:bottom w:w="80" w:type="dxa"/>
              <w:end w:w="90" w:type="dxa"/>
            </w:tcMar>
            <w:shd w:fill="F5F8FA"/>
          </w:tcPr>
          <w:p>
            <w:r>
              <w:t>Own Layer 2 expert benchmarks</w:t>
            </w:r>
          </w:p>
        </w:tc>
        <w:tc>
          <w:tcPr>
            <w:tcW w:type="dxa" w:w="2016"/>
            <w:vAlign w:val="top"/>
            <w:tcMar>
              <w:top w:w="80" w:type="dxa"/>
              <w:start w:w="90" w:type="dxa"/>
              <w:bottom w:w="80" w:type="dxa"/>
              <w:end w:w="90" w:type="dxa"/>
            </w:tcMar>
            <w:shd w:fill="F5F8FA"/>
          </w:tcPr>
          <w:p>
            <w:r>
              <w:t>May provide technical support</w:t>
            </w:r>
          </w:p>
        </w:tc>
      </w:tr>
      <w:tr>
        <w:tc>
          <w:tcPr>
            <w:tcW w:type="dxa" w:w="2016"/>
            <w:vAlign w:val="top"/>
            <w:tcMar>
              <w:top w:w="80" w:type="dxa"/>
              <w:start w:w="90" w:type="dxa"/>
              <w:bottom w:w="80" w:type="dxa"/>
              <w:end w:w="90" w:type="dxa"/>
            </w:tcMar>
          </w:tcPr>
          <w:p>
            <w:r>
              <w:t>Final risk and validation decisions</w:t>
            </w:r>
          </w:p>
        </w:tc>
        <w:tc>
          <w:tcPr>
            <w:tcW w:type="dxa" w:w="2016"/>
            <w:vAlign w:val="top"/>
            <w:tcMar>
              <w:top w:w="80" w:type="dxa"/>
              <w:start w:w="90" w:type="dxa"/>
              <w:bottom w:w="80" w:type="dxa"/>
              <w:end w:w="90" w:type="dxa"/>
            </w:tcMar>
          </w:tcPr>
          <w:p>
            <w:r>
              <w:t>No autonomous ownership</w:t>
            </w:r>
          </w:p>
        </w:tc>
        <w:tc>
          <w:tcPr>
            <w:tcW w:type="dxa" w:w="2016"/>
            <w:vAlign w:val="top"/>
            <w:tcMar>
              <w:top w:w="80" w:type="dxa"/>
              <w:start w:w="90" w:type="dxa"/>
              <w:bottom w:w="80" w:type="dxa"/>
              <w:end w:w="90" w:type="dxa"/>
            </w:tcMar>
          </w:tcPr>
          <w:p>
            <w:r>
              <w:t>Own relevant oversight decisions</w:t>
            </w:r>
          </w:p>
        </w:tc>
        <w:tc>
          <w:tcPr>
            <w:tcW w:type="dxa" w:w="2016"/>
            <w:vAlign w:val="top"/>
            <w:tcMar>
              <w:top w:w="80" w:type="dxa"/>
              <w:start w:w="90" w:type="dxa"/>
              <w:bottom w:w="80" w:type="dxa"/>
              <w:end w:w="90" w:type="dxa"/>
            </w:tcMar>
          </w:tcPr>
          <w:p>
            <w:r>
              <w:t>Own independent-validation conclusions</w:t>
            </w:r>
          </w:p>
        </w:tc>
        <w:tc>
          <w:tcPr>
            <w:tcW w:type="dxa" w:w="2016"/>
            <w:vAlign w:val="top"/>
            <w:tcMar>
              <w:top w:w="80" w:type="dxa"/>
              <w:start w:w="90" w:type="dxa"/>
              <w:bottom w:w="80" w:type="dxa"/>
              <w:end w:w="90" w:type="dxa"/>
            </w:tcMar>
          </w:tcPr>
          <w:p>
            <w:r>
              <w:t>No authority</w:t>
            </w:r>
          </w:p>
        </w:tc>
      </w:tr>
      <w:tr>
        <w:tc>
          <w:tcPr>
            <w:tcW w:type="dxa" w:w="2016"/>
            <w:vAlign w:val="top"/>
            <w:tcMar>
              <w:top w:w="80" w:type="dxa"/>
              <w:start w:w="90" w:type="dxa"/>
              <w:bottom w:w="80" w:type="dxa"/>
              <w:end w:w="90" w:type="dxa"/>
            </w:tcMar>
            <w:shd w:fill="F5F8FA"/>
          </w:tcPr>
          <w:p>
            <w:r>
              <w:t>Generic parsing, UI and infrastructure</w:t>
            </w:r>
          </w:p>
        </w:tc>
        <w:tc>
          <w:tcPr>
            <w:tcW w:type="dxa" w:w="2016"/>
            <w:vAlign w:val="top"/>
            <w:tcMar>
              <w:top w:w="80" w:type="dxa"/>
              <w:start w:w="90" w:type="dxa"/>
              <w:bottom w:w="80" w:type="dxa"/>
              <w:end w:w="90" w:type="dxa"/>
            </w:tcMar>
            <w:shd w:fill="F5F8FA"/>
          </w:tcPr>
          <w:p>
            <w:r>
              <w:t>May own or reuse</w:t>
            </w:r>
          </w:p>
        </w:tc>
        <w:tc>
          <w:tcPr>
            <w:tcW w:type="dxa" w:w="2016"/>
            <w:vAlign w:val="top"/>
            <w:tcMar>
              <w:top w:w="80" w:type="dxa"/>
              <w:start w:w="90" w:type="dxa"/>
              <w:bottom w:w="80" w:type="dxa"/>
              <w:end w:w="90" w:type="dxa"/>
            </w:tcMar>
            <w:shd w:fill="F5F8FA"/>
          </w:tcPr>
          <w:p>
            <w:r>
              <w:t>Consulted</w:t>
            </w:r>
          </w:p>
        </w:tc>
        <w:tc>
          <w:tcPr>
            <w:tcW w:type="dxa" w:w="2016"/>
            <w:vAlign w:val="top"/>
            <w:tcMar>
              <w:top w:w="80" w:type="dxa"/>
              <w:start w:w="90" w:type="dxa"/>
              <w:bottom w:w="80" w:type="dxa"/>
              <w:end w:w="90" w:type="dxa"/>
            </w:tcMar>
            <w:shd w:fill="F5F8FA"/>
          </w:tcPr>
          <w:p>
            <w:r>
              <w:t>Consulted</w:t>
            </w:r>
          </w:p>
        </w:tc>
        <w:tc>
          <w:tcPr>
            <w:tcW w:type="dxa" w:w="2016"/>
            <w:vAlign w:val="top"/>
            <w:tcMar>
              <w:top w:w="80" w:type="dxa"/>
              <w:start w:w="90" w:type="dxa"/>
              <w:bottom w:w="80" w:type="dxa"/>
              <w:end w:w="90" w:type="dxa"/>
            </w:tcMar>
            <w:shd w:fill="F5F8FA"/>
          </w:tcPr>
          <w:p>
            <w:r>
              <w:t>May build and support</w:t>
            </w:r>
          </w:p>
        </w:tc>
      </w:tr>
    </w:tbl>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1F4E79"/>
                <w:sz w:val="22"/>
              </w:rPr>
              <w:t>Non-negotiable boundary</w:t>
              <w:br/>
            </w:r>
            <w:r>
              <w:t>Generic technology may be shared. The official methodology implementation, benchmark ownership, calibration evidence, decision lineage and cross-layer consistency must remain under MRO control.</w:t>
            </w:r>
          </w:p>
        </w:tc>
      </w:tr>
    </w:tbl>
    <w:p>
      <w:pPr>
        <w:spacing w:after="0"/>
      </w:pPr>
    </w:p>
    <w:p>
      <w:pPr>
        <w:pStyle w:val="Heading1"/>
      </w:pPr>
      <w:r>
        <w:t>7. Long-Term Operating Model</w:t>
      </w:r>
    </w:p>
    <w:p>
      <w:r>
        <w:t>The moat must be actively operated. A static repository will decay as policy, models, techniques and business use cases change. The following recurring cycles form the minimum operating system for the Core.</w:t>
      </w:r>
    </w:p>
    <w:p>
      <w:pPr>
        <w:pStyle w:val="Heading2"/>
      </w:pPr>
      <w:r>
        <w:t>7.1 Methodology lifecycle</w:t>
      </w:r>
    </w:p>
    <w:p>
      <w:pPr>
        <w:pStyle w:val="ListNumber"/>
      </w:pPr>
      <w:r>
        <w:t>Proposal or change request</w:t>
      </w:r>
    </w:p>
    <w:p>
      <w:pPr>
        <w:pStyle w:val="ListNumber"/>
      </w:pPr>
      <w:r>
        <w:t>Expert review</w:t>
      </w:r>
    </w:p>
    <w:p>
      <w:pPr>
        <w:pStyle w:val="ListNumber"/>
      </w:pPr>
      <w:r>
        <w:t>Impact assessment</w:t>
      </w:r>
    </w:p>
    <w:p>
      <w:pPr>
        <w:pStyle w:val="ListNumber"/>
      </w:pPr>
      <w:r>
        <w:t>Calibration and regression testing</w:t>
      </w:r>
    </w:p>
    <w:p>
      <w:pPr>
        <w:pStyle w:val="ListNumber"/>
      </w:pPr>
      <w:r>
        <w:t>Formal approval</w:t>
      </w:r>
    </w:p>
    <w:p>
      <w:pPr>
        <w:pStyle w:val="ListNumber"/>
      </w:pPr>
      <w:r>
        <w:t>Versioned release</w:t>
      </w:r>
    </w:p>
    <w:p>
      <w:pPr>
        <w:pStyle w:val="ListNumber"/>
      </w:pPr>
      <w:r>
        <w:t>Post-release monitoring</w:t>
      </w:r>
    </w:p>
    <w:p>
      <w:pPr>
        <w:pStyle w:val="Heading2"/>
      </w:pPr>
      <w:r>
        <w:t>7.2 Calibration lifecycle</w:t>
      </w:r>
    </w:p>
    <w:p>
      <w:pPr>
        <w:pStyle w:val="ListNumber"/>
      </w:pPr>
      <w:r>
        <w:t>Maintain representative expert benchmark sets</w:t>
      </w:r>
    </w:p>
    <w:p>
      <w:pPr>
        <w:pStyle w:val="ListNumber"/>
      </w:pPr>
      <w:r>
        <w:t>Run system assessments against approved labels</w:t>
      </w:r>
    </w:p>
    <w:p>
      <w:pPr>
        <w:pStyle w:val="ListNumber"/>
      </w:pPr>
      <w:r>
        <w:t>Measure agreement, recall, false negatives and consistency</w:t>
      </w:r>
    </w:p>
    <w:p>
      <w:pPr>
        <w:pStyle w:val="ListNumber"/>
      </w:pPr>
      <w:r>
        <w:t>Analyse disagreements and root causes</w:t>
      </w:r>
    </w:p>
    <w:p>
      <w:pPr>
        <w:pStyle w:val="ListNumber"/>
      </w:pPr>
      <w:r>
        <w:t>Adjust prompts, rules, thresholds or rubrics</w:t>
      </w:r>
    </w:p>
    <w:p>
      <w:pPr>
        <w:pStyle w:val="ListNumber"/>
      </w:pPr>
      <w:r>
        <w:t>Obtain independent methodology approval</w:t>
      </w:r>
    </w:p>
    <w:p>
      <w:pPr>
        <w:pStyle w:val="ListNumber"/>
      </w:pPr>
      <w:r>
        <w:t>Release and monitor by segment</w:t>
      </w:r>
    </w:p>
    <w:p>
      <w:pPr>
        <w:pStyle w:val="Heading2"/>
      </w:pPr>
      <w:r>
        <w:t>7.3 Historical intelligence lifecycle</w:t>
      </w:r>
    </w:p>
    <w:p>
      <w:pPr>
        <w:pStyle w:val="ListNumber"/>
      </w:pPr>
      <w:r>
        <w:t>Close the project or assessment</w:t>
      </w:r>
    </w:p>
    <w:p>
      <w:pPr>
        <w:pStyle w:val="ListNumber"/>
      </w:pPr>
      <w:r>
        <w:t>Extract approved structured decisions and evidence</w:t>
      </w:r>
    </w:p>
    <w:p>
      <w:pPr>
        <w:pStyle w:val="ListNumber"/>
      </w:pPr>
      <w:r>
        <w:t>Apply confidentiality, retention and access controls</w:t>
      </w:r>
    </w:p>
    <w:p>
      <w:pPr>
        <w:pStyle w:val="ListNumber"/>
      </w:pPr>
      <w:r>
        <w:t>Perform quality review and remove unsuitable records</w:t>
      </w:r>
    </w:p>
    <w:p>
      <w:pPr>
        <w:pStyle w:val="ListNumber"/>
      </w:pPr>
      <w:r>
        <w:t>Add the case to the precedent library</w:t>
      </w:r>
    </w:p>
    <w:p>
      <w:pPr>
        <w:pStyle w:val="ListNumber"/>
      </w:pPr>
      <w:r>
        <w:t>Use the case for retrieval, benchmarking and trend analysis</w:t>
      </w:r>
    </w:p>
    <w:p>
      <w:pPr>
        <w:pStyle w:val="Heading2"/>
      </w:pPr>
      <w:r>
        <w:t>7.4 Domain-skill lifecycle</w:t>
      </w:r>
    </w:p>
    <w:p>
      <w:pPr>
        <w:pStyle w:val="ListNumber"/>
      </w:pPr>
      <w:r>
        <w:t>Assign methodology and technical owners</w:t>
      </w:r>
    </w:p>
    <w:p>
      <w:pPr>
        <w:pStyle w:val="ListNumber"/>
      </w:pPr>
      <w:r>
        <w:t>Define scope and risk hypotheses</w:t>
      </w:r>
    </w:p>
    <w:p>
      <w:pPr>
        <w:pStyle w:val="ListNumber"/>
      </w:pPr>
      <w:r>
        <w:t>Build evidence requirements and test assets</w:t>
      </w:r>
    </w:p>
    <w:p>
      <w:pPr>
        <w:pStyle w:val="ListNumber"/>
      </w:pPr>
      <w:r>
        <w:t>Validate against real cases</w:t>
      </w:r>
    </w:p>
    <w:p>
      <w:pPr>
        <w:pStyle w:val="ListNumber"/>
      </w:pPr>
      <w:r>
        <w:t>Record limitations and escalation triggers</w:t>
      </w:r>
    </w:p>
    <w:p>
      <w:pPr>
        <w:pStyle w:val="ListNumber"/>
      </w:pPr>
      <w:r>
        <w:t>Review on schedule and after material events</w:t>
      </w:r>
    </w:p>
    <w:p>
      <w:pPr>
        <w:pStyle w:val="ListNumber"/>
      </w:pPr>
      <w:r>
        <w:t>Retire or supersede obsolete skills</w:t>
      </w:r>
    </w:p>
    <w:p>
      <w:pPr>
        <w:pStyle w:val="Heading2"/>
      </w:pPr>
      <w:r>
        <w:t>7.5 Performance and value lifecycle</w:t>
      </w:r>
    </w:p>
    <w:p>
      <w:pPr>
        <w:pStyle w:val="ListNumber"/>
      </w:pPr>
      <w:r>
        <w:t>Measure risk coverage, consistency and efficiency</w:t>
      </w:r>
    </w:p>
    <w:p>
      <w:pPr>
        <w:pStyle w:val="ListNumber"/>
      </w:pPr>
      <w:r>
        <w:t>Review overrides, errors and user feedback</w:t>
      </w:r>
    </w:p>
    <w:p>
      <w:pPr>
        <w:pStyle w:val="ListNumber"/>
      </w:pPr>
      <w:r>
        <w:t>Prioritise improvements through a governed backlog</w:t>
      </w:r>
    </w:p>
    <w:p>
      <w:pPr>
        <w:pStyle w:val="ListNumber"/>
      </w:pPr>
      <w:r>
        <w:t>Demonstrate value to MRO leadership</w:t>
      </w:r>
    </w:p>
    <w:p>
      <w:pPr>
        <w:pStyle w:val="ListNumber"/>
      </w:pPr>
      <w:r>
        <w:t>Reallocate investment toward the highest-value intelligence assets</w:t>
      </w:r>
    </w:p>
    <w:p>
      <w:pPr>
        <w:pStyle w:val="Heading1"/>
      </w:pPr>
      <w:r>
        <w:t>8. Calibration and Quality Framework</w:t>
      </w:r>
    </w:p>
    <w:p>
      <w:pPr>
        <w:pStyle w:val="Heading2"/>
      </w:pPr>
      <w:r>
        <w:t>8.1 Layer 1 measures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Metric</w:t>
            </w:r>
          </w:p>
        </w:tc>
        <w:tc>
          <w:tcPr>
            <w:tcW w:type="dxa" w:w="5040"/>
            <w:shd w:fill="1F4E79"/>
            <w:vAlign w:val="center"/>
            <w:tcMar>
              <w:top w:w="80" w:type="dxa"/>
              <w:start w:w="90" w:type="dxa"/>
              <w:bottom w:w="80" w:type="dxa"/>
              <w:end w:w="90" w:type="dxa"/>
            </w:tcMar>
          </w:tcPr>
          <w:p>
            <w:r>
              <w:rPr>
                <w:b/>
                <w:color w:val="FFFFFF"/>
              </w:rPr>
              <w:t>Definition and use</w:t>
            </w:r>
          </w:p>
        </w:tc>
      </w:tr>
      <w:tr>
        <w:tc>
          <w:tcPr>
            <w:tcW w:type="dxa" w:w="5040"/>
            <w:vAlign w:val="top"/>
            <w:tcMar>
              <w:top w:w="80" w:type="dxa"/>
              <w:start w:w="90" w:type="dxa"/>
              <w:bottom w:w="80" w:type="dxa"/>
              <w:end w:w="90" w:type="dxa"/>
            </w:tcMar>
          </w:tcPr>
          <w:p>
            <w:r>
              <w:t>Risk-factor recall</w:t>
            </w:r>
          </w:p>
        </w:tc>
        <w:tc>
          <w:tcPr>
            <w:tcW w:type="dxa" w:w="5040"/>
            <w:vAlign w:val="top"/>
            <w:tcMar>
              <w:top w:w="80" w:type="dxa"/>
              <w:start w:w="90" w:type="dxa"/>
              <w:bottom w:w="80" w:type="dxa"/>
              <w:end w:w="90" w:type="dxa"/>
            </w:tcMar>
          </w:tcPr>
          <w:p>
            <w:r>
              <w:t>Proportion of expert-identified material risk factors detected by the system</w:t>
            </w:r>
          </w:p>
        </w:tc>
      </w:tr>
      <w:tr>
        <w:tc>
          <w:tcPr>
            <w:tcW w:type="dxa" w:w="5040"/>
            <w:vAlign w:val="top"/>
            <w:tcMar>
              <w:top w:w="80" w:type="dxa"/>
              <w:start w:w="90" w:type="dxa"/>
              <w:bottom w:w="80" w:type="dxa"/>
              <w:end w:w="90" w:type="dxa"/>
            </w:tcMar>
            <w:shd w:fill="F5F8FA"/>
          </w:tcPr>
          <w:p>
            <w:r>
              <w:t>Materiality-band agreement</w:t>
            </w:r>
          </w:p>
        </w:tc>
        <w:tc>
          <w:tcPr>
            <w:tcW w:type="dxa" w:w="5040"/>
            <w:vAlign w:val="top"/>
            <w:tcMar>
              <w:top w:w="80" w:type="dxa"/>
              <w:start w:w="90" w:type="dxa"/>
              <w:bottom w:w="80" w:type="dxa"/>
              <w:end w:w="90" w:type="dxa"/>
            </w:tcMar>
            <w:shd w:fill="F5F8FA"/>
          </w:tcPr>
          <w:p>
            <w:r>
              <w:t>Agreement between system proposal and approved human assessment</w:t>
            </w:r>
          </w:p>
        </w:tc>
      </w:tr>
      <w:tr>
        <w:tc>
          <w:tcPr>
            <w:tcW w:type="dxa" w:w="5040"/>
            <w:vAlign w:val="top"/>
            <w:tcMar>
              <w:top w:w="80" w:type="dxa"/>
              <w:start w:w="90" w:type="dxa"/>
              <w:bottom w:w="80" w:type="dxa"/>
              <w:end w:w="90" w:type="dxa"/>
            </w:tcMar>
          </w:tcPr>
          <w:p>
            <w:r>
              <w:t>Risk-tier agreement</w:t>
            </w:r>
          </w:p>
        </w:tc>
        <w:tc>
          <w:tcPr>
            <w:tcW w:type="dxa" w:w="5040"/>
            <w:vAlign w:val="top"/>
            <w:tcMar>
              <w:top w:w="80" w:type="dxa"/>
              <w:start w:w="90" w:type="dxa"/>
              <w:bottom w:w="80" w:type="dxa"/>
              <w:end w:w="90" w:type="dxa"/>
            </w:tcMar>
          </w:tcPr>
          <w:p>
            <w:r>
              <w:t>Agreement on the final risk tier, tracked overall and by segment</w:t>
            </w:r>
          </w:p>
        </w:tc>
      </w:tr>
      <w:tr>
        <w:tc>
          <w:tcPr>
            <w:tcW w:type="dxa" w:w="5040"/>
            <w:vAlign w:val="top"/>
            <w:tcMar>
              <w:top w:w="80" w:type="dxa"/>
              <w:start w:w="90" w:type="dxa"/>
              <w:bottom w:w="80" w:type="dxa"/>
              <w:end w:w="90" w:type="dxa"/>
            </w:tcMar>
            <w:shd w:fill="F5F8FA"/>
          </w:tcPr>
          <w:p>
            <w:r>
              <w:t>Second-line routing accuracy</w:t>
            </w:r>
          </w:p>
        </w:tc>
        <w:tc>
          <w:tcPr>
            <w:tcW w:type="dxa" w:w="5040"/>
            <w:vAlign w:val="top"/>
            <w:tcMar>
              <w:top w:w="80" w:type="dxa"/>
              <w:start w:w="90" w:type="dxa"/>
              <w:bottom w:w="80" w:type="dxa"/>
              <w:end w:w="90" w:type="dxa"/>
            </w:tcMar>
            <w:shd w:fill="F5F8FA"/>
          </w:tcPr>
          <w:p>
            <w:r>
              <w:t>Correct identification of relevant risk teams and engagement needs</w:t>
            </w:r>
          </w:p>
        </w:tc>
      </w:tr>
      <w:tr>
        <w:tc>
          <w:tcPr>
            <w:tcW w:type="dxa" w:w="5040"/>
            <w:vAlign w:val="top"/>
            <w:tcMar>
              <w:top w:w="80" w:type="dxa"/>
              <w:start w:w="90" w:type="dxa"/>
              <w:bottom w:w="80" w:type="dxa"/>
              <w:end w:w="90" w:type="dxa"/>
            </w:tcMar>
          </w:tcPr>
          <w:p>
            <w:r>
              <w:t>Evidence citation accuracy</w:t>
            </w:r>
          </w:p>
        </w:tc>
        <w:tc>
          <w:tcPr>
            <w:tcW w:type="dxa" w:w="5040"/>
            <w:vAlign w:val="top"/>
            <w:tcMar>
              <w:top w:w="80" w:type="dxa"/>
              <w:start w:w="90" w:type="dxa"/>
              <w:bottom w:w="80" w:type="dxa"/>
              <w:end w:w="90" w:type="dxa"/>
            </w:tcMar>
          </w:tcPr>
          <w:p>
            <w:r>
              <w:t>Accuracy and completeness of links between claims and supporting evidence</w:t>
            </w:r>
          </w:p>
        </w:tc>
      </w:tr>
      <w:tr>
        <w:tc>
          <w:tcPr>
            <w:tcW w:type="dxa" w:w="5040"/>
            <w:vAlign w:val="top"/>
            <w:tcMar>
              <w:top w:w="80" w:type="dxa"/>
              <w:start w:w="90" w:type="dxa"/>
              <w:bottom w:w="80" w:type="dxa"/>
              <w:end w:w="90" w:type="dxa"/>
            </w:tcMar>
            <w:shd w:fill="F5F8FA"/>
          </w:tcPr>
          <w:p>
            <w:r>
              <w:t>Override rate</w:t>
            </w:r>
          </w:p>
        </w:tc>
        <w:tc>
          <w:tcPr>
            <w:tcW w:type="dxa" w:w="5040"/>
            <w:vAlign w:val="top"/>
            <w:tcMar>
              <w:top w:w="80" w:type="dxa"/>
              <w:start w:w="90" w:type="dxa"/>
              <w:bottom w:w="80" w:type="dxa"/>
              <w:end w:w="90" w:type="dxa"/>
            </w:tcMar>
            <w:shd w:fill="F5F8FA"/>
          </w:tcPr>
          <w:p>
            <w:r>
              <w:t>Frequency and direction of human changes to the system recommendation</w:t>
            </w:r>
          </w:p>
        </w:tc>
      </w:tr>
      <w:tr>
        <w:tc>
          <w:tcPr>
            <w:tcW w:type="dxa" w:w="5040"/>
            <w:vAlign w:val="top"/>
            <w:tcMar>
              <w:top w:w="80" w:type="dxa"/>
              <w:start w:w="90" w:type="dxa"/>
              <w:bottom w:w="80" w:type="dxa"/>
              <w:end w:w="90" w:type="dxa"/>
            </w:tcMar>
          </w:tcPr>
          <w:p>
            <w:r>
              <w:t>False-negative rate</w:t>
            </w:r>
          </w:p>
        </w:tc>
        <w:tc>
          <w:tcPr>
            <w:tcW w:type="dxa" w:w="5040"/>
            <w:vAlign w:val="top"/>
            <w:tcMar>
              <w:top w:w="80" w:type="dxa"/>
              <w:start w:w="90" w:type="dxa"/>
              <w:bottom w:w="80" w:type="dxa"/>
              <w:end w:w="90" w:type="dxa"/>
            </w:tcMar>
          </w:tcPr>
          <w:p>
            <w:r>
              <w:t>Material risks or escalation needs missed by the system</w:t>
            </w:r>
          </w:p>
        </w:tc>
      </w:tr>
      <w:tr>
        <w:tc>
          <w:tcPr>
            <w:tcW w:type="dxa" w:w="5040"/>
            <w:vAlign w:val="top"/>
            <w:tcMar>
              <w:top w:w="80" w:type="dxa"/>
              <w:start w:w="90" w:type="dxa"/>
              <w:bottom w:w="80" w:type="dxa"/>
              <w:end w:w="90" w:type="dxa"/>
            </w:tcMar>
            <w:shd w:fill="F5F8FA"/>
          </w:tcPr>
          <w:p>
            <w:r>
              <w:t>Reviewer time saved</w:t>
            </w:r>
          </w:p>
        </w:tc>
        <w:tc>
          <w:tcPr>
            <w:tcW w:type="dxa" w:w="5040"/>
            <w:vAlign w:val="top"/>
            <w:tcMar>
              <w:top w:w="80" w:type="dxa"/>
              <w:start w:w="90" w:type="dxa"/>
              <w:bottom w:w="80" w:type="dxa"/>
              <w:end w:w="90" w:type="dxa"/>
            </w:tcMar>
            <w:shd w:fill="F5F8FA"/>
          </w:tcPr>
          <w:p>
            <w:r>
              <w:t>Reduction in manual review effort without weakening judgement quality</w:t>
            </w:r>
          </w:p>
        </w:tc>
      </w:tr>
    </w:tbl>
    <w:p/>
    <w:p>
      <w:pPr>
        <w:pStyle w:val="Heading2"/>
      </w:pPr>
      <w:r>
        <w:t>8.2 Layer 2 measures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Metric</w:t>
            </w:r>
          </w:p>
        </w:tc>
        <w:tc>
          <w:tcPr>
            <w:tcW w:type="dxa" w:w="5040"/>
            <w:shd w:fill="1F4E79"/>
            <w:vAlign w:val="center"/>
            <w:tcMar>
              <w:top w:w="80" w:type="dxa"/>
              <w:start w:w="90" w:type="dxa"/>
              <w:bottom w:w="80" w:type="dxa"/>
              <w:end w:w="90" w:type="dxa"/>
            </w:tcMar>
          </w:tcPr>
          <w:p>
            <w:r>
              <w:rPr>
                <w:b/>
                <w:color w:val="FFFFFF"/>
              </w:rPr>
              <w:t>Definition and use</w:t>
            </w:r>
          </w:p>
        </w:tc>
      </w:tr>
      <w:tr>
        <w:tc>
          <w:tcPr>
            <w:tcW w:type="dxa" w:w="5040"/>
            <w:vAlign w:val="top"/>
            <w:tcMar>
              <w:top w:w="80" w:type="dxa"/>
              <w:start w:w="90" w:type="dxa"/>
              <w:bottom w:w="80" w:type="dxa"/>
              <w:end w:w="90" w:type="dxa"/>
            </w:tcMar>
          </w:tcPr>
          <w:p>
            <w:r>
              <w:t>Finding detection recall</w:t>
            </w:r>
          </w:p>
        </w:tc>
        <w:tc>
          <w:tcPr>
            <w:tcW w:type="dxa" w:w="5040"/>
            <w:vAlign w:val="top"/>
            <w:tcMar>
              <w:top w:w="80" w:type="dxa"/>
              <w:start w:w="90" w:type="dxa"/>
              <w:bottom w:w="80" w:type="dxa"/>
              <w:end w:w="90" w:type="dxa"/>
            </w:tcMar>
          </w:tcPr>
          <w:p>
            <w:r>
              <w:t>Proportion of expert-confirmed findings identified by the evaluation workflow</w:t>
            </w:r>
          </w:p>
        </w:tc>
      </w:tr>
      <w:tr>
        <w:tc>
          <w:tcPr>
            <w:tcW w:type="dxa" w:w="5040"/>
            <w:vAlign w:val="top"/>
            <w:tcMar>
              <w:top w:w="80" w:type="dxa"/>
              <w:start w:w="90" w:type="dxa"/>
              <w:bottom w:w="80" w:type="dxa"/>
              <w:end w:w="90" w:type="dxa"/>
            </w:tcMar>
            <w:shd w:fill="F5F8FA"/>
          </w:tcPr>
          <w:p>
            <w:r>
              <w:t>False-positive rate</w:t>
            </w:r>
          </w:p>
        </w:tc>
        <w:tc>
          <w:tcPr>
            <w:tcW w:type="dxa" w:w="5040"/>
            <w:vAlign w:val="top"/>
            <w:tcMar>
              <w:top w:w="80" w:type="dxa"/>
              <w:start w:w="90" w:type="dxa"/>
              <w:bottom w:w="80" w:type="dxa"/>
              <w:end w:w="90" w:type="dxa"/>
            </w:tcMar>
            <w:shd w:fill="F5F8FA"/>
          </w:tcPr>
          <w:p>
            <w:r>
              <w:t>Proportion of proposed findings rejected by validators</w:t>
            </w:r>
          </w:p>
        </w:tc>
      </w:tr>
      <w:tr>
        <w:tc>
          <w:tcPr>
            <w:tcW w:type="dxa" w:w="5040"/>
            <w:vAlign w:val="top"/>
            <w:tcMar>
              <w:top w:w="80" w:type="dxa"/>
              <w:start w:w="90" w:type="dxa"/>
              <w:bottom w:w="80" w:type="dxa"/>
              <w:end w:w="90" w:type="dxa"/>
            </w:tcMar>
          </w:tcPr>
          <w:p>
            <w:r>
              <w:t>Severity agreement</w:t>
            </w:r>
          </w:p>
        </w:tc>
        <w:tc>
          <w:tcPr>
            <w:tcW w:type="dxa" w:w="5040"/>
            <w:vAlign w:val="top"/>
            <w:tcMar>
              <w:top w:w="80" w:type="dxa"/>
              <w:start w:w="90" w:type="dxa"/>
              <w:bottom w:w="80" w:type="dxa"/>
              <w:end w:w="90" w:type="dxa"/>
            </w:tcMar>
          </w:tcPr>
          <w:p>
            <w:r>
              <w:t>Alignment between system-proposed severity and approved severity</w:t>
            </w:r>
          </w:p>
        </w:tc>
      </w:tr>
      <w:tr>
        <w:tc>
          <w:tcPr>
            <w:tcW w:type="dxa" w:w="5040"/>
            <w:vAlign w:val="top"/>
            <w:tcMar>
              <w:top w:w="80" w:type="dxa"/>
              <w:start w:w="90" w:type="dxa"/>
              <w:bottom w:w="80" w:type="dxa"/>
              <w:end w:w="90" w:type="dxa"/>
            </w:tcMar>
            <w:shd w:fill="F5F8FA"/>
          </w:tcPr>
          <w:p>
            <w:r>
              <w:t>Validator agreement</w:t>
            </w:r>
          </w:p>
        </w:tc>
        <w:tc>
          <w:tcPr>
            <w:tcW w:type="dxa" w:w="5040"/>
            <w:vAlign w:val="top"/>
            <w:tcMar>
              <w:top w:w="80" w:type="dxa"/>
              <w:start w:w="90" w:type="dxa"/>
              <w:bottom w:w="80" w:type="dxa"/>
              <w:end w:w="90" w:type="dxa"/>
            </w:tcMar>
            <w:shd w:fill="F5F8FA"/>
          </w:tcPr>
          <w:p>
            <w:r>
              <w:t>Consistency of conclusions across qualified validators</w:t>
            </w:r>
          </w:p>
        </w:tc>
      </w:tr>
      <w:tr>
        <w:tc>
          <w:tcPr>
            <w:tcW w:type="dxa" w:w="5040"/>
            <w:vAlign w:val="top"/>
            <w:tcMar>
              <w:top w:w="80" w:type="dxa"/>
              <w:start w:w="90" w:type="dxa"/>
              <w:bottom w:w="80" w:type="dxa"/>
              <w:end w:w="90" w:type="dxa"/>
            </w:tcMar>
          </w:tcPr>
          <w:p>
            <w:r>
              <w:t>LLM-judge consistency</w:t>
            </w:r>
          </w:p>
        </w:tc>
        <w:tc>
          <w:tcPr>
            <w:tcW w:type="dxa" w:w="5040"/>
            <w:vAlign w:val="top"/>
            <w:tcMar>
              <w:top w:w="80" w:type="dxa"/>
              <w:start w:w="90" w:type="dxa"/>
              <w:bottom w:w="80" w:type="dxa"/>
              <w:end w:w="90" w:type="dxa"/>
            </w:tcMar>
          </w:tcPr>
          <w:p>
            <w:r>
              <w:t>Repeatability and robustness across repeated runs and prompt variations</w:t>
            </w:r>
          </w:p>
        </w:tc>
      </w:tr>
      <w:tr>
        <w:tc>
          <w:tcPr>
            <w:tcW w:type="dxa" w:w="5040"/>
            <w:vAlign w:val="top"/>
            <w:tcMar>
              <w:top w:w="80" w:type="dxa"/>
              <w:start w:w="90" w:type="dxa"/>
              <w:bottom w:w="80" w:type="dxa"/>
              <w:end w:w="90" w:type="dxa"/>
            </w:tcMar>
            <w:shd w:fill="F5F8FA"/>
          </w:tcPr>
          <w:p>
            <w:r>
              <w:t>Test coverage</w:t>
            </w:r>
          </w:p>
        </w:tc>
        <w:tc>
          <w:tcPr>
            <w:tcW w:type="dxa" w:w="5040"/>
            <w:vAlign w:val="top"/>
            <w:tcMar>
              <w:top w:w="80" w:type="dxa"/>
              <w:start w:w="90" w:type="dxa"/>
              <w:bottom w:w="80" w:type="dxa"/>
              <w:end w:w="90" w:type="dxa"/>
            </w:tcMar>
            <w:shd w:fill="F5F8FA"/>
          </w:tcPr>
          <w:p>
            <w:r>
              <w:t>Coverage of approved risk hypotheses and required validation scenarios</w:t>
            </w:r>
          </w:p>
        </w:tc>
      </w:tr>
      <w:tr>
        <w:tc>
          <w:tcPr>
            <w:tcW w:type="dxa" w:w="5040"/>
            <w:vAlign w:val="top"/>
            <w:tcMar>
              <w:top w:w="80" w:type="dxa"/>
              <w:start w:w="90" w:type="dxa"/>
              <w:bottom w:w="80" w:type="dxa"/>
              <w:end w:w="90" w:type="dxa"/>
            </w:tcMar>
          </w:tcPr>
          <w:p>
            <w:r>
              <w:t>Reproducibility</w:t>
            </w:r>
          </w:p>
        </w:tc>
        <w:tc>
          <w:tcPr>
            <w:tcW w:type="dxa" w:w="5040"/>
            <w:vAlign w:val="top"/>
            <w:tcMar>
              <w:top w:w="80" w:type="dxa"/>
              <w:start w:w="90" w:type="dxa"/>
              <w:bottom w:w="80" w:type="dxa"/>
              <w:end w:w="90" w:type="dxa"/>
            </w:tcMar>
          </w:tcPr>
          <w:p>
            <w:r>
              <w:t>Ability to reproduce results using recorded models, data, configuration and versions</w:t>
            </w:r>
          </w:p>
        </w:tc>
      </w:tr>
      <w:tr>
        <w:tc>
          <w:tcPr>
            <w:tcW w:type="dxa" w:w="5040"/>
            <w:vAlign w:val="top"/>
            <w:tcMar>
              <w:top w:w="80" w:type="dxa"/>
              <w:start w:w="90" w:type="dxa"/>
              <w:bottom w:w="80" w:type="dxa"/>
              <w:end w:w="90" w:type="dxa"/>
            </w:tcMar>
            <w:shd w:fill="F5F8FA"/>
          </w:tcPr>
          <w:p>
            <w:r>
              <w:t>Report conclusion agreement</w:t>
            </w:r>
          </w:p>
        </w:tc>
        <w:tc>
          <w:tcPr>
            <w:tcW w:type="dxa" w:w="5040"/>
            <w:vAlign w:val="top"/>
            <w:tcMar>
              <w:top w:w="80" w:type="dxa"/>
              <w:start w:w="90" w:type="dxa"/>
              <w:bottom w:w="80" w:type="dxa"/>
              <w:end w:w="90" w:type="dxa"/>
            </w:tcMar>
            <w:shd w:fill="F5F8FA"/>
          </w:tcPr>
          <w:p>
            <w:r>
              <w:t>Alignment between generated draft conclusions and approved final conclusions</w:t>
            </w:r>
          </w:p>
        </w:tc>
      </w:tr>
    </w:tbl>
    <w:p/>
    <w:p>
      <w:pPr>
        <w:pStyle w:val="Heading2"/>
      </w:pPr>
      <w:r>
        <w:t>8.3 Required segmentation</w:t>
      </w:r>
    </w:p>
    <w:p>
      <w:r>
        <w:t>Performance must not be reported only as an aggregate. Results should be segmented by model type, business domain, risk category, materiality, access mode, foundation-model provider, lifecycle stage and architecture type such as foundation model, RAG, agentic AI or traditional AI.</w:t>
      </w:r>
    </w:p>
    <w:p>
      <w:pPr>
        <w:pStyle w:val="Heading2"/>
      </w:pPr>
      <w:r>
        <w:t>8.4 Release quality gates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Gate</w:t>
            </w:r>
          </w:p>
        </w:tc>
        <w:tc>
          <w:tcPr>
            <w:tcW w:type="dxa" w:w="5040"/>
            <w:shd w:fill="1F4E79"/>
            <w:vAlign w:val="center"/>
            <w:tcMar>
              <w:top w:w="80" w:type="dxa"/>
              <w:start w:w="90" w:type="dxa"/>
              <w:bottom w:w="80" w:type="dxa"/>
              <w:end w:w="90" w:type="dxa"/>
            </w:tcMar>
          </w:tcPr>
          <w:p>
            <w:r>
              <w:rPr>
                <w:b/>
                <w:color w:val="FFFFFF"/>
              </w:rPr>
              <w:t>Minimum evidence</w:t>
            </w:r>
          </w:p>
        </w:tc>
      </w:tr>
      <w:tr>
        <w:tc>
          <w:tcPr>
            <w:tcW w:type="dxa" w:w="5040"/>
            <w:vAlign w:val="top"/>
            <w:tcMar>
              <w:top w:w="80" w:type="dxa"/>
              <w:start w:w="90" w:type="dxa"/>
              <w:bottom w:w="80" w:type="dxa"/>
              <w:end w:w="90" w:type="dxa"/>
            </w:tcMar>
          </w:tcPr>
          <w:p>
            <w:r>
              <w:t>Functional correctness</w:t>
            </w:r>
          </w:p>
        </w:tc>
        <w:tc>
          <w:tcPr>
            <w:tcW w:type="dxa" w:w="5040"/>
            <w:vAlign w:val="top"/>
            <w:tcMar>
              <w:top w:w="80" w:type="dxa"/>
              <w:start w:w="90" w:type="dxa"/>
              <w:bottom w:w="80" w:type="dxa"/>
              <w:end w:w="90" w:type="dxa"/>
            </w:tcMar>
          </w:tcPr>
          <w:p>
            <w:r>
              <w:t>Automated unit, integration and workflow tests pass</w:t>
            </w:r>
          </w:p>
        </w:tc>
      </w:tr>
      <w:tr>
        <w:tc>
          <w:tcPr>
            <w:tcW w:type="dxa" w:w="5040"/>
            <w:vAlign w:val="top"/>
            <w:tcMar>
              <w:top w:w="80" w:type="dxa"/>
              <w:start w:w="90" w:type="dxa"/>
              <w:bottom w:w="80" w:type="dxa"/>
              <w:end w:w="90" w:type="dxa"/>
            </w:tcMar>
            <w:shd w:fill="F5F8FA"/>
          </w:tcPr>
          <w:p>
            <w:r>
              <w:t>Methodology regression</w:t>
            </w:r>
          </w:p>
        </w:tc>
        <w:tc>
          <w:tcPr>
            <w:tcW w:type="dxa" w:w="5040"/>
            <w:vAlign w:val="top"/>
            <w:tcMar>
              <w:top w:w="80" w:type="dxa"/>
              <w:start w:w="90" w:type="dxa"/>
              <w:bottom w:w="80" w:type="dxa"/>
              <w:end w:w="90" w:type="dxa"/>
            </w:tcMar>
            <w:shd w:fill="F5F8FA"/>
          </w:tcPr>
          <w:p>
            <w:r>
              <w:t>No unexplained deterioration on approved golden cases</w:t>
            </w:r>
          </w:p>
        </w:tc>
      </w:tr>
      <w:tr>
        <w:tc>
          <w:tcPr>
            <w:tcW w:type="dxa" w:w="5040"/>
            <w:vAlign w:val="top"/>
            <w:tcMar>
              <w:top w:w="80" w:type="dxa"/>
              <w:start w:w="90" w:type="dxa"/>
              <w:bottom w:w="80" w:type="dxa"/>
              <w:end w:w="90" w:type="dxa"/>
            </w:tcMar>
          </w:tcPr>
          <w:p>
            <w:r>
              <w:t>Segment performance</w:t>
            </w:r>
          </w:p>
        </w:tc>
        <w:tc>
          <w:tcPr>
            <w:tcW w:type="dxa" w:w="5040"/>
            <w:vAlign w:val="top"/>
            <w:tcMar>
              <w:top w:w="80" w:type="dxa"/>
              <w:start w:w="90" w:type="dxa"/>
              <w:bottom w:w="80" w:type="dxa"/>
              <w:end w:w="90" w:type="dxa"/>
            </w:tcMar>
          </w:tcPr>
          <w:p>
            <w:r>
              <w:t>Critical segments meet agreed thresholds or have approved limitations</w:t>
            </w:r>
          </w:p>
        </w:tc>
      </w:tr>
      <w:tr>
        <w:tc>
          <w:tcPr>
            <w:tcW w:type="dxa" w:w="5040"/>
            <w:vAlign w:val="top"/>
            <w:tcMar>
              <w:top w:w="80" w:type="dxa"/>
              <w:start w:w="90" w:type="dxa"/>
              <w:bottom w:w="80" w:type="dxa"/>
              <w:end w:w="90" w:type="dxa"/>
            </w:tcMar>
            <w:shd w:fill="F5F8FA"/>
          </w:tcPr>
          <w:p>
            <w:r>
              <w:t>Evidence traceability</w:t>
            </w:r>
          </w:p>
        </w:tc>
        <w:tc>
          <w:tcPr>
            <w:tcW w:type="dxa" w:w="5040"/>
            <w:vAlign w:val="top"/>
            <w:tcMar>
              <w:top w:w="80" w:type="dxa"/>
              <w:start w:w="90" w:type="dxa"/>
              <w:bottom w:w="80" w:type="dxa"/>
              <w:end w:w="90" w:type="dxa"/>
            </w:tcMar>
            <w:shd w:fill="F5F8FA"/>
          </w:tcPr>
          <w:p>
            <w:r>
              <w:t>Outputs retain source, version and decision lineage</w:t>
            </w:r>
          </w:p>
        </w:tc>
      </w:tr>
      <w:tr>
        <w:tc>
          <w:tcPr>
            <w:tcW w:type="dxa" w:w="5040"/>
            <w:vAlign w:val="top"/>
            <w:tcMar>
              <w:top w:w="80" w:type="dxa"/>
              <w:start w:w="90" w:type="dxa"/>
              <w:bottom w:w="80" w:type="dxa"/>
              <w:end w:w="90" w:type="dxa"/>
            </w:tcMar>
          </w:tcPr>
          <w:p>
            <w:r>
              <w:t>Security and access</w:t>
            </w:r>
          </w:p>
        </w:tc>
        <w:tc>
          <w:tcPr>
            <w:tcW w:type="dxa" w:w="5040"/>
            <w:vAlign w:val="top"/>
            <w:tcMar>
              <w:top w:w="80" w:type="dxa"/>
              <w:start w:w="90" w:type="dxa"/>
              <w:bottom w:w="80" w:type="dxa"/>
              <w:end w:w="90" w:type="dxa"/>
            </w:tcMar>
          </w:tcPr>
          <w:p>
            <w:r>
              <w:t>No unauthorised data access or leakage in tests</w:t>
            </w:r>
          </w:p>
        </w:tc>
      </w:tr>
      <w:tr>
        <w:tc>
          <w:tcPr>
            <w:tcW w:type="dxa" w:w="5040"/>
            <w:vAlign w:val="top"/>
            <w:tcMar>
              <w:top w:w="80" w:type="dxa"/>
              <w:start w:w="90" w:type="dxa"/>
              <w:bottom w:w="80" w:type="dxa"/>
              <w:end w:w="90" w:type="dxa"/>
            </w:tcMar>
            <w:shd w:fill="F5F8FA"/>
          </w:tcPr>
          <w:p>
            <w:r>
              <w:t>Human review</w:t>
            </w:r>
          </w:p>
        </w:tc>
        <w:tc>
          <w:tcPr>
            <w:tcW w:type="dxa" w:w="5040"/>
            <w:vAlign w:val="top"/>
            <w:tcMar>
              <w:top w:w="80" w:type="dxa"/>
              <w:start w:w="90" w:type="dxa"/>
              <w:bottom w:w="80" w:type="dxa"/>
              <w:end w:w="90" w:type="dxa"/>
            </w:tcMar>
            <w:shd w:fill="F5F8FA"/>
          </w:tcPr>
          <w:p>
            <w:r>
              <w:t>Required SMEs approve methodology-sensitive changes</w:t>
            </w:r>
          </w:p>
        </w:tc>
      </w:tr>
      <w:tr>
        <w:tc>
          <w:tcPr>
            <w:tcW w:type="dxa" w:w="5040"/>
            <w:vAlign w:val="top"/>
            <w:tcMar>
              <w:top w:w="80" w:type="dxa"/>
              <w:start w:w="90" w:type="dxa"/>
              <w:bottom w:w="80" w:type="dxa"/>
              <w:end w:w="90" w:type="dxa"/>
            </w:tcMar>
          </w:tcPr>
          <w:p>
            <w:r>
              <w:t>Rollback readiness</w:t>
            </w:r>
          </w:p>
        </w:tc>
        <w:tc>
          <w:tcPr>
            <w:tcW w:type="dxa" w:w="5040"/>
            <w:vAlign w:val="top"/>
            <w:tcMar>
              <w:top w:w="80" w:type="dxa"/>
              <w:start w:w="90" w:type="dxa"/>
              <w:bottom w:w="80" w:type="dxa"/>
              <w:end w:w="90" w:type="dxa"/>
            </w:tcMar>
          </w:tcPr>
          <w:p>
            <w:r>
              <w:t>Previous stable version and schema compatibility are documented</w:t>
            </w:r>
          </w:p>
        </w:tc>
      </w:tr>
      <w:tr>
        <w:tc>
          <w:tcPr>
            <w:tcW w:type="dxa" w:w="5040"/>
            <w:vAlign w:val="top"/>
            <w:tcMar>
              <w:top w:w="80" w:type="dxa"/>
              <w:start w:w="90" w:type="dxa"/>
              <w:bottom w:w="80" w:type="dxa"/>
              <w:end w:w="90" w:type="dxa"/>
            </w:tcMar>
            <w:shd w:fill="F5F8FA"/>
          </w:tcPr>
          <w:p>
            <w:r>
              <w:t>Release documentation</w:t>
            </w:r>
          </w:p>
        </w:tc>
        <w:tc>
          <w:tcPr>
            <w:tcW w:type="dxa" w:w="5040"/>
            <w:vAlign w:val="top"/>
            <w:tcMar>
              <w:top w:w="80" w:type="dxa"/>
              <w:start w:w="90" w:type="dxa"/>
              <w:bottom w:w="80" w:type="dxa"/>
              <w:end w:w="90" w:type="dxa"/>
            </w:tcMar>
            <w:shd w:fill="F5F8FA"/>
          </w:tcPr>
          <w:p>
            <w:r>
              <w:t>Manifest, change log, limitations and effective date are complete</w:t>
            </w:r>
          </w:p>
        </w:tc>
      </w:tr>
    </w:tbl>
    <w:p/>
    <w:p>
      <w:pPr>
        <w:pStyle w:val="Heading1"/>
      </w:pPr>
      <w:r>
        <w:t>9. Human Judgement Framework</w:t>
      </w:r>
    </w:p>
    <w:p>
      <w:r>
        <w:t>The Core must support, not replace, accountable second-line judgement. Every material recommendation should be reviewable and every approved decision should preserve the relationship between automated analysis and human judgement.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Required record</w:t>
            </w:r>
          </w:p>
        </w:tc>
        <w:tc>
          <w:tcPr>
            <w:tcW w:type="dxa" w:w="5040"/>
            <w:shd w:fill="1F4E79"/>
            <w:vAlign w:val="center"/>
            <w:tcMar>
              <w:top w:w="80" w:type="dxa"/>
              <w:start w:w="90" w:type="dxa"/>
              <w:bottom w:w="80" w:type="dxa"/>
              <w:end w:w="90" w:type="dxa"/>
            </w:tcMar>
          </w:tcPr>
          <w:p>
            <w:r>
              <w:rPr>
                <w:b/>
                <w:color w:val="FFFFFF"/>
              </w:rPr>
              <w:t>Example content</w:t>
            </w:r>
          </w:p>
        </w:tc>
      </w:tr>
      <w:tr>
        <w:tc>
          <w:tcPr>
            <w:tcW w:type="dxa" w:w="5040"/>
            <w:vAlign w:val="top"/>
            <w:tcMar>
              <w:top w:w="80" w:type="dxa"/>
              <w:start w:w="90" w:type="dxa"/>
              <w:bottom w:w="80" w:type="dxa"/>
              <w:end w:w="90" w:type="dxa"/>
            </w:tcMar>
          </w:tcPr>
          <w:p>
            <w:r>
              <w:t>System recommendation</w:t>
            </w:r>
          </w:p>
        </w:tc>
        <w:tc>
          <w:tcPr>
            <w:tcW w:type="dxa" w:w="5040"/>
            <w:vAlign w:val="top"/>
            <w:tcMar>
              <w:top w:w="80" w:type="dxa"/>
              <w:start w:w="90" w:type="dxa"/>
              <w:bottom w:w="80" w:type="dxa"/>
              <w:end w:w="90" w:type="dxa"/>
            </w:tcMar>
          </w:tcPr>
          <w:p>
            <w:r>
              <w:t>Proposed Tier 3 with identified risk factors and evidence</w:t>
            </w:r>
          </w:p>
        </w:tc>
      </w:tr>
      <w:tr>
        <w:tc>
          <w:tcPr>
            <w:tcW w:type="dxa" w:w="5040"/>
            <w:vAlign w:val="top"/>
            <w:tcMar>
              <w:top w:w="80" w:type="dxa"/>
              <w:start w:w="90" w:type="dxa"/>
              <w:bottom w:w="80" w:type="dxa"/>
              <w:end w:w="90" w:type="dxa"/>
            </w:tcMar>
            <w:shd w:fill="F5F8FA"/>
          </w:tcPr>
          <w:p>
            <w:r>
              <w:t>Human decision</w:t>
            </w:r>
          </w:p>
        </w:tc>
        <w:tc>
          <w:tcPr>
            <w:tcW w:type="dxa" w:w="5040"/>
            <w:vAlign w:val="top"/>
            <w:tcMar>
              <w:top w:w="80" w:type="dxa"/>
              <w:start w:w="90" w:type="dxa"/>
              <w:bottom w:w="80" w:type="dxa"/>
              <w:end w:w="90" w:type="dxa"/>
            </w:tcMar>
            <w:shd w:fill="F5F8FA"/>
          </w:tcPr>
          <w:p>
            <w:r>
              <w:t>Approved Tier 2</w:t>
            </w:r>
          </w:p>
        </w:tc>
      </w:tr>
      <w:tr>
        <w:tc>
          <w:tcPr>
            <w:tcW w:type="dxa" w:w="5040"/>
            <w:vAlign w:val="top"/>
            <w:tcMar>
              <w:top w:w="80" w:type="dxa"/>
              <w:start w:w="90" w:type="dxa"/>
              <w:bottom w:w="80" w:type="dxa"/>
              <w:end w:w="90" w:type="dxa"/>
            </w:tcMar>
          </w:tcPr>
          <w:p>
            <w:r>
              <w:t>Disagreement type</w:t>
            </w:r>
          </w:p>
        </w:tc>
        <w:tc>
          <w:tcPr>
            <w:tcW w:type="dxa" w:w="5040"/>
            <w:vAlign w:val="top"/>
            <w:tcMar>
              <w:top w:w="80" w:type="dxa"/>
              <w:start w:w="90" w:type="dxa"/>
              <w:bottom w:w="80" w:type="dxa"/>
              <w:end w:w="90" w:type="dxa"/>
            </w:tcMar>
          </w:tcPr>
          <w:p>
            <w:r>
              <w:t>Impact underestimated</w:t>
            </w:r>
          </w:p>
        </w:tc>
      </w:tr>
      <w:tr>
        <w:tc>
          <w:tcPr>
            <w:tcW w:type="dxa" w:w="5040"/>
            <w:vAlign w:val="top"/>
            <w:tcMar>
              <w:top w:w="80" w:type="dxa"/>
              <w:start w:w="90" w:type="dxa"/>
              <w:bottom w:w="80" w:type="dxa"/>
              <w:end w:w="90" w:type="dxa"/>
            </w:tcMar>
            <w:shd w:fill="F5F8FA"/>
          </w:tcPr>
          <w:p>
            <w:r>
              <w:t>Override rationale</w:t>
            </w:r>
          </w:p>
        </w:tc>
        <w:tc>
          <w:tcPr>
            <w:tcW w:type="dxa" w:w="5040"/>
            <w:vAlign w:val="top"/>
            <w:tcMar>
              <w:top w:w="80" w:type="dxa"/>
              <w:start w:w="90" w:type="dxa"/>
              <w:bottom w:w="80" w:type="dxa"/>
              <w:end w:w="90" w:type="dxa"/>
            </w:tcMar>
            <w:shd w:fill="F5F8FA"/>
          </w:tcPr>
          <w:p>
            <w:r>
              <w:t>Use case supports regulatory reporting and failure consequences are higher than reflected in the original response</w:t>
            </w:r>
          </w:p>
        </w:tc>
      </w:tr>
      <w:tr>
        <w:tc>
          <w:tcPr>
            <w:tcW w:type="dxa" w:w="5040"/>
            <w:vAlign w:val="top"/>
            <w:tcMar>
              <w:top w:w="80" w:type="dxa"/>
              <w:start w:w="90" w:type="dxa"/>
              <w:bottom w:w="80" w:type="dxa"/>
              <w:end w:w="90" w:type="dxa"/>
            </w:tcMar>
          </w:tcPr>
          <w:p>
            <w:r>
              <w:t>Evidence relied upon</w:t>
            </w:r>
          </w:p>
        </w:tc>
        <w:tc>
          <w:tcPr>
            <w:tcW w:type="dxa" w:w="5040"/>
            <w:vAlign w:val="top"/>
            <w:tcMar>
              <w:top w:w="80" w:type="dxa"/>
              <w:start w:w="90" w:type="dxa"/>
              <w:bottom w:w="80" w:type="dxa"/>
              <w:end w:w="90" w:type="dxa"/>
            </w:tcMar>
          </w:tcPr>
          <w:p>
            <w:r>
              <w:t>Use-case documentation, regulatory dependency and SME challenge</w:t>
            </w:r>
          </w:p>
        </w:tc>
      </w:tr>
      <w:tr>
        <w:tc>
          <w:tcPr>
            <w:tcW w:type="dxa" w:w="5040"/>
            <w:vAlign w:val="top"/>
            <w:tcMar>
              <w:top w:w="80" w:type="dxa"/>
              <w:start w:w="90" w:type="dxa"/>
              <w:bottom w:w="80" w:type="dxa"/>
              <w:end w:w="90" w:type="dxa"/>
            </w:tcMar>
            <w:shd w:fill="F5F8FA"/>
          </w:tcPr>
          <w:p>
            <w:r>
              <w:t>Approver</w:t>
            </w:r>
          </w:p>
        </w:tc>
        <w:tc>
          <w:tcPr>
            <w:tcW w:type="dxa" w:w="5040"/>
            <w:vAlign w:val="top"/>
            <w:tcMar>
              <w:top w:w="80" w:type="dxa"/>
              <w:start w:w="90" w:type="dxa"/>
              <w:bottom w:w="80" w:type="dxa"/>
              <w:end w:w="90" w:type="dxa"/>
            </w:tcMar>
            <w:shd w:fill="F5F8FA"/>
          </w:tcPr>
          <w:p>
            <w:r>
              <w:t>Named authorised reviewer</w:t>
            </w:r>
          </w:p>
        </w:tc>
      </w:tr>
      <w:tr>
        <w:tc>
          <w:tcPr>
            <w:tcW w:type="dxa" w:w="5040"/>
            <w:vAlign w:val="top"/>
            <w:tcMar>
              <w:top w:w="80" w:type="dxa"/>
              <w:start w:w="90" w:type="dxa"/>
              <w:bottom w:w="80" w:type="dxa"/>
              <w:end w:w="90" w:type="dxa"/>
            </w:tcMar>
          </w:tcPr>
          <w:p>
            <w:r>
              <w:t>Follow-up action</w:t>
            </w:r>
          </w:p>
        </w:tc>
        <w:tc>
          <w:tcPr>
            <w:tcW w:type="dxa" w:w="5040"/>
            <w:vAlign w:val="top"/>
            <w:tcMar>
              <w:top w:w="80" w:type="dxa"/>
              <w:start w:w="90" w:type="dxa"/>
              <w:bottom w:w="80" w:type="dxa"/>
              <w:end w:w="90" w:type="dxa"/>
            </w:tcMar>
          </w:tcPr>
          <w:p>
            <w:r>
              <w:t>Expanded independent-validation scope and additional robustness testing</w:t>
            </w:r>
          </w:p>
        </w:tc>
      </w:tr>
      <w:tr>
        <w:tc>
          <w:tcPr>
            <w:tcW w:type="dxa" w:w="5040"/>
            <w:vAlign w:val="top"/>
            <w:tcMar>
              <w:top w:w="80" w:type="dxa"/>
              <w:start w:w="90" w:type="dxa"/>
              <w:bottom w:w="80" w:type="dxa"/>
              <w:end w:w="90" w:type="dxa"/>
            </w:tcMar>
            <w:shd w:fill="F5F8FA"/>
          </w:tcPr>
          <w:p>
            <w:r>
              <w:t>Subsequent outcome</w:t>
            </w:r>
          </w:p>
        </w:tc>
        <w:tc>
          <w:tcPr>
            <w:tcW w:type="dxa" w:w="5040"/>
            <w:vAlign w:val="top"/>
            <w:tcMar>
              <w:top w:w="80" w:type="dxa"/>
              <w:start w:w="90" w:type="dxa"/>
              <w:bottom w:w="80" w:type="dxa"/>
              <w:end w:w="90" w:type="dxa"/>
            </w:tcMar>
            <w:shd w:fill="F5F8FA"/>
          </w:tcPr>
          <w:p>
            <w:r>
              <w:t>Validation findings, incidents, monitoring result or confirmed adequacy</w:t>
            </w:r>
          </w:p>
        </w:tc>
      </w:tr>
    </w:tbl>
    <w:p/>
    <w:p>
      <w:r>
        <w:t>Overrides should be classified rather than stored as free text only. Suggested classifications include missing evidence, policy interpretation, impact underestimation, domain context, model limitation, threshold issue, system extraction error and methodology gap.</w:t>
      </w:r>
    </w:p>
    <w:p>
      <w:pPr>
        <w:pStyle w:val="Heading1"/>
      </w:pPr>
      <w:r>
        <w:t>10. Domain Skill Operating Standard</w:t>
      </w:r>
    </w:p>
    <w:p>
      <w:r>
        <w:t>A Domain Skill is a governed package of expert risk knowledge. It is not merely a prompt. Each skill should meet the following standard before being treated as an approved Core capability.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Section</w:t>
            </w:r>
          </w:p>
        </w:tc>
        <w:tc>
          <w:tcPr>
            <w:tcW w:type="dxa" w:w="5040"/>
            <w:shd w:fill="1F4E79"/>
            <w:vAlign w:val="center"/>
            <w:tcMar>
              <w:top w:w="80" w:type="dxa"/>
              <w:start w:w="90" w:type="dxa"/>
              <w:bottom w:w="80" w:type="dxa"/>
              <w:end w:w="90" w:type="dxa"/>
            </w:tcMar>
          </w:tcPr>
          <w:p>
            <w:r>
              <w:rPr>
                <w:b/>
                <w:color w:val="FFFFFF"/>
              </w:rPr>
              <w:t>Required content</w:t>
            </w:r>
          </w:p>
        </w:tc>
      </w:tr>
      <w:tr>
        <w:tc>
          <w:tcPr>
            <w:tcW w:type="dxa" w:w="5040"/>
            <w:vAlign w:val="top"/>
            <w:tcMar>
              <w:top w:w="80" w:type="dxa"/>
              <w:start w:w="90" w:type="dxa"/>
              <w:bottom w:w="80" w:type="dxa"/>
              <w:end w:w="90" w:type="dxa"/>
            </w:tcMar>
          </w:tcPr>
          <w:p>
            <w:r>
              <w:t>Identity</w:t>
            </w:r>
          </w:p>
        </w:tc>
        <w:tc>
          <w:tcPr>
            <w:tcW w:type="dxa" w:w="5040"/>
            <w:vAlign w:val="top"/>
            <w:tcMar>
              <w:top w:w="80" w:type="dxa"/>
              <w:start w:w="90" w:type="dxa"/>
              <w:bottom w:w="80" w:type="dxa"/>
              <w:end w:w="90" w:type="dxa"/>
            </w:tcMar>
          </w:tcPr>
          <w:p>
            <w:r>
              <w:t>Name, version, status, owner and review date</w:t>
            </w:r>
          </w:p>
        </w:tc>
      </w:tr>
      <w:tr>
        <w:tc>
          <w:tcPr>
            <w:tcW w:type="dxa" w:w="5040"/>
            <w:vAlign w:val="top"/>
            <w:tcMar>
              <w:top w:w="80" w:type="dxa"/>
              <w:start w:w="90" w:type="dxa"/>
              <w:bottom w:w="80" w:type="dxa"/>
              <w:end w:w="90" w:type="dxa"/>
            </w:tcMar>
            <w:shd w:fill="F5F8FA"/>
          </w:tcPr>
          <w:p>
            <w:r>
              <w:t>Scope</w:t>
            </w:r>
          </w:p>
        </w:tc>
        <w:tc>
          <w:tcPr>
            <w:tcW w:type="dxa" w:w="5040"/>
            <w:vAlign w:val="top"/>
            <w:tcMar>
              <w:top w:w="80" w:type="dxa"/>
              <w:start w:w="90" w:type="dxa"/>
              <w:bottom w:w="80" w:type="dxa"/>
              <w:end w:w="90" w:type="dxa"/>
            </w:tcMar>
            <w:shd w:fill="F5F8FA"/>
          </w:tcPr>
          <w:p>
            <w:r>
              <w:t>Applicable model types, business domains, lifecycle stages and exclusions</w:t>
            </w:r>
          </w:p>
        </w:tc>
      </w:tr>
      <w:tr>
        <w:tc>
          <w:tcPr>
            <w:tcW w:type="dxa" w:w="5040"/>
            <w:vAlign w:val="top"/>
            <w:tcMar>
              <w:top w:w="80" w:type="dxa"/>
              <w:start w:w="90" w:type="dxa"/>
              <w:bottom w:w="80" w:type="dxa"/>
              <w:end w:w="90" w:type="dxa"/>
            </w:tcMar>
          </w:tcPr>
          <w:p>
            <w:r>
              <w:t>Risk hypotheses</w:t>
            </w:r>
          </w:p>
        </w:tc>
        <w:tc>
          <w:tcPr>
            <w:tcW w:type="dxa" w:w="5040"/>
            <w:vAlign w:val="top"/>
            <w:tcMar>
              <w:top w:w="80" w:type="dxa"/>
              <w:start w:w="90" w:type="dxa"/>
              <w:bottom w:w="80" w:type="dxa"/>
              <w:end w:w="90" w:type="dxa"/>
            </w:tcMar>
          </w:tcPr>
          <w:p>
            <w:r>
              <w:t>Failure modes, harms and control weaknesses to examine</w:t>
            </w:r>
          </w:p>
        </w:tc>
      </w:tr>
      <w:tr>
        <w:tc>
          <w:tcPr>
            <w:tcW w:type="dxa" w:w="5040"/>
            <w:vAlign w:val="top"/>
            <w:tcMar>
              <w:top w:w="80" w:type="dxa"/>
              <w:start w:w="90" w:type="dxa"/>
              <w:bottom w:w="80" w:type="dxa"/>
              <w:end w:w="90" w:type="dxa"/>
            </w:tcMar>
            <w:shd w:fill="F5F8FA"/>
          </w:tcPr>
          <w:p>
            <w:r>
              <w:t>Evidence model</w:t>
            </w:r>
          </w:p>
        </w:tc>
        <w:tc>
          <w:tcPr>
            <w:tcW w:type="dxa" w:w="5040"/>
            <w:vAlign w:val="top"/>
            <w:tcMar>
              <w:top w:w="80" w:type="dxa"/>
              <w:start w:w="90" w:type="dxa"/>
              <w:bottom w:w="80" w:type="dxa"/>
              <w:end w:w="90" w:type="dxa"/>
            </w:tcMar>
            <w:shd w:fill="F5F8FA"/>
          </w:tcPr>
          <w:p>
            <w:r>
              <w:t>Required evidence, acceptable substitutes and evidence-quality criteria</w:t>
            </w:r>
          </w:p>
        </w:tc>
      </w:tr>
      <w:tr>
        <w:tc>
          <w:tcPr>
            <w:tcW w:type="dxa" w:w="5040"/>
            <w:vAlign w:val="top"/>
            <w:tcMar>
              <w:top w:w="80" w:type="dxa"/>
              <w:start w:w="90" w:type="dxa"/>
              <w:bottom w:w="80" w:type="dxa"/>
              <w:end w:w="90" w:type="dxa"/>
            </w:tcMar>
          </w:tcPr>
          <w:p>
            <w:r>
              <w:t>Assessment method</w:t>
            </w:r>
          </w:p>
        </w:tc>
        <w:tc>
          <w:tcPr>
            <w:tcW w:type="dxa" w:w="5040"/>
            <w:vAlign w:val="top"/>
            <w:tcMar>
              <w:top w:w="80" w:type="dxa"/>
              <w:start w:w="90" w:type="dxa"/>
              <w:bottom w:w="80" w:type="dxa"/>
              <w:end w:w="90" w:type="dxa"/>
            </w:tcMar>
          </w:tcPr>
          <w:p>
            <w:r>
              <w:t>Decision rules, analysis steps, thresholds and uncertainty handling</w:t>
            </w:r>
          </w:p>
        </w:tc>
      </w:tr>
      <w:tr>
        <w:tc>
          <w:tcPr>
            <w:tcW w:type="dxa" w:w="5040"/>
            <w:vAlign w:val="top"/>
            <w:tcMar>
              <w:top w:w="80" w:type="dxa"/>
              <w:start w:w="90" w:type="dxa"/>
              <w:bottom w:w="80" w:type="dxa"/>
              <w:end w:w="90" w:type="dxa"/>
            </w:tcMar>
            <w:shd w:fill="F5F8FA"/>
          </w:tcPr>
          <w:p>
            <w:r>
              <w:t>Test catalogue</w:t>
            </w:r>
          </w:p>
        </w:tc>
        <w:tc>
          <w:tcPr>
            <w:tcW w:type="dxa" w:w="5040"/>
            <w:vAlign w:val="top"/>
            <w:tcMar>
              <w:top w:w="80" w:type="dxa"/>
              <w:start w:w="90" w:type="dxa"/>
              <w:bottom w:w="80" w:type="dxa"/>
              <w:end w:w="90" w:type="dxa"/>
            </w:tcMar>
            <w:shd w:fill="F5F8FA"/>
          </w:tcPr>
          <w:p>
            <w:r>
              <w:t>Required, optional, edge and adversarial scenarios</w:t>
            </w:r>
          </w:p>
        </w:tc>
      </w:tr>
      <w:tr>
        <w:tc>
          <w:tcPr>
            <w:tcW w:type="dxa" w:w="5040"/>
            <w:vAlign w:val="top"/>
            <w:tcMar>
              <w:top w:w="80" w:type="dxa"/>
              <w:start w:w="90" w:type="dxa"/>
              <w:bottom w:w="80" w:type="dxa"/>
              <w:end w:w="90" w:type="dxa"/>
            </w:tcMar>
          </w:tcPr>
          <w:p>
            <w:r>
              <w:t>Evaluation specification</w:t>
            </w:r>
          </w:p>
        </w:tc>
        <w:tc>
          <w:tcPr>
            <w:tcW w:type="dxa" w:w="5040"/>
            <w:vAlign w:val="top"/>
            <w:tcMar>
              <w:top w:w="80" w:type="dxa"/>
              <w:start w:w="90" w:type="dxa"/>
              <w:bottom w:w="80" w:type="dxa"/>
              <w:end w:w="90" w:type="dxa"/>
            </w:tcMar>
          </w:tcPr>
          <w:p>
            <w:r>
              <w:t>Metrics, rubrics, expected outputs and interpretation guidance</w:t>
            </w:r>
          </w:p>
        </w:tc>
      </w:tr>
      <w:tr>
        <w:tc>
          <w:tcPr>
            <w:tcW w:type="dxa" w:w="5040"/>
            <w:vAlign w:val="top"/>
            <w:tcMar>
              <w:top w:w="80" w:type="dxa"/>
              <w:start w:w="90" w:type="dxa"/>
              <w:bottom w:w="80" w:type="dxa"/>
              <w:end w:w="90" w:type="dxa"/>
            </w:tcMar>
            <w:shd w:fill="F5F8FA"/>
          </w:tcPr>
          <w:p>
            <w:r>
              <w:t>Human checkpoints</w:t>
            </w:r>
          </w:p>
        </w:tc>
        <w:tc>
          <w:tcPr>
            <w:tcW w:type="dxa" w:w="5040"/>
            <w:vAlign w:val="top"/>
            <w:tcMar>
              <w:top w:w="80" w:type="dxa"/>
              <w:start w:w="90" w:type="dxa"/>
              <w:bottom w:w="80" w:type="dxa"/>
              <w:end w:w="90" w:type="dxa"/>
            </w:tcMar>
            <w:shd w:fill="F5F8FA"/>
          </w:tcPr>
          <w:p>
            <w:r>
              <w:t>Mandatory review and approval points</w:t>
            </w:r>
          </w:p>
        </w:tc>
      </w:tr>
      <w:tr>
        <w:tc>
          <w:tcPr>
            <w:tcW w:type="dxa" w:w="5040"/>
            <w:vAlign w:val="top"/>
            <w:tcMar>
              <w:top w:w="80" w:type="dxa"/>
              <w:start w:w="90" w:type="dxa"/>
              <w:bottom w:w="80" w:type="dxa"/>
              <w:end w:w="90" w:type="dxa"/>
            </w:tcMar>
          </w:tcPr>
          <w:p>
            <w:r>
              <w:t>Escalation</w:t>
            </w:r>
          </w:p>
        </w:tc>
        <w:tc>
          <w:tcPr>
            <w:tcW w:type="dxa" w:w="5040"/>
            <w:vAlign w:val="top"/>
            <w:tcMar>
              <w:top w:w="80" w:type="dxa"/>
              <w:start w:w="90" w:type="dxa"/>
              <w:bottom w:w="80" w:type="dxa"/>
              <w:end w:w="90" w:type="dxa"/>
            </w:tcMar>
          </w:tcPr>
          <w:p>
            <w:r>
              <w:t>Triggers for enhanced review, governance referral or specialist input</w:t>
            </w:r>
          </w:p>
        </w:tc>
      </w:tr>
      <w:tr>
        <w:tc>
          <w:tcPr>
            <w:tcW w:type="dxa" w:w="5040"/>
            <w:vAlign w:val="top"/>
            <w:tcMar>
              <w:top w:w="80" w:type="dxa"/>
              <w:start w:w="90" w:type="dxa"/>
              <w:bottom w:w="80" w:type="dxa"/>
              <w:end w:w="90" w:type="dxa"/>
            </w:tcMar>
            <w:shd w:fill="F5F8FA"/>
          </w:tcPr>
          <w:p>
            <w:r>
              <w:t>Precedents</w:t>
            </w:r>
          </w:p>
        </w:tc>
        <w:tc>
          <w:tcPr>
            <w:tcW w:type="dxa" w:w="5040"/>
            <w:vAlign w:val="top"/>
            <w:tcMar>
              <w:top w:w="80" w:type="dxa"/>
              <w:start w:w="90" w:type="dxa"/>
              <w:bottom w:w="80" w:type="dxa"/>
              <w:end w:w="90" w:type="dxa"/>
            </w:tcMar>
            <w:shd w:fill="F5F8FA"/>
          </w:tcPr>
          <w:p>
            <w:r>
              <w:t>Approved examples, counterexamples and historical cases</w:t>
            </w:r>
          </w:p>
        </w:tc>
      </w:tr>
      <w:tr>
        <w:tc>
          <w:tcPr>
            <w:tcW w:type="dxa" w:w="5040"/>
            <w:vAlign w:val="top"/>
            <w:tcMar>
              <w:top w:w="80" w:type="dxa"/>
              <w:start w:w="90" w:type="dxa"/>
              <w:bottom w:w="80" w:type="dxa"/>
              <w:end w:w="90" w:type="dxa"/>
            </w:tcMar>
          </w:tcPr>
          <w:p>
            <w:r>
              <w:t>Limitations</w:t>
            </w:r>
          </w:p>
        </w:tc>
        <w:tc>
          <w:tcPr>
            <w:tcW w:type="dxa" w:w="5040"/>
            <w:vAlign w:val="top"/>
            <w:tcMar>
              <w:top w:w="80" w:type="dxa"/>
              <w:start w:w="90" w:type="dxa"/>
              <w:bottom w:w="80" w:type="dxa"/>
              <w:end w:w="90" w:type="dxa"/>
            </w:tcMar>
          </w:tcPr>
          <w:p>
            <w:r>
              <w:t>Known gaps, excluded use cases and confidence constraints</w:t>
            </w:r>
          </w:p>
        </w:tc>
      </w:tr>
      <w:tr>
        <w:tc>
          <w:tcPr>
            <w:tcW w:type="dxa" w:w="5040"/>
            <w:vAlign w:val="top"/>
            <w:tcMar>
              <w:top w:w="80" w:type="dxa"/>
              <w:start w:w="90" w:type="dxa"/>
              <w:bottom w:w="80" w:type="dxa"/>
              <w:end w:w="90" w:type="dxa"/>
            </w:tcMar>
            <w:shd w:fill="F5F8FA"/>
          </w:tcPr>
          <w:p>
            <w:r>
              <w:t>Validation evidence</w:t>
            </w:r>
          </w:p>
        </w:tc>
        <w:tc>
          <w:tcPr>
            <w:tcW w:type="dxa" w:w="5040"/>
            <w:vAlign w:val="top"/>
            <w:tcMar>
              <w:top w:w="80" w:type="dxa"/>
              <w:start w:w="90" w:type="dxa"/>
              <w:bottom w:w="80" w:type="dxa"/>
              <w:end w:w="90" w:type="dxa"/>
            </w:tcMar>
            <w:shd w:fill="F5F8FA"/>
          </w:tcPr>
          <w:p>
            <w:r>
              <w:t>Benchmark performance, disagreement analysis and approval record</w:t>
            </w:r>
          </w:p>
        </w:tc>
      </w:tr>
    </w:tbl>
    <w:p/>
    <w:p>
      <w:pPr>
        <w:pStyle w:val="Heading2"/>
      </w:pPr>
      <w:r>
        <w:t>10.1 Example: Agentic AI domain skill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Risk hypotheses</w:t>
            </w:r>
          </w:p>
        </w:tc>
        <w:tc>
          <w:tcPr>
            <w:tcW w:type="dxa" w:w="5040"/>
            <w:shd w:fill="1F4E79"/>
            <w:vAlign w:val="center"/>
            <w:tcMar>
              <w:top w:w="80" w:type="dxa"/>
              <w:start w:w="90" w:type="dxa"/>
              <w:bottom w:w="80" w:type="dxa"/>
              <w:end w:w="90" w:type="dxa"/>
            </w:tcMar>
          </w:tcPr>
          <w:p>
            <w:r>
              <w:rPr>
                <w:b/>
                <w:color w:val="FFFFFF"/>
              </w:rPr>
              <w:t>Required testing</w:t>
            </w:r>
          </w:p>
        </w:tc>
      </w:tr>
      <w:tr>
        <w:tc>
          <w:tcPr>
            <w:tcW w:type="dxa" w:w="5040"/>
            <w:vAlign w:val="top"/>
            <w:tcMar>
              <w:top w:w="80" w:type="dxa"/>
              <w:start w:w="90" w:type="dxa"/>
              <w:bottom w:w="80" w:type="dxa"/>
              <w:end w:w="90" w:type="dxa"/>
            </w:tcMar>
          </w:tcPr>
          <w:p>
            <w:r>
              <w:t>Excessive or poorly bounded autonomy</w:t>
            </w:r>
          </w:p>
        </w:tc>
        <w:tc>
          <w:tcPr>
            <w:tcW w:type="dxa" w:w="5040"/>
            <w:vAlign w:val="top"/>
            <w:tcMar>
              <w:top w:w="80" w:type="dxa"/>
              <w:start w:w="90" w:type="dxa"/>
              <w:bottom w:w="80" w:type="dxa"/>
              <w:end w:w="90" w:type="dxa"/>
            </w:tcMar>
          </w:tcPr>
          <w:p>
            <w:r>
              <w:t>Action-boundary and autonomy-escalation tests</w:t>
            </w:r>
          </w:p>
        </w:tc>
      </w:tr>
      <w:tr>
        <w:tc>
          <w:tcPr>
            <w:tcW w:type="dxa" w:w="5040"/>
            <w:vAlign w:val="top"/>
            <w:tcMar>
              <w:top w:w="80" w:type="dxa"/>
              <w:start w:w="90" w:type="dxa"/>
              <w:bottom w:w="80" w:type="dxa"/>
              <w:end w:w="90" w:type="dxa"/>
            </w:tcMar>
            <w:shd w:fill="F5F8FA"/>
          </w:tcPr>
          <w:p>
            <w:r>
              <w:t>Unsafe tool selection</w:t>
            </w:r>
          </w:p>
        </w:tc>
        <w:tc>
          <w:tcPr>
            <w:tcW w:type="dxa" w:w="5040"/>
            <w:vAlign w:val="top"/>
            <w:tcMar>
              <w:top w:w="80" w:type="dxa"/>
              <w:start w:w="90" w:type="dxa"/>
              <w:bottom w:w="80" w:type="dxa"/>
              <w:end w:w="90" w:type="dxa"/>
            </w:tcMar>
            <w:shd w:fill="F5F8FA"/>
          </w:tcPr>
          <w:p>
            <w:r>
              <w:t>Tool-choice appropriateness and restricted-tool tests</w:t>
            </w:r>
          </w:p>
        </w:tc>
      </w:tr>
      <w:tr>
        <w:tc>
          <w:tcPr>
            <w:tcW w:type="dxa" w:w="5040"/>
            <w:vAlign w:val="top"/>
            <w:tcMar>
              <w:top w:w="80" w:type="dxa"/>
              <w:start w:w="90" w:type="dxa"/>
              <w:bottom w:w="80" w:type="dxa"/>
              <w:end w:w="90" w:type="dxa"/>
            </w:tcMar>
          </w:tcPr>
          <w:p>
            <w:r>
              <w:t>Privilege escalation</w:t>
            </w:r>
          </w:p>
        </w:tc>
        <w:tc>
          <w:tcPr>
            <w:tcW w:type="dxa" w:w="5040"/>
            <w:vAlign w:val="top"/>
            <w:tcMar>
              <w:top w:w="80" w:type="dxa"/>
              <w:start w:w="90" w:type="dxa"/>
              <w:bottom w:w="80" w:type="dxa"/>
              <w:end w:w="90" w:type="dxa"/>
            </w:tcMar>
          </w:tcPr>
          <w:p>
            <w:r>
              <w:t>Identity, role and permission-boundary tests</w:t>
            </w:r>
          </w:p>
        </w:tc>
      </w:tr>
      <w:tr>
        <w:tc>
          <w:tcPr>
            <w:tcW w:type="dxa" w:w="5040"/>
            <w:vAlign w:val="top"/>
            <w:tcMar>
              <w:top w:w="80" w:type="dxa"/>
              <w:start w:w="90" w:type="dxa"/>
              <w:bottom w:w="80" w:type="dxa"/>
              <w:end w:w="90" w:type="dxa"/>
            </w:tcMar>
            <w:shd w:fill="F5F8FA"/>
          </w:tcPr>
          <w:p>
            <w:r>
              <w:t>Prompt injection</w:t>
            </w:r>
          </w:p>
        </w:tc>
        <w:tc>
          <w:tcPr>
            <w:tcW w:type="dxa" w:w="5040"/>
            <w:vAlign w:val="top"/>
            <w:tcMar>
              <w:top w:w="80" w:type="dxa"/>
              <w:start w:w="90" w:type="dxa"/>
              <w:bottom w:w="80" w:type="dxa"/>
              <w:end w:w="90" w:type="dxa"/>
            </w:tcMar>
            <w:shd w:fill="F5F8FA"/>
          </w:tcPr>
          <w:p>
            <w:r>
              <w:t>Direct and indirect prompt-injection scenarios</w:t>
            </w:r>
          </w:p>
        </w:tc>
      </w:tr>
      <w:tr>
        <w:tc>
          <w:tcPr>
            <w:tcW w:type="dxa" w:w="5040"/>
            <w:vAlign w:val="top"/>
            <w:tcMar>
              <w:top w:w="80" w:type="dxa"/>
              <w:start w:w="90" w:type="dxa"/>
              <w:bottom w:w="80" w:type="dxa"/>
              <w:end w:w="90" w:type="dxa"/>
            </w:tcMar>
          </w:tcPr>
          <w:p>
            <w:r>
              <w:t>Memory contamination</w:t>
            </w:r>
          </w:p>
        </w:tc>
        <w:tc>
          <w:tcPr>
            <w:tcW w:type="dxa" w:w="5040"/>
            <w:vAlign w:val="top"/>
            <w:tcMar>
              <w:top w:w="80" w:type="dxa"/>
              <w:start w:w="90" w:type="dxa"/>
              <w:bottom w:w="80" w:type="dxa"/>
              <w:end w:w="90" w:type="dxa"/>
            </w:tcMar>
          </w:tcPr>
          <w:p>
            <w:r>
              <w:t>Cross-session, persistent-memory and poisoned-context tests</w:t>
            </w:r>
          </w:p>
        </w:tc>
      </w:tr>
      <w:tr>
        <w:tc>
          <w:tcPr>
            <w:tcW w:type="dxa" w:w="5040"/>
            <w:vAlign w:val="top"/>
            <w:tcMar>
              <w:top w:w="80" w:type="dxa"/>
              <w:start w:w="90" w:type="dxa"/>
              <w:bottom w:w="80" w:type="dxa"/>
              <w:end w:w="90" w:type="dxa"/>
            </w:tcMar>
            <w:shd w:fill="F5F8FA"/>
          </w:tcPr>
          <w:p>
            <w:r>
              <w:t>Uncontrolled chaining</w:t>
            </w:r>
          </w:p>
        </w:tc>
        <w:tc>
          <w:tcPr>
            <w:tcW w:type="dxa" w:w="5040"/>
            <w:vAlign w:val="top"/>
            <w:tcMar>
              <w:top w:w="80" w:type="dxa"/>
              <w:start w:w="90" w:type="dxa"/>
              <w:bottom w:w="80" w:type="dxa"/>
              <w:end w:w="90" w:type="dxa"/>
            </w:tcMar>
            <w:shd w:fill="F5F8FA"/>
          </w:tcPr>
          <w:p>
            <w:r>
              <w:t>Multi-step error-propagation and loop-termination tests</w:t>
            </w:r>
          </w:p>
        </w:tc>
      </w:tr>
      <w:tr>
        <w:tc>
          <w:tcPr>
            <w:tcW w:type="dxa" w:w="5040"/>
            <w:vAlign w:val="top"/>
            <w:tcMar>
              <w:top w:w="80" w:type="dxa"/>
              <w:start w:w="90" w:type="dxa"/>
              <w:bottom w:w="80" w:type="dxa"/>
              <w:end w:w="90" w:type="dxa"/>
            </w:tcMar>
          </w:tcPr>
          <w:p>
            <w:r>
              <w:t>Weak human escalation</w:t>
            </w:r>
          </w:p>
        </w:tc>
        <w:tc>
          <w:tcPr>
            <w:tcW w:type="dxa" w:w="5040"/>
            <w:vAlign w:val="top"/>
            <w:tcMar>
              <w:top w:w="80" w:type="dxa"/>
              <w:start w:w="90" w:type="dxa"/>
              <w:bottom w:w="80" w:type="dxa"/>
              <w:end w:w="90" w:type="dxa"/>
            </w:tcMar>
          </w:tcPr>
          <w:p>
            <w:r>
              <w:t>Human-in-the-loop trigger and hand-off tests</w:t>
            </w:r>
          </w:p>
        </w:tc>
      </w:tr>
      <w:tr>
        <w:tc>
          <w:tcPr>
            <w:tcW w:type="dxa" w:w="5040"/>
            <w:vAlign w:val="top"/>
            <w:tcMar>
              <w:top w:w="80" w:type="dxa"/>
              <w:start w:w="90" w:type="dxa"/>
              <w:bottom w:w="80" w:type="dxa"/>
              <w:end w:w="90" w:type="dxa"/>
            </w:tcMar>
            <w:shd w:fill="F5F8FA"/>
          </w:tcPr>
          <w:p>
            <w:r>
              <w:t>Irreversible action risk</w:t>
            </w:r>
          </w:p>
        </w:tc>
        <w:tc>
          <w:tcPr>
            <w:tcW w:type="dxa" w:w="5040"/>
            <w:vAlign w:val="top"/>
            <w:tcMar>
              <w:top w:w="80" w:type="dxa"/>
              <w:start w:w="90" w:type="dxa"/>
              <w:bottom w:w="80" w:type="dxa"/>
              <w:end w:w="90" w:type="dxa"/>
            </w:tcMar>
            <w:shd w:fill="F5F8FA"/>
          </w:tcPr>
          <w:p>
            <w:r>
              <w:t>Confirmation, rollback and safe-failure tests</w:t>
            </w:r>
          </w:p>
        </w:tc>
      </w:tr>
    </w:tbl>
    <w:p/>
    <w:p>
      <w:pPr>
        <w:pStyle w:val="Heading1"/>
      </w:pPr>
      <w:r>
        <w:t>11. Team Capability Model</w:t>
      </w:r>
    </w:p>
    <w:p>
      <w:r>
        <w:t>The team may be small, but its work should be organised across four enduring capability streams. These can operate as workstreams rather than fixed sub-teams.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vAlign w:val="center"/>
            <w:tcMar>
              <w:top w:w="80" w:type="dxa"/>
              <w:start w:w="90" w:type="dxa"/>
              <w:bottom w:w="80" w:type="dxa"/>
              <w:end w:w="90" w:type="dxa"/>
            </w:tcMar>
          </w:tcPr>
          <w:p>
            <w:r>
              <w:rPr>
                <w:b/>
                <w:color w:val="FFFFFF"/>
              </w:rPr>
              <w:t>Capability stream</w:t>
            </w:r>
          </w:p>
        </w:tc>
        <w:tc>
          <w:tcPr>
            <w:tcW w:type="dxa" w:w="3360"/>
            <w:shd w:fill="1F4E79"/>
            <w:vAlign w:val="center"/>
            <w:tcMar>
              <w:top w:w="80" w:type="dxa"/>
              <w:start w:w="90" w:type="dxa"/>
              <w:bottom w:w="80" w:type="dxa"/>
              <w:end w:w="90" w:type="dxa"/>
            </w:tcMar>
          </w:tcPr>
          <w:p>
            <w:r>
              <w:rPr>
                <w:b/>
                <w:color w:val="FFFFFF"/>
              </w:rPr>
              <w:t>Core responsibilities</w:t>
            </w:r>
          </w:p>
        </w:tc>
        <w:tc>
          <w:tcPr>
            <w:tcW w:type="dxa" w:w="3360"/>
            <w:shd w:fill="1F4E79"/>
            <w:vAlign w:val="center"/>
            <w:tcMar>
              <w:top w:w="80" w:type="dxa"/>
              <w:start w:w="90" w:type="dxa"/>
              <w:bottom w:w="80" w:type="dxa"/>
              <w:end w:w="90" w:type="dxa"/>
            </w:tcMar>
          </w:tcPr>
          <w:p>
            <w:r>
              <w:rPr>
                <w:b/>
                <w:color w:val="FFFFFF"/>
              </w:rPr>
              <w:t>Typical outputs</w:t>
            </w:r>
          </w:p>
        </w:tc>
      </w:tr>
      <w:tr>
        <w:tc>
          <w:tcPr>
            <w:tcW w:type="dxa" w:w="3360"/>
            <w:vAlign w:val="top"/>
            <w:tcMar>
              <w:top w:w="80" w:type="dxa"/>
              <w:start w:w="90" w:type="dxa"/>
              <w:bottom w:w="80" w:type="dxa"/>
              <w:end w:w="90" w:type="dxa"/>
            </w:tcMar>
          </w:tcPr>
          <w:p>
            <w:r>
              <w:t>Core Engineering</w:t>
            </w:r>
          </w:p>
        </w:tc>
        <w:tc>
          <w:tcPr>
            <w:tcW w:type="dxa" w:w="3360"/>
            <w:vAlign w:val="top"/>
            <w:tcMar>
              <w:top w:w="80" w:type="dxa"/>
              <w:start w:w="90" w:type="dxa"/>
              <w:bottom w:w="80" w:type="dxa"/>
              <w:end w:w="90" w:type="dxa"/>
            </w:tcMar>
          </w:tcPr>
          <w:p>
            <w:r>
              <w:t>Architecture, packages, APIs, data contracts, security, performance, integration and release engineering</w:t>
            </w:r>
          </w:p>
        </w:tc>
        <w:tc>
          <w:tcPr>
            <w:tcW w:type="dxa" w:w="3360"/>
            <w:vAlign w:val="top"/>
            <w:tcMar>
              <w:top w:w="80" w:type="dxa"/>
              <w:start w:w="90" w:type="dxa"/>
              <w:bottom w:w="80" w:type="dxa"/>
              <w:end w:w="90" w:type="dxa"/>
            </w:tcMar>
          </w:tcPr>
          <w:p>
            <w:r>
              <w:t>Stable Core interfaces, tested packages, release manifests and technical standards</w:t>
            </w:r>
          </w:p>
        </w:tc>
      </w:tr>
      <w:tr>
        <w:tc>
          <w:tcPr>
            <w:tcW w:type="dxa" w:w="3360"/>
            <w:vAlign w:val="top"/>
            <w:tcMar>
              <w:top w:w="80" w:type="dxa"/>
              <w:start w:w="90" w:type="dxa"/>
              <w:bottom w:w="80" w:type="dxa"/>
              <w:end w:w="90" w:type="dxa"/>
            </w:tcMar>
            <w:shd w:fill="F5F8FA"/>
          </w:tcPr>
          <w:p>
            <w:r>
              <w:t>Risk Intelligence Engineering</w:t>
            </w:r>
          </w:p>
        </w:tc>
        <w:tc>
          <w:tcPr>
            <w:tcW w:type="dxa" w:w="3360"/>
            <w:vAlign w:val="top"/>
            <w:tcMar>
              <w:top w:w="80" w:type="dxa"/>
              <w:start w:w="90" w:type="dxa"/>
              <w:bottom w:w="80" w:type="dxa"/>
              <w:end w:w="90" w:type="dxa"/>
            </w:tcMar>
            <w:shd w:fill="F5F8FA"/>
          </w:tcPr>
          <w:p>
            <w:r>
              <w:t>Methodology codification, policy mapping, risk taxonomy, domain skills, decision frameworks and historical intelligence</w:t>
            </w:r>
          </w:p>
        </w:tc>
        <w:tc>
          <w:tcPr>
            <w:tcW w:type="dxa" w:w="3360"/>
            <w:vAlign w:val="top"/>
            <w:tcMar>
              <w:top w:w="80" w:type="dxa"/>
              <w:start w:w="90" w:type="dxa"/>
              <w:bottom w:w="80" w:type="dxa"/>
              <w:end w:w="90" w:type="dxa"/>
            </w:tcMar>
            <w:shd w:fill="F5F8FA"/>
          </w:tcPr>
          <w:p>
            <w:r>
              <w:t>Approved skills, decision frameworks, precedent services and policy mappings</w:t>
            </w:r>
          </w:p>
        </w:tc>
      </w:tr>
      <w:tr>
        <w:tc>
          <w:tcPr>
            <w:tcW w:type="dxa" w:w="3360"/>
            <w:vAlign w:val="top"/>
            <w:tcMar>
              <w:top w:w="80" w:type="dxa"/>
              <w:start w:w="90" w:type="dxa"/>
              <w:bottom w:w="80" w:type="dxa"/>
              <w:end w:w="90" w:type="dxa"/>
            </w:tcMar>
          </w:tcPr>
          <w:p>
            <w:r>
              <w:t>Evaluation and Calibration</w:t>
            </w:r>
          </w:p>
        </w:tc>
        <w:tc>
          <w:tcPr>
            <w:tcW w:type="dxa" w:w="3360"/>
            <w:vAlign w:val="top"/>
            <w:tcMar>
              <w:top w:w="80" w:type="dxa"/>
              <w:start w:w="90" w:type="dxa"/>
              <w:bottom w:w="80" w:type="dxa"/>
              <w:end w:w="90" w:type="dxa"/>
            </w:tcMar>
          </w:tcPr>
          <w:p>
            <w:r>
              <w:t>Benchmarks, golden cases, LLM-judge calibration, regression tests, drift analysis and quality gates</w:t>
            </w:r>
          </w:p>
        </w:tc>
        <w:tc>
          <w:tcPr>
            <w:tcW w:type="dxa" w:w="3360"/>
            <w:vAlign w:val="top"/>
            <w:tcMar>
              <w:top w:w="80" w:type="dxa"/>
              <w:start w:w="90" w:type="dxa"/>
              <w:bottom w:w="80" w:type="dxa"/>
              <w:end w:w="90" w:type="dxa"/>
            </w:tcMar>
          </w:tcPr>
          <w:p>
            <w:r>
              <w:t>Calibration packs, performance dashboards, release evidence and limitation records</w:t>
            </w:r>
          </w:p>
        </w:tc>
      </w:tr>
      <w:tr>
        <w:tc>
          <w:tcPr>
            <w:tcW w:type="dxa" w:w="3360"/>
            <w:vAlign w:val="top"/>
            <w:tcMar>
              <w:top w:w="80" w:type="dxa"/>
              <w:start w:w="90" w:type="dxa"/>
              <w:bottom w:w="80" w:type="dxa"/>
              <w:end w:w="90" w:type="dxa"/>
            </w:tcMar>
            <w:shd w:fill="F5F8FA"/>
          </w:tcPr>
          <w:p>
            <w:r>
              <w:t>Platform Enablement</w:t>
            </w:r>
          </w:p>
        </w:tc>
        <w:tc>
          <w:tcPr>
            <w:tcW w:type="dxa" w:w="3360"/>
            <w:vAlign w:val="top"/>
            <w:tcMar>
              <w:top w:w="80" w:type="dxa"/>
              <w:start w:w="90" w:type="dxa"/>
              <w:bottom w:w="80" w:type="dxa"/>
              <w:end w:w="90" w:type="dxa"/>
            </w:tcMar>
            <w:shd w:fill="F5F8FA"/>
          </w:tcPr>
          <w:p>
            <w:r>
              <w:t>Workbench, Layer 1/2/3 workflows, user experience, reporting, database integration, Docker distribution and platform hand-offs</w:t>
            </w:r>
          </w:p>
        </w:tc>
        <w:tc>
          <w:tcPr>
            <w:tcW w:type="dxa" w:w="3360"/>
            <w:vAlign w:val="top"/>
            <w:tcMar>
              <w:top w:w="80" w:type="dxa"/>
              <w:start w:w="90" w:type="dxa"/>
              <w:bottom w:w="80" w:type="dxa"/>
              <w:end w:w="90" w:type="dxa"/>
            </w:tcMar>
            <w:shd w:fill="F5F8FA"/>
          </w:tcPr>
          <w:p>
            <w:r>
              <w:t>Usable workflows, local packages, reports, integration adapters and operational support</w:t>
            </w:r>
          </w:p>
        </w:tc>
      </w:tr>
    </w:tbl>
    <w:p/>
    <w:tbl>
      <w:tblPr>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r>
              <w:rPr>
                <w:b/>
                <w:color w:val="1F4E79"/>
                <w:sz w:val="22"/>
              </w:rPr>
              <w:t>Operating identity</w:t>
              <w:br/>
            </w:r>
            <w:r>
              <w:t>The team should be recognised as the long-term technical custodian and intelligence-engineering function for MRO AI risk—not as a temporary application delivery team.</w:t>
            </w:r>
          </w:p>
        </w:tc>
      </w:tr>
    </w:tbl>
    <w:p>
      <w:pPr>
        <w:spacing w:after="0"/>
      </w:pPr>
    </w:p>
    <w:p>
      <w:pPr>
        <w:pStyle w:val="Heading1"/>
      </w:pPr>
      <w:r>
        <w:t>12. Governance Forums and Cadence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9"/>
            <w:vAlign w:val="center"/>
            <w:tcMar>
              <w:top w:w="80" w:type="dxa"/>
              <w:start w:w="90" w:type="dxa"/>
              <w:bottom w:w="80" w:type="dxa"/>
              <w:end w:w="90" w:type="dxa"/>
            </w:tcMar>
          </w:tcPr>
          <w:p>
            <w:r>
              <w:rPr>
                <w:b/>
                <w:color w:val="FFFFFF"/>
              </w:rPr>
              <w:t>Forum or activity</w:t>
            </w:r>
          </w:p>
        </w:tc>
        <w:tc>
          <w:tcPr>
            <w:tcW w:type="dxa" w:w="2520"/>
            <w:shd w:fill="1F4E79"/>
            <w:vAlign w:val="center"/>
            <w:tcMar>
              <w:top w:w="80" w:type="dxa"/>
              <w:start w:w="90" w:type="dxa"/>
              <w:bottom w:w="80" w:type="dxa"/>
              <w:end w:w="90" w:type="dxa"/>
            </w:tcMar>
          </w:tcPr>
          <w:p>
            <w:r>
              <w:rPr>
                <w:b/>
                <w:color w:val="FFFFFF"/>
              </w:rPr>
              <w:t>Cadence</w:t>
            </w:r>
          </w:p>
        </w:tc>
        <w:tc>
          <w:tcPr>
            <w:tcW w:type="dxa" w:w="2520"/>
            <w:shd w:fill="1F4E79"/>
            <w:vAlign w:val="center"/>
            <w:tcMar>
              <w:top w:w="80" w:type="dxa"/>
              <w:start w:w="90" w:type="dxa"/>
              <w:bottom w:w="80" w:type="dxa"/>
              <w:end w:w="90" w:type="dxa"/>
            </w:tcMar>
          </w:tcPr>
          <w:p>
            <w:r>
              <w:rPr>
                <w:b/>
                <w:color w:val="FFFFFF"/>
              </w:rPr>
              <w:t>Purpose</w:t>
            </w:r>
          </w:p>
        </w:tc>
        <w:tc>
          <w:tcPr>
            <w:tcW w:type="dxa" w:w="2520"/>
            <w:shd w:fill="1F4E79"/>
            <w:vAlign w:val="center"/>
            <w:tcMar>
              <w:top w:w="80" w:type="dxa"/>
              <w:start w:w="90" w:type="dxa"/>
              <w:bottom w:w="80" w:type="dxa"/>
              <w:end w:w="90" w:type="dxa"/>
            </w:tcMar>
          </w:tcPr>
          <w:p>
            <w:r>
              <w:rPr>
                <w:b/>
                <w:color w:val="FFFFFF"/>
              </w:rPr>
              <w:t>Core participants</w:t>
            </w:r>
          </w:p>
        </w:tc>
      </w:tr>
      <w:tr>
        <w:tc>
          <w:tcPr>
            <w:tcW w:type="dxa" w:w="2520"/>
            <w:vAlign w:val="top"/>
            <w:tcMar>
              <w:top w:w="80" w:type="dxa"/>
              <w:start w:w="90" w:type="dxa"/>
              <w:bottom w:w="80" w:type="dxa"/>
              <w:end w:w="90" w:type="dxa"/>
            </w:tcMar>
          </w:tcPr>
          <w:p>
            <w:r>
              <w:t>Core delivery review</w:t>
            </w:r>
          </w:p>
        </w:tc>
        <w:tc>
          <w:tcPr>
            <w:tcW w:type="dxa" w:w="2520"/>
            <w:vAlign w:val="top"/>
            <w:tcMar>
              <w:top w:w="80" w:type="dxa"/>
              <w:start w:w="90" w:type="dxa"/>
              <w:bottom w:w="80" w:type="dxa"/>
              <w:end w:w="90" w:type="dxa"/>
            </w:tcMar>
          </w:tcPr>
          <w:p>
            <w:r>
              <w:t>Fortnightly</w:t>
            </w:r>
          </w:p>
        </w:tc>
        <w:tc>
          <w:tcPr>
            <w:tcW w:type="dxa" w:w="2520"/>
            <w:vAlign w:val="top"/>
            <w:tcMar>
              <w:top w:w="80" w:type="dxa"/>
              <w:start w:w="90" w:type="dxa"/>
              <w:bottom w:w="80" w:type="dxa"/>
              <w:end w:w="90" w:type="dxa"/>
            </w:tcMar>
          </w:tcPr>
          <w:p>
            <w:r>
              <w:t>Review backlog, dependencies, architecture and release progress</w:t>
            </w:r>
          </w:p>
        </w:tc>
        <w:tc>
          <w:tcPr>
            <w:tcW w:type="dxa" w:w="2520"/>
            <w:vAlign w:val="top"/>
            <w:tcMar>
              <w:top w:w="80" w:type="dxa"/>
              <w:start w:w="90" w:type="dxa"/>
              <w:bottom w:w="80" w:type="dxa"/>
              <w:end w:w="90" w:type="dxa"/>
            </w:tcMar>
          </w:tcPr>
          <w:p>
            <w:r>
              <w:t>AI Tech &amp; Tooling</w:t>
            </w:r>
          </w:p>
        </w:tc>
      </w:tr>
      <w:tr>
        <w:tc>
          <w:tcPr>
            <w:tcW w:type="dxa" w:w="2520"/>
            <w:vAlign w:val="top"/>
            <w:tcMar>
              <w:top w:w="80" w:type="dxa"/>
              <w:start w:w="90" w:type="dxa"/>
              <w:bottom w:w="80" w:type="dxa"/>
              <w:end w:w="90" w:type="dxa"/>
            </w:tcMar>
            <w:shd w:fill="F5F8FA"/>
          </w:tcPr>
          <w:p>
            <w:r>
              <w:t>Methodology design session</w:t>
            </w:r>
          </w:p>
        </w:tc>
        <w:tc>
          <w:tcPr>
            <w:tcW w:type="dxa" w:w="2520"/>
            <w:vAlign w:val="top"/>
            <w:tcMar>
              <w:top w:w="80" w:type="dxa"/>
              <w:start w:w="90" w:type="dxa"/>
              <w:bottom w:w="80" w:type="dxa"/>
              <w:end w:w="90" w:type="dxa"/>
            </w:tcMar>
            <w:shd w:fill="F5F8FA"/>
          </w:tcPr>
          <w:p>
            <w:r>
              <w:t>Monthly or as required</w:t>
            </w:r>
          </w:p>
        </w:tc>
        <w:tc>
          <w:tcPr>
            <w:tcW w:type="dxa" w:w="2520"/>
            <w:vAlign w:val="top"/>
            <w:tcMar>
              <w:top w:w="80" w:type="dxa"/>
              <w:start w:w="90" w:type="dxa"/>
              <w:bottom w:w="80" w:type="dxa"/>
              <w:end w:w="90" w:type="dxa"/>
            </w:tcMar>
            <w:shd w:fill="F5F8FA"/>
          </w:tcPr>
          <w:p>
            <w:r>
              <w:t>Translate approved methodology and expert judgement into implementable capabilities</w:t>
            </w:r>
          </w:p>
        </w:tc>
        <w:tc>
          <w:tcPr>
            <w:tcW w:type="dxa" w:w="2520"/>
            <w:vAlign w:val="top"/>
            <w:tcMar>
              <w:top w:w="80" w:type="dxa"/>
              <w:start w:w="90" w:type="dxa"/>
              <w:bottom w:w="80" w:type="dxa"/>
              <w:end w:w="90" w:type="dxa"/>
            </w:tcMar>
            <w:shd w:fill="F5F8FA"/>
          </w:tcPr>
          <w:p>
            <w:r>
              <w:t>AI Tech &amp; Tooling, AI Risk Oversight, AI IVT</w:t>
            </w:r>
          </w:p>
        </w:tc>
      </w:tr>
      <w:tr>
        <w:tc>
          <w:tcPr>
            <w:tcW w:type="dxa" w:w="2520"/>
            <w:vAlign w:val="top"/>
            <w:tcMar>
              <w:top w:w="80" w:type="dxa"/>
              <w:start w:w="90" w:type="dxa"/>
              <w:bottom w:w="80" w:type="dxa"/>
              <w:end w:w="90" w:type="dxa"/>
            </w:tcMar>
          </w:tcPr>
          <w:p>
            <w:r>
              <w:t>Calibration review</w:t>
            </w:r>
          </w:p>
        </w:tc>
        <w:tc>
          <w:tcPr>
            <w:tcW w:type="dxa" w:w="2520"/>
            <w:vAlign w:val="top"/>
            <w:tcMar>
              <w:top w:w="80" w:type="dxa"/>
              <w:start w:w="90" w:type="dxa"/>
              <w:bottom w:w="80" w:type="dxa"/>
              <w:end w:w="90" w:type="dxa"/>
            </w:tcMar>
          </w:tcPr>
          <w:p>
            <w:r>
              <w:t>Quarterly</w:t>
            </w:r>
          </w:p>
        </w:tc>
        <w:tc>
          <w:tcPr>
            <w:tcW w:type="dxa" w:w="2520"/>
            <w:vAlign w:val="top"/>
            <w:tcMar>
              <w:top w:w="80" w:type="dxa"/>
              <w:start w:w="90" w:type="dxa"/>
              <w:bottom w:w="80" w:type="dxa"/>
              <w:end w:w="90" w:type="dxa"/>
            </w:tcMar>
          </w:tcPr>
          <w:p>
            <w:r>
              <w:t>Review benchmark performance, overrides, drift and segment weaknesses</w:t>
            </w:r>
          </w:p>
        </w:tc>
        <w:tc>
          <w:tcPr>
            <w:tcW w:type="dxa" w:w="2520"/>
            <w:vAlign w:val="top"/>
            <w:tcMar>
              <w:top w:w="80" w:type="dxa"/>
              <w:start w:w="90" w:type="dxa"/>
              <w:bottom w:w="80" w:type="dxa"/>
              <w:end w:w="90" w:type="dxa"/>
            </w:tcMar>
          </w:tcPr>
          <w:p>
            <w:r>
              <w:t>AI Tech &amp; Tooling, methodology owners, SMEs</w:t>
            </w:r>
          </w:p>
        </w:tc>
      </w:tr>
      <w:tr>
        <w:tc>
          <w:tcPr>
            <w:tcW w:type="dxa" w:w="2520"/>
            <w:vAlign w:val="top"/>
            <w:tcMar>
              <w:top w:w="80" w:type="dxa"/>
              <w:start w:w="90" w:type="dxa"/>
              <w:bottom w:w="80" w:type="dxa"/>
              <w:end w:w="90" w:type="dxa"/>
            </w:tcMar>
            <w:shd w:fill="F5F8FA"/>
          </w:tcPr>
          <w:p>
            <w:r>
              <w:t>Release approval</w:t>
            </w:r>
          </w:p>
        </w:tc>
        <w:tc>
          <w:tcPr>
            <w:tcW w:type="dxa" w:w="2520"/>
            <w:vAlign w:val="top"/>
            <w:tcMar>
              <w:top w:w="80" w:type="dxa"/>
              <w:start w:w="90" w:type="dxa"/>
              <w:bottom w:w="80" w:type="dxa"/>
              <w:end w:w="90" w:type="dxa"/>
            </w:tcMar>
            <w:shd w:fill="F5F8FA"/>
          </w:tcPr>
          <w:p>
            <w:r>
              <w:t>Per material release</w:t>
            </w:r>
          </w:p>
        </w:tc>
        <w:tc>
          <w:tcPr>
            <w:tcW w:type="dxa" w:w="2520"/>
            <w:vAlign w:val="top"/>
            <w:tcMar>
              <w:top w:w="80" w:type="dxa"/>
              <w:start w:w="90" w:type="dxa"/>
              <w:bottom w:w="80" w:type="dxa"/>
              <w:end w:w="90" w:type="dxa"/>
            </w:tcMar>
            <w:shd w:fill="F5F8FA"/>
          </w:tcPr>
          <w:p>
            <w:r>
              <w:t>Approve methodology-sensitive changes and evidence</w:t>
            </w:r>
          </w:p>
        </w:tc>
        <w:tc>
          <w:tcPr>
            <w:tcW w:type="dxa" w:w="2520"/>
            <w:vAlign w:val="top"/>
            <w:tcMar>
              <w:top w:w="80" w:type="dxa"/>
              <w:start w:w="90" w:type="dxa"/>
              <w:bottom w:w="80" w:type="dxa"/>
              <w:end w:w="90" w:type="dxa"/>
            </w:tcMar>
            <w:shd w:fill="F5F8FA"/>
          </w:tcPr>
          <w:p>
            <w:r>
              <w:t>Relevant owners and MRO governance</w:t>
            </w:r>
          </w:p>
        </w:tc>
      </w:tr>
      <w:tr>
        <w:tc>
          <w:tcPr>
            <w:tcW w:type="dxa" w:w="2520"/>
            <w:vAlign w:val="top"/>
            <w:tcMar>
              <w:top w:w="80" w:type="dxa"/>
              <w:start w:w="90" w:type="dxa"/>
              <w:bottom w:w="80" w:type="dxa"/>
              <w:end w:w="90" w:type="dxa"/>
            </w:tcMar>
          </w:tcPr>
          <w:p>
            <w:r>
              <w:t>Historical corpus quality review</w:t>
            </w:r>
          </w:p>
        </w:tc>
        <w:tc>
          <w:tcPr>
            <w:tcW w:type="dxa" w:w="2520"/>
            <w:vAlign w:val="top"/>
            <w:tcMar>
              <w:top w:w="80" w:type="dxa"/>
              <w:start w:w="90" w:type="dxa"/>
              <w:bottom w:w="80" w:type="dxa"/>
              <w:end w:w="90" w:type="dxa"/>
            </w:tcMar>
          </w:tcPr>
          <w:p>
            <w:r>
              <w:t>Monthly or quarterly</w:t>
            </w:r>
          </w:p>
        </w:tc>
        <w:tc>
          <w:tcPr>
            <w:tcW w:type="dxa" w:w="2520"/>
            <w:vAlign w:val="top"/>
            <w:tcMar>
              <w:top w:w="80" w:type="dxa"/>
              <w:start w:w="90" w:type="dxa"/>
              <w:bottom w:w="80" w:type="dxa"/>
              <w:end w:w="90" w:type="dxa"/>
            </w:tcMar>
          </w:tcPr>
          <w:p>
            <w:r>
              <w:t>Approve cases for inclusion and remove unsuitable records</w:t>
            </w:r>
          </w:p>
        </w:tc>
        <w:tc>
          <w:tcPr>
            <w:tcW w:type="dxa" w:w="2520"/>
            <w:vAlign w:val="top"/>
            <w:tcMar>
              <w:top w:w="80" w:type="dxa"/>
              <w:start w:w="90" w:type="dxa"/>
              <w:bottom w:w="80" w:type="dxa"/>
              <w:end w:w="90" w:type="dxa"/>
            </w:tcMar>
          </w:tcPr>
          <w:p>
            <w:r>
              <w:t>AI Risk Oversight, AI IVT, data custodian</w:t>
            </w:r>
          </w:p>
        </w:tc>
      </w:tr>
      <w:tr>
        <w:tc>
          <w:tcPr>
            <w:tcW w:type="dxa" w:w="2520"/>
            <w:vAlign w:val="top"/>
            <w:tcMar>
              <w:top w:w="80" w:type="dxa"/>
              <w:start w:w="90" w:type="dxa"/>
              <w:bottom w:w="80" w:type="dxa"/>
              <w:end w:w="90" w:type="dxa"/>
            </w:tcMar>
            <w:shd w:fill="F5F8FA"/>
          </w:tcPr>
          <w:p>
            <w:r>
              <w:t>Value and strategy review</w:t>
            </w:r>
          </w:p>
        </w:tc>
        <w:tc>
          <w:tcPr>
            <w:tcW w:type="dxa" w:w="2520"/>
            <w:vAlign w:val="top"/>
            <w:tcMar>
              <w:top w:w="80" w:type="dxa"/>
              <w:start w:w="90" w:type="dxa"/>
              <w:bottom w:w="80" w:type="dxa"/>
              <w:end w:w="90" w:type="dxa"/>
            </w:tcMar>
            <w:shd w:fill="F5F8FA"/>
          </w:tcPr>
          <w:p>
            <w:r>
              <w:t>Quarterly</w:t>
            </w:r>
          </w:p>
        </w:tc>
        <w:tc>
          <w:tcPr>
            <w:tcW w:type="dxa" w:w="2520"/>
            <w:vAlign w:val="top"/>
            <w:tcMar>
              <w:top w:w="80" w:type="dxa"/>
              <w:start w:w="90" w:type="dxa"/>
              <w:bottom w:w="80" w:type="dxa"/>
              <w:end w:w="90" w:type="dxa"/>
            </w:tcMar>
            <w:shd w:fill="F5F8FA"/>
          </w:tcPr>
          <w:p>
            <w:r>
              <w:t>Review benefits, adoption, risks and roadmap priorities</w:t>
            </w:r>
          </w:p>
        </w:tc>
        <w:tc>
          <w:tcPr>
            <w:tcW w:type="dxa" w:w="2520"/>
            <w:vAlign w:val="top"/>
            <w:tcMar>
              <w:top w:w="80" w:type="dxa"/>
              <w:start w:w="90" w:type="dxa"/>
              <w:bottom w:w="80" w:type="dxa"/>
              <w:end w:w="90" w:type="dxa"/>
            </w:tcMar>
            <w:shd w:fill="F5F8FA"/>
          </w:tcPr>
          <w:p>
            <w:r>
              <w:t>MRO leadership and team leads</w:t>
            </w:r>
          </w:p>
        </w:tc>
      </w:tr>
      <w:tr>
        <w:tc>
          <w:tcPr>
            <w:tcW w:type="dxa" w:w="2520"/>
            <w:vAlign w:val="top"/>
            <w:tcMar>
              <w:top w:w="80" w:type="dxa"/>
              <w:start w:w="90" w:type="dxa"/>
              <w:bottom w:w="80" w:type="dxa"/>
              <w:end w:w="90" w:type="dxa"/>
            </w:tcMar>
          </w:tcPr>
          <w:p>
            <w:r>
              <w:t>Annual Core review</w:t>
            </w:r>
          </w:p>
        </w:tc>
        <w:tc>
          <w:tcPr>
            <w:tcW w:type="dxa" w:w="2520"/>
            <w:vAlign w:val="top"/>
            <w:tcMar>
              <w:top w:w="80" w:type="dxa"/>
              <w:start w:w="90" w:type="dxa"/>
              <w:bottom w:w="80" w:type="dxa"/>
              <w:end w:w="90" w:type="dxa"/>
            </w:tcMar>
          </w:tcPr>
          <w:p>
            <w:r>
              <w:t>Annually</w:t>
            </w:r>
          </w:p>
        </w:tc>
        <w:tc>
          <w:tcPr>
            <w:tcW w:type="dxa" w:w="2520"/>
            <w:vAlign w:val="top"/>
            <w:tcMar>
              <w:top w:w="80" w:type="dxa"/>
              <w:start w:w="90" w:type="dxa"/>
              <w:bottom w:w="80" w:type="dxa"/>
              <w:end w:w="90" w:type="dxa"/>
            </w:tcMar>
          </w:tcPr>
          <w:p>
            <w:r>
              <w:t>Review scope, ownership, architecture, skills, policy changes and operating model</w:t>
            </w:r>
          </w:p>
        </w:tc>
        <w:tc>
          <w:tcPr>
            <w:tcW w:type="dxa" w:w="2520"/>
            <w:vAlign w:val="top"/>
            <w:tcMar>
              <w:top w:w="80" w:type="dxa"/>
              <w:start w:w="90" w:type="dxa"/>
              <w:bottom w:w="80" w:type="dxa"/>
              <w:end w:w="90" w:type="dxa"/>
            </w:tcMar>
          </w:tcPr>
          <w:p>
            <w:r>
              <w:t>All accountable stakeholders</w:t>
            </w:r>
          </w:p>
        </w:tc>
      </w:tr>
    </w:tbl>
    <w:p/>
    <w:p>
      <w:pPr>
        <w:pStyle w:val="Heading1"/>
      </w:pPr>
      <w:r>
        <w:t>13. Performance, Value and Strategic Metrics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Dimension</w:t>
            </w:r>
          </w:p>
        </w:tc>
        <w:tc>
          <w:tcPr>
            <w:tcW w:type="dxa" w:w="5040"/>
            <w:shd w:fill="1F4E79"/>
            <w:vAlign w:val="center"/>
            <w:tcMar>
              <w:top w:w="80" w:type="dxa"/>
              <w:start w:w="90" w:type="dxa"/>
              <w:bottom w:w="80" w:type="dxa"/>
              <w:end w:w="90" w:type="dxa"/>
            </w:tcMar>
          </w:tcPr>
          <w:p>
            <w:r>
              <w:rPr>
                <w:b/>
                <w:color w:val="FFFFFF"/>
              </w:rPr>
              <w:t>Measures</w:t>
            </w:r>
          </w:p>
        </w:tc>
      </w:tr>
      <w:tr>
        <w:tc>
          <w:tcPr>
            <w:tcW w:type="dxa" w:w="5040"/>
            <w:vAlign w:val="top"/>
            <w:tcMar>
              <w:top w:w="80" w:type="dxa"/>
              <w:start w:w="90" w:type="dxa"/>
              <w:bottom w:w="80" w:type="dxa"/>
              <w:end w:w="90" w:type="dxa"/>
            </w:tcMar>
          </w:tcPr>
          <w:p>
            <w:r>
              <w:t>Risk effectiveness</w:t>
            </w:r>
          </w:p>
        </w:tc>
        <w:tc>
          <w:tcPr>
            <w:tcW w:type="dxa" w:w="5040"/>
            <w:vAlign w:val="top"/>
            <w:tcMar>
              <w:top w:w="80" w:type="dxa"/>
              <w:start w:w="90" w:type="dxa"/>
              <w:bottom w:w="80" w:type="dxa"/>
              <w:end w:w="90" w:type="dxa"/>
            </w:tcMar>
          </w:tcPr>
          <w:p>
            <w:r>
              <w:t>Risk-factor recall, false-negative rate, finding detection, escalation accuracy and monitoring-trigger quality</w:t>
            </w:r>
          </w:p>
        </w:tc>
      </w:tr>
      <w:tr>
        <w:tc>
          <w:tcPr>
            <w:tcW w:type="dxa" w:w="5040"/>
            <w:vAlign w:val="top"/>
            <w:tcMar>
              <w:top w:w="80" w:type="dxa"/>
              <w:start w:w="90" w:type="dxa"/>
              <w:bottom w:w="80" w:type="dxa"/>
              <w:end w:w="90" w:type="dxa"/>
            </w:tcMar>
            <w:shd w:fill="F5F8FA"/>
          </w:tcPr>
          <w:p>
            <w:r>
              <w:t>Decision quality</w:t>
            </w:r>
          </w:p>
        </w:tc>
        <w:tc>
          <w:tcPr>
            <w:tcW w:type="dxa" w:w="5040"/>
            <w:vAlign w:val="top"/>
            <w:tcMar>
              <w:top w:w="80" w:type="dxa"/>
              <w:start w:w="90" w:type="dxa"/>
              <w:bottom w:w="80" w:type="dxa"/>
              <w:end w:w="90" w:type="dxa"/>
            </w:tcMar>
            <w:shd w:fill="F5F8FA"/>
          </w:tcPr>
          <w:p>
            <w:r>
              <w:t>Human-system agreement, override quality, severity agreement and cross-validator consistency</w:t>
            </w:r>
          </w:p>
        </w:tc>
      </w:tr>
      <w:tr>
        <w:tc>
          <w:tcPr>
            <w:tcW w:type="dxa" w:w="5040"/>
            <w:vAlign w:val="top"/>
            <w:tcMar>
              <w:top w:w="80" w:type="dxa"/>
              <w:start w:w="90" w:type="dxa"/>
              <w:bottom w:w="80" w:type="dxa"/>
              <w:end w:w="90" w:type="dxa"/>
            </w:tcMar>
          </w:tcPr>
          <w:p>
            <w:r>
              <w:t>Efficiency</w:t>
            </w:r>
          </w:p>
        </w:tc>
        <w:tc>
          <w:tcPr>
            <w:tcW w:type="dxa" w:w="5040"/>
            <w:vAlign w:val="top"/>
            <w:tcMar>
              <w:top w:w="80" w:type="dxa"/>
              <w:start w:w="90" w:type="dxa"/>
              <w:bottom w:w="80" w:type="dxa"/>
              <w:end w:w="90" w:type="dxa"/>
            </w:tcMar>
          </w:tcPr>
          <w:p>
            <w:r>
              <w:t>Reviewer time saved, validation-cycle reduction, report-production time and rework reduction</w:t>
            </w:r>
          </w:p>
        </w:tc>
      </w:tr>
      <w:tr>
        <w:tc>
          <w:tcPr>
            <w:tcW w:type="dxa" w:w="5040"/>
            <w:vAlign w:val="top"/>
            <w:tcMar>
              <w:top w:w="80" w:type="dxa"/>
              <w:start w:w="90" w:type="dxa"/>
              <w:bottom w:w="80" w:type="dxa"/>
              <w:end w:w="90" w:type="dxa"/>
            </w:tcMar>
            <w:shd w:fill="F5F8FA"/>
          </w:tcPr>
          <w:p>
            <w:r>
              <w:t>Traceability</w:t>
            </w:r>
          </w:p>
        </w:tc>
        <w:tc>
          <w:tcPr>
            <w:tcW w:type="dxa" w:w="5040"/>
            <w:vAlign w:val="top"/>
            <w:tcMar>
              <w:top w:w="80" w:type="dxa"/>
              <w:start w:w="90" w:type="dxa"/>
              <w:bottom w:w="80" w:type="dxa"/>
              <w:end w:w="90" w:type="dxa"/>
            </w:tcMar>
            <w:shd w:fill="F5F8FA"/>
          </w:tcPr>
          <w:p>
            <w:r>
              <w:t>Evidence-link completeness, reproducibility, version lineage and approval completeness</w:t>
            </w:r>
          </w:p>
        </w:tc>
      </w:tr>
      <w:tr>
        <w:tc>
          <w:tcPr>
            <w:tcW w:type="dxa" w:w="5040"/>
            <w:vAlign w:val="top"/>
            <w:tcMar>
              <w:top w:w="80" w:type="dxa"/>
              <w:start w:w="90" w:type="dxa"/>
              <w:bottom w:w="80" w:type="dxa"/>
              <w:end w:w="90" w:type="dxa"/>
            </w:tcMar>
          </w:tcPr>
          <w:p>
            <w:r>
              <w:t>Coverage</w:t>
            </w:r>
          </w:p>
        </w:tc>
        <w:tc>
          <w:tcPr>
            <w:tcW w:type="dxa" w:w="5040"/>
            <w:vAlign w:val="top"/>
            <w:tcMar>
              <w:top w:w="80" w:type="dxa"/>
              <w:start w:w="90" w:type="dxa"/>
              <w:bottom w:w="80" w:type="dxa"/>
              <w:end w:w="90" w:type="dxa"/>
            </w:tcMar>
          </w:tcPr>
          <w:p>
            <w:r>
              <w:t>Model types, domains, risks, lifecycle stages and access modes supported</w:t>
            </w:r>
          </w:p>
        </w:tc>
      </w:tr>
      <w:tr>
        <w:tc>
          <w:tcPr>
            <w:tcW w:type="dxa" w:w="5040"/>
            <w:vAlign w:val="top"/>
            <w:tcMar>
              <w:top w:w="80" w:type="dxa"/>
              <w:start w:w="90" w:type="dxa"/>
              <w:bottom w:w="80" w:type="dxa"/>
              <w:end w:w="90" w:type="dxa"/>
            </w:tcMar>
            <w:shd w:fill="F5F8FA"/>
          </w:tcPr>
          <w:p>
            <w:r>
              <w:t>Asset growth</w:t>
            </w:r>
          </w:p>
        </w:tc>
        <w:tc>
          <w:tcPr>
            <w:tcW w:type="dxa" w:w="5040"/>
            <w:vAlign w:val="top"/>
            <w:tcMar>
              <w:top w:w="80" w:type="dxa"/>
              <w:start w:w="90" w:type="dxa"/>
              <w:bottom w:w="80" w:type="dxa"/>
              <w:end w:w="90" w:type="dxa"/>
            </w:tcMar>
            <w:shd w:fill="F5F8FA"/>
          </w:tcPr>
          <w:p>
            <w:r>
              <w:t>Approved historical cases, domain skills, benchmark scenarios and evaluation datasets</w:t>
            </w:r>
          </w:p>
        </w:tc>
      </w:tr>
      <w:tr>
        <w:tc>
          <w:tcPr>
            <w:tcW w:type="dxa" w:w="5040"/>
            <w:vAlign w:val="top"/>
            <w:tcMar>
              <w:top w:w="80" w:type="dxa"/>
              <w:start w:w="90" w:type="dxa"/>
              <w:bottom w:w="80" w:type="dxa"/>
              <w:end w:w="90" w:type="dxa"/>
            </w:tcMar>
          </w:tcPr>
          <w:p>
            <w:r>
              <w:t>Operational quality</w:t>
            </w:r>
          </w:p>
        </w:tc>
        <w:tc>
          <w:tcPr>
            <w:tcW w:type="dxa" w:w="5040"/>
            <w:vAlign w:val="top"/>
            <w:tcMar>
              <w:top w:w="80" w:type="dxa"/>
              <w:start w:w="90" w:type="dxa"/>
              <w:bottom w:w="80" w:type="dxa"/>
              <w:end w:w="90" w:type="dxa"/>
            </w:tcMar>
          </w:tcPr>
          <w:p>
            <w:r>
              <w:t>Release defects, rollback frequency, schema compatibility and user support demand</w:t>
            </w:r>
          </w:p>
        </w:tc>
      </w:tr>
      <w:tr>
        <w:tc>
          <w:tcPr>
            <w:tcW w:type="dxa" w:w="5040"/>
            <w:vAlign w:val="top"/>
            <w:tcMar>
              <w:top w:w="80" w:type="dxa"/>
              <w:start w:w="90" w:type="dxa"/>
              <w:bottom w:w="80" w:type="dxa"/>
              <w:end w:w="90" w:type="dxa"/>
            </w:tcMar>
            <w:shd w:fill="F5F8FA"/>
          </w:tcPr>
          <w:p>
            <w:r>
              <w:t>Adoption and dependence</w:t>
            </w:r>
          </w:p>
        </w:tc>
        <w:tc>
          <w:tcPr>
            <w:tcW w:type="dxa" w:w="5040"/>
            <w:vAlign w:val="top"/>
            <w:tcMar>
              <w:top w:w="80" w:type="dxa"/>
              <w:start w:w="90" w:type="dxa"/>
              <w:bottom w:w="80" w:type="dxa"/>
              <w:end w:w="90" w:type="dxa"/>
            </w:tcMar>
            <w:shd w:fill="F5F8FA"/>
          </w:tcPr>
          <w:p>
            <w:r>
              <w:t>Number of workflows using the Core and percentage of Layer 1/2/3 outputs produced through common objects</w:t>
            </w:r>
          </w:p>
        </w:tc>
      </w:tr>
    </w:tbl>
    <w:p/>
    <w:p>
      <w:r>
        <w:t>Targets should be established only after a baseline is measured. The team should avoid making unsupported commitments such as a fixed 30% cycle-time reduction before evidence exists. However, it should explicitly target and demonstrate material improvement over time.</w:t>
      </w:r>
    </w:p>
    <w:p>
      <w:pPr>
        <w:pStyle w:val="Heading1"/>
      </w:pPr>
      <w:r>
        <w:t>14. How the Team Creates High Replacement Cost</w:t>
      </w:r>
    </w:p>
    <w:p>
      <w:r>
        <w:t>No team can be made absolutely irreplaceable. The appropriate objective is to establish legitimate authority, unique assets, sustained value and high switching cost through disciplined ownership and operation.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Other teams may provide</w:t>
            </w:r>
          </w:p>
        </w:tc>
        <w:tc>
          <w:tcPr>
            <w:tcW w:type="dxa" w:w="5040"/>
            <w:shd w:fill="1F4E79"/>
            <w:vAlign w:val="center"/>
            <w:tcMar>
              <w:top w:w="80" w:type="dxa"/>
              <w:start w:w="90" w:type="dxa"/>
              <w:bottom w:w="80" w:type="dxa"/>
              <w:end w:w="90" w:type="dxa"/>
            </w:tcMar>
          </w:tcPr>
          <w:p>
            <w:r>
              <w:rPr>
                <w:b/>
                <w:color w:val="FFFFFF"/>
              </w:rPr>
              <w:t>Capabilities that must remain controlled by MRO</w:t>
            </w:r>
          </w:p>
        </w:tc>
      </w:tr>
      <w:tr>
        <w:tc>
          <w:tcPr>
            <w:tcW w:type="dxa" w:w="5040"/>
            <w:vAlign w:val="top"/>
            <w:tcMar>
              <w:top w:w="80" w:type="dxa"/>
              <w:start w:w="90" w:type="dxa"/>
              <w:bottom w:w="80" w:type="dxa"/>
              <w:end w:w="90" w:type="dxa"/>
            </w:tcMar>
          </w:tcPr>
          <w:p>
            <w:r>
              <w:t>Generic document parsing and data transformation</w:t>
            </w:r>
          </w:p>
        </w:tc>
        <w:tc>
          <w:tcPr>
            <w:tcW w:type="dxa" w:w="5040"/>
            <w:vAlign w:val="top"/>
            <w:tcMar>
              <w:top w:w="80" w:type="dxa"/>
              <w:start w:w="90" w:type="dxa"/>
              <w:bottom w:w="80" w:type="dxa"/>
              <w:end w:w="90" w:type="dxa"/>
            </w:tcMar>
          </w:tcPr>
          <w:p>
            <w:r>
              <w:t>Official MRO methodology implementation</w:t>
            </w:r>
          </w:p>
        </w:tc>
      </w:tr>
      <w:tr>
        <w:tc>
          <w:tcPr>
            <w:tcW w:type="dxa" w:w="5040"/>
            <w:vAlign w:val="top"/>
            <w:tcMar>
              <w:top w:w="80" w:type="dxa"/>
              <w:start w:w="90" w:type="dxa"/>
              <w:bottom w:w="80" w:type="dxa"/>
              <w:end w:w="90" w:type="dxa"/>
            </w:tcMar>
            <w:shd w:fill="F5F8FA"/>
          </w:tcPr>
          <w:p>
            <w:r>
              <w:t>Reusable UI components and application frameworks</w:t>
            </w:r>
          </w:p>
        </w:tc>
        <w:tc>
          <w:tcPr>
            <w:tcW w:type="dxa" w:w="5040"/>
            <w:vAlign w:val="top"/>
            <w:tcMar>
              <w:top w:w="80" w:type="dxa"/>
              <w:start w:w="90" w:type="dxa"/>
              <w:bottom w:w="80" w:type="dxa"/>
              <w:end w:w="90" w:type="dxa"/>
            </w:tcMar>
            <w:shd w:fill="F5F8FA"/>
          </w:tcPr>
          <w:p>
            <w:r>
              <w:t>Risk knowledge model and domain skills</w:t>
            </w:r>
          </w:p>
        </w:tc>
      </w:tr>
      <w:tr>
        <w:tc>
          <w:tcPr>
            <w:tcW w:type="dxa" w:w="5040"/>
            <w:vAlign w:val="top"/>
            <w:tcMar>
              <w:top w:w="80" w:type="dxa"/>
              <w:start w:w="90" w:type="dxa"/>
              <w:bottom w:w="80" w:type="dxa"/>
              <w:end w:w="90" w:type="dxa"/>
            </w:tcMar>
          </w:tcPr>
          <w:p>
            <w:r>
              <w:t>Generic API, orchestration and LLM frameworks</w:t>
            </w:r>
          </w:p>
        </w:tc>
        <w:tc>
          <w:tcPr>
            <w:tcW w:type="dxa" w:w="5040"/>
            <w:vAlign w:val="top"/>
            <w:tcMar>
              <w:top w:w="80" w:type="dxa"/>
              <w:start w:w="90" w:type="dxa"/>
              <w:bottom w:w="80" w:type="dxa"/>
              <w:end w:w="90" w:type="dxa"/>
            </w:tcMar>
          </w:tcPr>
          <w:p>
            <w:r>
              <w:t>Human judgement and adjudication framework</w:t>
            </w:r>
          </w:p>
        </w:tc>
      </w:tr>
      <w:tr>
        <w:tc>
          <w:tcPr>
            <w:tcW w:type="dxa" w:w="5040"/>
            <w:vAlign w:val="top"/>
            <w:tcMar>
              <w:top w:w="80" w:type="dxa"/>
              <w:start w:w="90" w:type="dxa"/>
              <w:bottom w:w="80" w:type="dxa"/>
              <w:end w:w="90" w:type="dxa"/>
            </w:tcMar>
            <w:shd w:fill="F5F8FA"/>
          </w:tcPr>
          <w:p>
            <w:r>
              <w:t>Baseline evaluation libraries</w:t>
            </w:r>
          </w:p>
        </w:tc>
        <w:tc>
          <w:tcPr>
            <w:tcW w:type="dxa" w:w="5040"/>
            <w:vAlign w:val="top"/>
            <w:tcMar>
              <w:top w:w="80" w:type="dxa"/>
              <w:start w:w="90" w:type="dxa"/>
              <w:bottom w:w="80" w:type="dxa"/>
              <w:end w:w="90" w:type="dxa"/>
            </w:tcMar>
            <w:shd w:fill="F5F8FA"/>
          </w:tcPr>
          <w:p>
            <w:r>
              <w:t>Calibration framework and benchmark ownership</w:t>
            </w:r>
          </w:p>
        </w:tc>
      </w:tr>
      <w:tr>
        <w:tc>
          <w:tcPr>
            <w:tcW w:type="dxa" w:w="5040"/>
            <w:vAlign w:val="top"/>
            <w:tcMar>
              <w:top w:w="80" w:type="dxa"/>
              <w:start w:w="90" w:type="dxa"/>
              <w:bottom w:w="80" w:type="dxa"/>
              <w:end w:w="90" w:type="dxa"/>
            </w:tcMar>
          </w:tcPr>
          <w:p>
            <w:r>
              <w:t>Infrastructure, runtime, monitoring and deployment</w:t>
            </w:r>
          </w:p>
        </w:tc>
        <w:tc>
          <w:tcPr>
            <w:tcW w:type="dxa" w:w="5040"/>
            <w:vAlign w:val="top"/>
            <w:tcMar>
              <w:top w:w="80" w:type="dxa"/>
              <w:start w:w="90" w:type="dxa"/>
              <w:bottom w:w="80" w:type="dxa"/>
              <w:end w:w="90" w:type="dxa"/>
            </w:tcMar>
          </w:tcPr>
          <w:p>
            <w:r>
              <w:t>Historical intelligence architecture and curated decision corpus</w:t>
            </w:r>
          </w:p>
        </w:tc>
      </w:tr>
      <w:tr>
        <w:tc>
          <w:tcPr>
            <w:tcW w:type="dxa" w:w="5040"/>
            <w:vAlign w:val="top"/>
            <w:tcMar>
              <w:top w:w="80" w:type="dxa"/>
              <w:start w:w="90" w:type="dxa"/>
              <w:bottom w:w="80" w:type="dxa"/>
              <w:end w:w="90" w:type="dxa"/>
            </w:tcMar>
            <w:shd w:fill="F5F8FA"/>
          </w:tcPr>
          <w:p>
            <w:r>
              <w:t>General technical accelerators</w:t>
            </w:r>
          </w:p>
        </w:tc>
        <w:tc>
          <w:tcPr>
            <w:tcW w:type="dxa" w:w="5040"/>
            <w:vAlign w:val="top"/>
            <w:tcMar>
              <w:top w:w="80" w:type="dxa"/>
              <w:start w:w="90" w:type="dxa"/>
              <w:bottom w:w="80" w:type="dxa"/>
              <w:end w:w="90" w:type="dxa"/>
            </w:tcMar>
            <w:shd w:fill="F5F8FA"/>
          </w:tcPr>
          <w:p>
            <w:r>
              <w:t>Risk-decision lineage and approved release records</w:t>
            </w:r>
          </w:p>
        </w:tc>
      </w:tr>
      <w:tr>
        <w:tc>
          <w:tcPr>
            <w:tcW w:type="dxa" w:w="5040"/>
            <w:vAlign w:val="top"/>
            <w:tcMar>
              <w:top w:w="80" w:type="dxa"/>
              <w:start w:w="90" w:type="dxa"/>
              <w:bottom w:w="80" w:type="dxa"/>
              <w:end w:w="90" w:type="dxa"/>
            </w:tcMar>
          </w:tcPr>
          <w:p>
            <w:r>
              <w:t>Shared integration tooling</w:t>
            </w:r>
          </w:p>
        </w:tc>
        <w:tc>
          <w:tcPr>
            <w:tcW w:type="dxa" w:w="5040"/>
            <w:vAlign w:val="top"/>
            <w:tcMar>
              <w:top w:w="80" w:type="dxa"/>
              <w:start w:w="90" w:type="dxa"/>
              <w:bottom w:w="80" w:type="dxa"/>
              <w:end w:w="90" w:type="dxa"/>
            </w:tcMar>
          </w:tcPr>
          <w:p>
            <w:r>
              <w:t>Cross-layer consistency across Layer 1, Layer 2 and Layer 3</w:t>
            </w:r>
          </w:p>
        </w:tc>
      </w:tr>
    </w:tbl>
    <w:p/>
    <w:p>
      <w:r>
        <w:t>The team’s moat is therefore based on five practical forms of replacement cost:</w:t>
      </w:r>
    </w:p>
    <w:p>
      <w:pPr>
        <w:pStyle w:val="ListBullet"/>
      </w:pPr>
      <w:r>
        <w:t>Authority cost: a replacement would require transferring MRO decision rights and accountability.</w:t>
      </w:r>
    </w:p>
    <w:p>
      <w:pPr>
        <w:pStyle w:val="ListBullet"/>
      </w:pPr>
      <w:r>
        <w:t>Data cost: a replacement would need years of quality-controlled decisions, evidence and outcomes.</w:t>
      </w:r>
    </w:p>
    <w:p>
      <w:pPr>
        <w:pStyle w:val="ListBullet"/>
      </w:pPr>
      <w:r>
        <w:t>Credibility cost: a replacement would need to reproduce calibration evidence and expert agreement.</w:t>
      </w:r>
    </w:p>
    <w:p>
      <w:pPr>
        <w:pStyle w:val="ListBullet"/>
      </w:pPr>
      <w:r>
        <w:t>Workflow cost: a replacement would need to migrate end-to-end processes, records and integrations.</w:t>
      </w:r>
    </w:p>
    <w:p>
      <w:pPr>
        <w:pStyle w:val="ListBullet"/>
      </w:pPr>
      <w:r>
        <w:t>Learning cost: a replacement would need to recreate the feedback loop connecting decisions, outcomes and methodology changes.</w:t>
      </w:r>
    </w:p>
    <w:p>
      <w:pPr>
        <w:pStyle w:val="Heading1"/>
      </w:pPr>
      <w:r>
        <w:t>15. Three-Year Capability Roadmap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160"/>
            <w:shd w:fill="1F4E79"/>
            <w:vAlign w:val="center"/>
            <w:tcMar>
              <w:top w:w="80" w:type="dxa"/>
              <w:start w:w="90" w:type="dxa"/>
              <w:bottom w:w="80" w:type="dxa"/>
              <w:end w:w="90" w:type="dxa"/>
            </w:tcMar>
          </w:tcPr>
          <w:p>
            <w:r>
              <w:rPr>
                <w:b/>
                <w:color w:val="FFFFFF"/>
              </w:rPr>
              <w:t>Phase</w:t>
            </w:r>
          </w:p>
        </w:tc>
        <w:tc>
          <w:tcPr>
            <w:tcW w:type="dxa" w:w="1584"/>
            <w:shd w:fill="1F4E79"/>
            <w:vAlign w:val="center"/>
            <w:tcMar>
              <w:top w:w="80" w:type="dxa"/>
              <w:start w:w="90" w:type="dxa"/>
              <w:bottom w:w="80" w:type="dxa"/>
              <w:end w:w="90" w:type="dxa"/>
            </w:tcMar>
          </w:tcPr>
          <w:p>
            <w:r>
              <w:rPr>
                <w:b/>
                <w:color w:val="FFFFFF"/>
              </w:rPr>
              <w:t>Timeline</w:t>
            </w:r>
          </w:p>
        </w:tc>
        <w:tc>
          <w:tcPr>
            <w:tcW w:type="dxa" w:w="4320"/>
            <w:shd w:fill="1F4E79"/>
            <w:vAlign w:val="center"/>
            <w:tcMar>
              <w:top w:w="80" w:type="dxa"/>
              <w:start w:w="90" w:type="dxa"/>
              <w:bottom w:w="80" w:type="dxa"/>
              <w:end w:w="90" w:type="dxa"/>
            </w:tcMar>
          </w:tcPr>
          <w:p>
            <w:r>
              <w:rPr>
                <w:b/>
                <w:color w:val="FFFFFF"/>
              </w:rPr>
              <w:t>Primary outcomes</w:t>
            </w:r>
          </w:p>
        </w:tc>
        <w:tc>
          <w:tcPr>
            <w:tcW w:type="dxa" w:w="2880"/>
            <w:shd w:fill="1F4E79"/>
            <w:vAlign w:val="center"/>
            <w:tcMar>
              <w:top w:w="80" w:type="dxa"/>
              <w:start w:w="90" w:type="dxa"/>
              <w:bottom w:w="80" w:type="dxa"/>
              <w:end w:w="90" w:type="dxa"/>
            </w:tcMar>
          </w:tcPr>
          <w:p>
            <w:r>
              <w:rPr>
                <w:b/>
                <w:color w:val="FFFFFF"/>
              </w:rPr>
              <w:t>Success indicators</w:t>
            </w:r>
          </w:p>
        </w:tc>
      </w:tr>
      <w:tr>
        <w:tc>
          <w:tcPr>
            <w:tcW w:type="dxa" w:w="2160"/>
            <w:vAlign w:val="top"/>
            <w:tcMar>
              <w:top w:w="80" w:type="dxa"/>
              <w:start w:w="90" w:type="dxa"/>
              <w:bottom w:w="80" w:type="dxa"/>
              <w:end w:w="90" w:type="dxa"/>
            </w:tcMar>
          </w:tcPr>
          <w:p>
            <w:r>
              <w:t>Phase 1 - Establish the authoritative Core</w:t>
            </w:r>
          </w:p>
        </w:tc>
        <w:tc>
          <w:tcPr>
            <w:tcW w:type="dxa" w:w="1584"/>
            <w:vAlign w:val="top"/>
            <w:tcMar>
              <w:top w:w="80" w:type="dxa"/>
              <w:start w:w="90" w:type="dxa"/>
              <w:bottom w:w="80" w:type="dxa"/>
              <w:end w:w="90" w:type="dxa"/>
            </w:tcMar>
          </w:tcPr>
          <w:p>
            <w:r>
              <w:t>0-6 months</w:t>
            </w:r>
          </w:p>
        </w:tc>
        <w:tc>
          <w:tcPr>
            <w:tcW w:type="dxa" w:w="4320"/>
            <w:vAlign w:val="top"/>
            <w:tcMar>
              <w:top w:w="80" w:type="dxa"/>
              <w:start w:w="90" w:type="dxa"/>
              <w:bottom w:w="80" w:type="dxa"/>
              <w:end w:w="90" w:type="dxa"/>
            </w:tcMar>
          </w:tcPr>
          <w:p>
            <w:r>
              <w:t>Define scope and ownership; establish common contracts; implement priority Layer 1 and Layer 2 methods; create case store; capture overrides; introduce release manifests</w:t>
            </w:r>
          </w:p>
        </w:tc>
        <w:tc>
          <w:tcPr>
            <w:tcW w:type="dxa" w:w="2880"/>
            <w:vAlign w:val="top"/>
            <w:tcMar>
              <w:top w:w="80" w:type="dxa"/>
              <w:start w:w="90" w:type="dxa"/>
              <w:bottom w:w="80" w:type="dxa"/>
              <w:end w:w="90" w:type="dxa"/>
            </w:tcMar>
          </w:tcPr>
          <w:p>
            <w:r>
              <w:t>All priority Layer 1 and Layer 2 capabilities call a controlled Core; methodology owners and release process are explicit</w:t>
            </w:r>
          </w:p>
        </w:tc>
      </w:tr>
      <w:tr>
        <w:tc>
          <w:tcPr>
            <w:tcW w:type="dxa" w:w="2160"/>
            <w:vAlign w:val="top"/>
            <w:tcMar>
              <w:top w:w="80" w:type="dxa"/>
              <w:start w:w="90" w:type="dxa"/>
              <w:bottom w:w="80" w:type="dxa"/>
              <w:end w:w="90" w:type="dxa"/>
            </w:tcMar>
            <w:shd w:fill="F5F8FA"/>
          </w:tcPr>
          <w:p>
            <w:r>
              <w:t>Phase 2 - Create the data and calibration flywheel</w:t>
            </w:r>
          </w:p>
        </w:tc>
        <w:tc>
          <w:tcPr>
            <w:tcW w:type="dxa" w:w="1584"/>
            <w:vAlign w:val="top"/>
            <w:tcMar>
              <w:top w:w="80" w:type="dxa"/>
              <w:start w:w="90" w:type="dxa"/>
              <w:bottom w:w="80" w:type="dxa"/>
              <w:end w:w="90" w:type="dxa"/>
            </w:tcMar>
            <w:shd w:fill="F5F8FA"/>
          </w:tcPr>
          <w:p>
            <w:r>
              <w:t>6-18 months</w:t>
            </w:r>
          </w:p>
        </w:tc>
        <w:tc>
          <w:tcPr>
            <w:tcW w:type="dxa" w:w="4320"/>
            <w:vAlign w:val="top"/>
            <w:tcMar>
              <w:top w:w="80" w:type="dxa"/>
              <w:start w:w="90" w:type="dxa"/>
              <w:bottom w:w="80" w:type="dxa"/>
              <w:end w:w="90" w:type="dxa"/>
            </w:tcMar>
            <w:shd w:fill="F5F8FA"/>
          </w:tcPr>
          <w:p>
            <w:r>
              <w:t>Build golden benchmarks; curate historical cases; formalise domain skills; measure agreement, recall and overrides; add precedent retrieval; operate quarterly calibration</w:t>
            </w:r>
          </w:p>
        </w:tc>
        <w:tc>
          <w:tcPr>
            <w:tcW w:type="dxa" w:w="2880"/>
            <w:vAlign w:val="top"/>
            <w:tcMar>
              <w:top w:w="80" w:type="dxa"/>
              <w:start w:w="90" w:type="dxa"/>
              <w:bottom w:w="80" w:type="dxa"/>
              <w:end w:w="90" w:type="dxa"/>
            </w:tcMar>
            <w:shd w:fill="F5F8FA"/>
          </w:tcPr>
          <w:p>
            <w:r>
              <w:t>Core uses reviewed MRO experience and demonstrates measured improvement and known limitations</w:t>
            </w:r>
          </w:p>
        </w:tc>
      </w:tr>
      <w:tr>
        <w:tc>
          <w:tcPr>
            <w:tcW w:type="dxa" w:w="2160"/>
            <w:vAlign w:val="top"/>
            <w:tcMar>
              <w:top w:w="80" w:type="dxa"/>
              <w:start w:w="90" w:type="dxa"/>
              <w:bottom w:w="80" w:type="dxa"/>
              <w:end w:w="90" w:type="dxa"/>
            </w:tcMar>
          </w:tcPr>
          <w:p>
            <w:r>
              <w:t>Phase 3 - Establish enterprise AI risk intelligence</w:t>
            </w:r>
          </w:p>
        </w:tc>
        <w:tc>
          <w:tcPr>
            <w:tcW w:type="dxa" w:w="1584"/>
            <w:vAlign w:val="top"/>
            <w:tcMar>
              <w:top w:w="80" w:type="dxa"/>
              <w:start w:w="90" w:type="dxa"/>
              <w:bottom w:w="80" w:type="dxa"/>
              <w:end w:w="90" w:type="dxa"/>
            </w:tcMar>
          </w:tcPr>
          <w:p>
            <w:r>
              <w:t>18-36 months</w:t>
            </w:r>
          </w:p>
        </w:tc>
        <w:tc>
          <w:tcPr>
            <w:tcW w:type="dxa" w:w="4320"/>
            <w:vAlign w:val="top"/>
            <w:tcMar>
              <w:top w:w="80" w:type="dxa"/>
              <w:start w:w="90" w:type="dxa"/>
              <w:bottom w:w="80" w:type="dxa"/>
              <w:end w:w="90" w:type="dxa"/>
            </w:tcMar>
          </w:tcPr>
          <w:p>
            <w:r>
              <w:t>Connect Layer 1/2/3 metadata; support policy-change impact analysis; identify cross-model trends; automate validation configuration; strengthen monitoring and revalidation intelligence; develop mature risk knowledge graph</w:t>
            </w:r>
          </w:p>
        </w:tc>
        <w:tc>
          <w:tcPr>
            <w:tcW w:type="dxa" w:w="2880"/>
            <w:vAlign w:val="top"/>
            <w:tcMar>
              <w:top w:w="80" w:type="dxa"/>
              <w:start w:w="90" w:type="dxa"/>
              <w:bottom w:w="80" w:type="dxa"/>
              <w:end w:w="90" w:type="dxa"/>
            </w:tcMar>
          </w:tcPr>
          <w:p>
            <w:r>
              <w:t>Core becomes the de facto MRO standard for AI risk assessment, independent validation and ongoing oversight</w:t>
            </w:r>
          </w:p>
        </w:tc>
      </w:tr>
    </w:tbl>
    <w:p/>
    <w:p>
      <w:pPr>
        <w:pStyle w:val="Heading1"/>
      </w:pPr>
      <w:r>
        <w:t>16. Implementation Priorities for the Next 90 Days</w:t>
      </w:r>
    </w:p>
    <w:p>
      <w:pPr>
        <w:pStyle w:val="ListNumber"/>
      </w:pPr>
      <w:r>
        <w:t>Approve the formal definition and scope of the MRO AI Risk Intelligence Core.</w:t>
      </w:r>
    </w:p>
    <w:p>
      <w:pPr>
        <w:pStyle w:val="ListNumber"/>
      </w:pPr>
      <w:r>
        <w:t>Agree decision rights between AI Risk Oversight, AI Independent Validation, AI Tech &amp; Tooling and MRO governance.</w:t>
      </w:r>
    </w:p>
    <w:p>
      <w:pPr>
        <w:pStyle w:val="ListNumber"/>
      </w:pPr>
      <w:r>
        <w:t>Define the first common objects: Risk Profile, Validation Plan, Evaluation Run, Finding, Human Decision and Monitoring Trigger.</w:t>
      </w:r>
    </w:p>
    <w:p>
      <w:pPr>
        <w:pStyle w:val="ListNumber"/>
      </w:pPr>
      <w:r>
        <w:t>Create a minimum release manifest and methodology versioning standard.</w:t>
      </w:r>
    </w:p>
    <w:p>
      <w:pPr>
        <w:pStyle w:val="ListNumber"/>
      </w:pPr>
      <w:r>
        <w:t>Introduce structured capture of system recommendation, human decision, override reason and approval.</w:t>
      </w:r>
    </w:p>
    <w:p>
      <w:pPr>
        <w:pStyle w:val="ListNumber"/>
      </w:pPr>
      <w:r>
        <w:t>Identify an initial set of golden cases for Layer 1 triage and Layer 2 evaluation.</w:t>
      </w:r>
    </w:p>
    <w:p>
      <w:pPr>
        <w:pStyle w:val="ListNumber"/>
      </w:pPr>
      <w:r>
        <w:t>Nominate owners for the first domain skills: RAG, agentic AI, foundation models and materiality triage.</w:t>
      </w:r>
    </w:p>
    <w:p>
      <w:pPr>
        <w:pStyle w:val="ListNumber"/>
      </w:pPr>
      <w:r>
        <w:t>Establish a controlled design for the historical decision corpus, including confidentiality and quality gates.</w:t>
      </w:r>
    </w:p>
    <w:p>
      <w:pPr>
        <w:pStyle w:val="ListNumber"/>
      </w:pPr>
      <w:r>
        <w:t>Create an initial calibration dashboard and baseline the current manual process.</w:t>
      </w:r>
    </w:p>
    <w:p>
      <w:pPr>
        <w:pStyle w:val="ListNumber"/>
      </w:pPr>
      <w:r>
        <w:t>Publish the team charter positioning AI Tech &amp; Tooling as technical custodian of MRO AI risk intelligence.</w:t>
      </w:r>
    </w:p>
    <w:p>
      <w:pPr>
        <w:pStyle w:val="Heading1"/>
      </w:pPr>
      <w:r>
        <w:t>17. Operating Risks and Mitigations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vAlign w:val="center"/>
            <w:tcMar>
              <w:top w:w="80" w:type="dxa"/>
              <w:start w:w="90" w:type="dxa"/>
              <w:bottom w:w="80" w:type="dxa"/>
              <w:end w:w="90" w:type="dxa"/>
            </w:tcMar>
          </w:tcPr>
          <w:p>
            <w:r>
              <w:rPr>
                <w:b/>
                <w:color w:val="FFFFFF"/>
              </w:rPr>
              <w:t>Risk</w:t>
            </w:r>
          </w:p>
        </w:tc>
        <w:tc>
          <w:tcPr>
            <w:tcW w:type="dxa" w:w="3360"/>
            <w:shd w:fill="1F4E79"/>
            <w:vAlign w:val="center"/>
            <w:tcMar>
              <w:top w:w="80" w:type="dxa"/>
              <w:start w:w="90" w:type="dxa"/>
              <w:bottom w:w="80" w:type="dxa"/>
              <w:end w:w="90" w:type="dxa"/>
            </w:tcMar>
          </w:tcPr>
          <w:p>
            <w:r>
              <w:rPr>
                <w:b/>
                <w:color w:val="FFFFFF"/>
              </w:rPr>
              <w:t>Why it matters</w:t>
            </w:r>
          </w:p>
        </w:tc>
        <w:tc>
          <w:tcPr>
            <w:tcW w:type="dxa" w:w="3360"/>
            <w:shd w:fill="1F4E79"/>
            <w:vAlign w:val="center"/>
            <w:tcMar>
              <w:top w:w="80" w:type="dxa"/>
              <w:start w:w="90" w:type="dxa"/>
              <w:bottom w:w="80" w:type="dxa"/>
              <w:end w:w="90" w:type="dxa"/>
            </w:tcMar>
          </w:tcPr>
          <w:p>
            <w:r>
              <w:rPr>
                <w:b/>
                <w:color w:val="FFFFFF"/>
              </w:rPr>
              <w:t>Mitigation</w:t>
            </w:r>
          </w:p>
        </w:tc>
      </w:tr>
      <w:tr>
        <w:tc>
          <w:tcPr>
            <w:tcW w:type="dxa" w:w="3360"/>
            <w:vAlign w:val="top"/>
            <w:tcMar>
              <w:top w:w="80" w:type="dxa"/>
              <w:start w:w="90" w:type="dxa"/>
              <w:bottom w:w="80" w:type="dxa"/>
              <w:end w:w="90" w:type="dxa"/>
            </w:tcMar>
          </w:tcPr>
          <w:p>
            <w:r>
              <w:t>The Core becomes a code dump</w:t>
            </w:r>
          </w:p>
        </w:tc>
        <w:tc>
          <w:tcPr>
            <w:tcW w:type="dxa" w:w="3360"/>
            <w:vAlign w:val="top"/>
            <w:tcMar>
              <w:top w:w="80" w:type="dxa"/>
              <w:start w:w="90" w:type="dxa"/>
              <w:bottom w:w="80" w:type="dxa"/>
              <w:end w:w="90" w:type="dxa"/>
            </w:tcMar>
          </w:tcPr>
          <w:p>
            <w:r>
              <w:t>Unclear boundaries create maintenance debt and weak ownership</w:t>
            </w:r>
          </w:p>
        </w:tc>
        <w:tc>
          <w:tcPr>
            <w:tcW w:type="dxa" w:w="3360"/>
            <w:vAlign w:val="top"/>
            <w:tcMar>
              <w:top w:w="80" w:type="dxa"/>
              <w:start w:w="90" w:type="dxa"/>
              <w:bottom w:w="80" w:type="dxa"/>
              <w:end w:w="90" w:type="dxa"/>
            </w:tcMar>
          </w:tcPr>
          <w:p>
            <w:r>
              <w:t>Require capability charters, owners, interfaces, tests and review dates</w:t>
            </w:r>
          </w:p>
        </w:tc>
      </w:tr>
      <w:tr>
        <w:tc>
          <w:tcPr>
            <w:tcW w:type="dxa" w:w="3360"/>
            <w:vAlign w:val="top"/>
            <w:tcMar>
              <w:top w:w="80" w:type="dxa"/>
              <w:start w:w="90" w:type="dxa"/>
              <w:bottom w:w="80" w:type="dxa"/>
              <w:end w:w="90" w:type="dxa"/>
            </w:tcMar>
            <w:shd w:fill="F5F8FA"/>
          </w:tcPr>
          <w:p>
            <w:r>
              <w:t>Methodology is automated without approval</w:t>
            </w:r>
          </w:p>
        </w:tc>
        <w:tc>
          <w:tcPr>
            <w:tcW w:type="dxa" w:w="3360"/>
            <w:vAlign w:val="top"/>
            <w:tcMar>
              <w:top w:w="80" w:type="dxa"/>
              <w:start w:w="90" w:type="dxa"/>
              <w:bottom w:w="80" w:type="dxa"/>
              <w:end w:w="90" w:type="dxa"/>
            </w:tcMar>
            <w:shd w:fill="F5F8FA"/>
          </w:tcPr>
          <w:p>
            <w:r>
              <w:t>May undermine second-line accountability</w:t>
            </w:r>
          </w:p>
        </w:tc>
        <w:tc>
          <w:tcPr>
            <w:tcW w:type="dxa" w:w="3360"/>
            <w:vAlign w:val="top"/>
            <w:tcMar>
              <w:top w:w="80" w:type="dxa"/>
              <w:start w:w="90" w:type="dxa"/>
              <w:bottom w:w="80" w:type="dxa"/>
              <w:end w:w="90" w:type="dxa"/>
            </w:tcMar>
            <w:shd w:fill="F5F8FA"/>
          </w:tcPr>
          <w:p>
            <w:r>
              <w:t>Embed methodology owners and release approvals</w:t>
            </w:r>
          </w:p>
        </w:tc>
      </w:tr>
      <w:tr>
        <w:tc>
          <w:tcPr>
            <w:tcW w:type="dxa" w:w="3360"/>
            <w:vAlign w:val="top"/>
            <w:tcMar>
              <w:top w:w="80" w:type="dxa"/>
              <w:start w:w="90" w:type="dxa"/>
              <w:bottom w:w="80" w:type="dxa"/>
              <w:end w:w="90" w:type="dxa"/>
            </w:tcMar>
          </w:tcPr>
          <w:p>
            <w:r>
              <w:t>Historical data is low quality</w:t>
            </w:r>
          </w:p>
        </w:tc>
        <w:tc>
          <w:tcPr>
            <w:tcW w:type="dxa" w:w="3360"/>
            <w:vAlign w:val="top"/>
            <w:tcMar>
              <w:top w:w="80" w:type="dxa"/>
              <w:start w:w="90" w:type="dxa"/>
              <w:bottom w:w="80" w:type="dxa"/>
              <w:end w:w="90" w:type="dxa"/>
            </w:tcMar>
          </w:tcPr>
          <w:p>
            <w:r>
              <w:t>Poor precedents can amplify inconsistent decisions</w:t>
            </w:r>
          </w:p>
        </w:tc>
        <w:tc>
          <w:tcPr>
            <w:tcW w:type="dxa" w:w="3360"/>
            <w:vAlign w:val="top"/>
            <w:tcMar>
              <w:top w:w="80" w:type="dxa"/>
              <w:start w:w="90" w:type="dxa"/>
              <w:bottom w:w="80" w:type="dxa"/>
              <w:end w:w="90" w:type="dxa"/>
            </w:tcMar>
          </w:tcPr>
          <w:p>
            <w:r>
              <w:t>Use case-quality gates, adjudication and exclusion criteria</w:t>
            </w:r>
          </w:p>
        </w:tc>
      </w:tr>
      <w:tr>
        <w:tc>
          <w:tcPr>
            <w:tcW w:type="dxa" w:w="3360"/>
            <w:vAlign w:val="top"/>
            <w:tcMar>
              <w:top w:w="80" w:type="dxa"/>
              <w:start w:w="90" w:type="dxa"/>
              <w:bottom w:w="80" w:type="dxa"/>
              <w:end w:w="90" w:type="dxa"/>
            </w:tcMar>
            <w:shd w:fill="F5F8FA"/>
          </w:tcPr>
          <w:p>
            <w:r>
              <w:t>Prompts are treated as methodology</w:t>
            </w:r>
          </w:p>
        </w:tc>
        <w:tc>
          <w:tcPr>
            <w:tcW w:type="dxa" w:w="3360"/>
            <w:vAlign w:val="top"/>
            <w:tcMar>
              <w:top w:w="80" w:type="dxa"/>
              <w:start w:w="90" w:type="dxa"/>
              <w:bottom w:w="80" w:type="dxa"/>
              <w:end w:w="90" w:type="dxa"/>
            </w:tcMar>
            <w:shd w:fill="F5F8FA"/>
          </w:tcPr>
          <w:p>
            <w:r>
              <w:t>Prompts alone are brittle and easily copied</w:t>
            </w:r>
          </w:p>
        </w:tc>
        <w:tc>
          <w:tcPr>
            <w:tcW w:type="dxa" w:w="3360"/>
            <w:vAlign w:val="top"/>
            <w:tcMar>
              <w:top w:w="80" w:type="dxa"/>
              <w:start w:w="90" w:type="dxa"/>
              <w:bottom w:w="80" w:type="dxa"/>
              <w:end w:w="90" w:type="dxa"/>
            </w:tcMar>
            <w:shd w:fill="F5F8FA"/>
          </w:tcPr>
          <w:p>
            <w:r>
              <w:t>Pair prompts with evidence models, rules, benchmarks, rubrics and limitations</w:t>
            </w:r>
          </w:p>
        </w:tc>
      </w:tr>
      <w:tr>
        <w:tc>
          <w:tcPr>
            <w:tcW w:type="dxa" w:w="3360"/>
            <w:vAlign w:val="top"/>
            <w:tcMar>
              <w:top w:w="80" w:type="dxa"/>
              <w:start w:w="90" w:type="dxa"/>
              <w:bottom w:w="80" w:type="dxa"/>
              <w:end w:w="90" w:type="dxa"/>
            </w:tcMar>
          </w:tcPr>
          <w:p>
            <w:r>
              <w:t>Over-automation weakens judgement</w:t>
            </w:r>
          </w:p>
        </w:tc>
        <w:tc>
          <w:tcPr>
            <w:tcW w:type="dxa" w:w="3360"/>
            <w:vAlign w:val="top"/>
            <w:tcMar>
              <w:top w:w="80" w:type="dxa"/>
              <w:start w:w="90" w:type="dxa"/>
              <w:bottom w:w="80" w:type="dxa"/>
              <w:end w:w="90" w:type="dxa"/>
            </w:tcMar>
          </w:tcPr>
          <w:p>
            <w:r>
              <w:t>Users may rely on recommendations without challenge</w:t>
            </w:r>
          </w:p>
        </w:tc>
        <w:tc>
          <w:tcPr>
            <w:tcW w:type="dxa" w:w="3360"/>
            <w:vAlign w:val="top"/>
            <w:tcMar>
              <w:top w:w="80" w:type="dxa"/>
              <w:start w:w="90" w:type="dxa"/>
              <w:bottom w:w="80" w:type="dxa"/>
              <w:end w:w="90" w:type="dxa"/>
            </w:tcMar>
          </w:tcPr>
          <w:p>
            <w:r>
              <w:t>Mandate human checkpoints and preserve override evidence</w:t>
            </w:r>
          </w:p>
        </w:tc>
      </w:tr>
      <w:tr>
        <w:tc>
          <w:tcPr>
            <w:tcW w:type="dxa" w:w="3360"/>
            <w:vAlign w:val="top"/>
            <w:tcMar>
              <w:top w:w="80" w:type="dxa"/>
              <w:start w:w="90" w:type="dxa"/>
              <w:bottom w:w="80" w:type="dxa"/>
              <w:end w:w="90" w:type="dxa"/>
            </w:tcMar>
            <w:shd w:fill="F5F8FA"/>
          </w:tcPr>
          <w:p>
            <w:r>
              <w:t>Multiple teams create competing logic</w:t>
            </w:r>
          </w:p>
        </w:tc>
        <w:tc>
          <w:tcPr>
            <w:tcW w:type="dxa" w:w="3360"/>
            <w:vAlign w:val="top"/>
            <w:tcMar>
              <w:top w:w="80" w:type="dxa"/>
              <w:start w:w="90" w:type="dxa"/>
              <w:bottom w:w="80" w:type="dxa"/>
              <w:end w:w="90" w:type="dxa"/>
            </w:tcMar>
            <w:shd w:fill="F5F8FA"/>
          </w:tcPr>
          <w:p>
            <w:r>
              <w:t>Inconsistent outputs weaken governance credibility</w:t>
            </w:r>
          </w:p>
        </w:tc>
        <w:tc>
          <w:tcPr>
            <w:tcW w:type="dxa" w:w="3360"/>
            <w:vAlign w:val="top"/>
            <w:tcMar>
              <w:top w:w="80" w:type="dxa"/>
              <w:start w:w="90" w:type="dxa"/>
              <w:bottom w:w="80" w:type="dxa"/>
              <w:end w:w="90" w:type="dxa"/>
            </w:tcMar>
            <w:shd w:fill="F5F8FA"/>
          </w:tcPr>
          <w:p>
            <w:r>
              <w:t>Make the approved Core the single source for official decision logic</w:t>
            </w:r>
          </w:p>
        </w:tc>
      </w:tr>
      <w:tr>
        <w:tc>
          <w:tcPr>
            <w:tcW w:type="dxa" w:w="3360"/>
            <w:vAlign w:val="top"/>
            <w:tcMar>
              <w:top w:w="80" w:type="dxa"/>
              <w:start w:w="90" w:type="dxa"/>
              <w:bottom w:w="80" w:type="dxa"/>
              <w:end w:w="90" w:type="dxa"/>
            </w:tcMar>
          </w:tcPr>
          <w:p>
            <w:r>
              <w:t>Technology stack changes</w:t>
            </w:r>
          </w:p>
        </w:tc>
        <w:tc>
          <w:tcPr>
            <w:tcW w:type="dxa" w:w="3360"/>
            <w:vAlign w:val="top"/>
            <w:tcMar>
              <w:top w:w="80" w:type="dxa"/>
              <w:start w:w="90" w:type="dxa"/>
              <w:bottom w:w="80" w:type="dxa"/>
              <w:end w:w="90" w:type="dxa"/>
            </w:tcMar>
          </w:tcPr>
          <w:p>
            <w:r>
              <w:t>A moat tied to one UI or framework may disappear</w:t>
            </w:r>
          </w:p>
        </w:tc>
        <w:tc>
          <w:tcPr>
            <w:tcW w:type="dxa" w:w="3360"/>
            <w:vAlign w:val="top"/>
            <w:tcMar>
              <w:top w:w="80" w:type="dxa"/>
              <w:start w:w="90" w:type="dxa"/>
              <w:bottom w:w="80" w:type="dxa"/>
              <w:end w:w="90" w:type="dxa"/>
            </w:tcMar>
          </w:tcPr>
          <w:p>
            <w:r>
              <w:t>Keep intelligence assets and contracts independent of implementation technology</w:t>
            </w:r>
          </w:p>
        </w:tc>
      </w:tr>
      <w:tr>
        <w:tc>
          <w:tcPr>
            <w:tcW w:type="dxa" w:w="3360"/>
            <w:vAlign w:val="top"/>
            <w:tcMar>
              <w:top w:w="80" w:type="dxa"/>
              <w:start w:w="90" w:type="dxa"/>
              <w:bottom w:w="80" w:type="dxa"/>
              <w:end w:w="90" w:type="dxa"/>
            </w:tcMar>
            <w:shd w:fill="F5F8FA"/>
          </w:tcPr>
          <w:p>
            <w:r>
              <w:t>Calibration becomes a one-off exercise</w:t>
            </w:r>
          </w:p>
        </w:tc>
        <w:tc>
          <w:tcPr>
            <w:tcW w:type="dxa" w:w="3360"/>
            <w:vAlign w:val="top"/>
            <w:tcMar>
              <w:top w:w="80" w:type="dxa"/>
              <w:start w:w="90" w:type="dxa"/>
              <w:bottom w:w="80" w:type="dxa"/>
              <w:end w:w="90" w:type="dxa"/>
            </w:tcMar>
            <w:shd w:fill="F5F8FA"/>
          </w:tcPr>
          <w:p>
            <w:r>
              <w:t>Performance can degrade as models and use cases change</w:t>
            </w:r>
          </w:p>
        </w:tc>
        <w:tc>
          <w:tcPr>
            <w:tcW w:type="dxa" w:w="3360"/>
            <w:vAlign w:val="top"/>
            <w:tcMar>
              <w:top w:w="80" w:type="dxa"/>
              <w:start w:w="90" w:type="dxa"/>
              <w:bottom w:w="80" w:type="dxa"/>
              <w:end w:w="90" w:type="dxa"/>
            </w:tcMar>
            <w:shd w:fill="F5F8FA"/>
          </w:tcPr>
          <w:p>
            <w:r>
              <w:t>Operate quarterly calibration and release gates</w:t>
            </w:r>
          </w:p>
        </w:tc>
      </w:tr>
      <w:tr>
        <w:tc>
          <w:tcPr>
            <w:tcW w:type="dxa" w:w="3360"/>
            <w:vAlign w:val="top"/>
            <w:tcMar>
              <w:top w:w="80" w:type="dxa"/>
              <w:start w:w="90" w:type="dxa"/>
              <w:bottom w:w="80" w:type="dxa"/>
              <w:end w:w="90" w:type="dxa"/>
            </w:tcMar>
          </w:tcPr>
          <w:p>
            <w:r>
              <w:t>Sensitive assets leak into images or repositories</w:t>
            </w:r>
          </w:p>
        </w:tc>
        <w:tc>
          <w:tcPr>
            <w:tcW w:type="dxa" w:w="3360"/>
            <w:vAlign w:val="top"/>
            <w:tcMar>
              <w:top w:w="80" w:type="dxa"/>
              <w:start w:w="90" w:type="dxa"/>
              <w:bottom w:w="80" w:type="dxa"/>
              <w:end w:w="90" w:type="dxa"/>
            </w:tcMar>
          </w:tcPr>
          <w:p>
            <w:r>
              <w:t>Creates confidentiality and IP risk</w:t>
            </w:r>
          </w:p>
        </w:tc>
        <w:tc>
          <w:tcPr>
            <w:tcW w:type="dxa" w:w="3360"/>
            <w:vAlign w:val="top"/>
            <w:tcMar>
              <w:top w:w="80" w:type="dxa"/>
              <w:start w:w="90" w:type="dxa"/>
              <w:bottom w:w="80" w:type="dxa"/>
              <w:end w:w="90" w:type="dxa"/>
            </w:tcMar>
          </w:tcPr>
          <w:p>
            <w:r>
              <w:t>Keep cases and evidence in controlled stores; package only approved logic</w:t>
            </w:r>
          </w:p>
        </w:tc>
      </w:tr>
      <w:tr>
        <w:tc>
          <w:tcPr>
            <w:tcW w:type="dxa" w:w="3360"/>
            <w:vAlign w:val="top"/>
            <w:tcMar>
              <w:top w:w="80" w:type="dxa"/>
              <w:start w:w="90" w:type="dxa"/>
              <w:bottom w:w="80" w:type="dxa"/>
              <w:end w:w="90" w:type="dxa"/>
            </w:tcMar>
            <w:shd w:fill="F5F8FA"/>
          </w:tcPr>
          <w:p>
            <w:r>
              <w:t>Value is not demonstrated</w:t>
            </w:r>
          </w:p>
        </w:tc>
        <w:tc>
          <w:tcPr>
            <w:tcW w:type="dxa" w:w="3360"/>
            <w:vAlign w:val="top"/>
            <w:tcMar>
              <w:top w:w="80" w:type="dxa"/>
              <w:start w:w="90" w:type="dxa"/>
              <w:bottom w:w="80" w:type="dxa"/>
              <w:end w:w="90" w:type="dxa"/>
            </w:tcMar>
            <w:shd w:fill="F5F8FA"/>
          </w:tcPr>
          <w:p>
            <w:r>
              <w:t>Leadership may view the team as a replaceable development resource</w:t>
            </w:r>
          </w:p>
        </w:tc>
        <w:tc>
          <w:tcPr>
            <w:tcW w:type="dxa" w:w="3360"/>
            <w:vAlign w:val="top"/>
            <w:tcMar>
              <w:top w:w="80" w:type="dxa"/>
              <w:start w:w="90" w:type="dxa"/>
              <w:bottom w:w="80" w:type="dxa"/>
              <w:end w:w="90" w:type="dxa"/>
            </w:tcMar>
            <w:shd w:fill="F5F8FA"/>
          </w:tcPr>
          <w:p>
            <w:r>
              <w:t>Track effectiveness, consistency, efficiency and asset growth</w:t>
            </w:r>
          </w:p>
        </w:tc>
      </w:tr>
    </w:tbl>
    <w:p/>
    <w:p>
      <w:pPr>
        <w:pStyle w:val="Heading1"/>
      </w:pPr>
      <w:r>
        <w:t>18. Target Narrative for Leadership and Stakeholders</w:t>
      </w:r>
    </w:p>
    <w:p>
      <w:r>
        <w:t>The platform should not be described primarily as an AI validation application. The recommended narrative is:</w:t>
      </w:r>
    </w:p>
    <w:tbl>
      <w:tblPr>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color w:val="1F4E79"/>
                <w:sz w:val="22"/>
              </w:rPr>
              <w:t>Strategic positioning statement</w:t>
              <w:br/>
            </w:r>
            <w:r>
              <w:t>We own and maintain the MRO AI Risk Intelligence Core, which codifies approved methodology, expert judgement, calibration evidence, historical validation intelligence and reusable evaluation assets across the end-to-end AI risk lifecycle. The platform is one operational interface through which this intelligence is applied.</w:t>
            </w:r>
          </w:p>
        </w:tc>
      </w:tr>
    </w:tbl>
    <w:p>
      <w:pPr>
        <w:spacing w:after="0"/>
      </w:pPr>
    </w:p>
    <w:p>
      <w:r>
        <w:t>This positioning remains valid even if the organisation later replaces the user interface, FastAPI, Docker distribution, database technology or deployment model. The enduring assets remain the authoritative methodology, expert judgement, historical decisions, evaluation assets, calibration evidence, policy intelligence and controlled learning process.</w:t>
      </w:r>
    </w:p>
    <w:p>
      <w:pPr>
        <w:pStyle w:val="Heading1"/>
      </w:pPr>
      <w:r>
        <w:t>19. Definition of Success</w:t>
      </w:r>
    </w:p>
    <w:p>
      <w:r>
        <w:t>The operating model is successful when the following conditions are met:</w:t>
      </w:r>
    </w:p>
    <w:p>
      <w:pPr>
        <w:pStyle w:val="ListBullet"/>
      </w:pPr>
      <w:r>
        <w:t>The Core is formally recognised as the approved technical implementation of MRO AI risk methodology and decision support.</w:t>
      </w:r>
    </w:p>
    <w:p>
      <w:pPr>
        <w:pStyle w:val="ListBullet"/>
      </w:pPr>
      <w:r>
        <w:t>Layer 1, Layer 2 and Layer 3 use common, versioned risk objects and decision lineage.</w:t>
      </w:r>
    </w:p>
    <w:p>
      <w:pPr>
        <w:pStyle w:val="ListBullet"/>
      </w:pPr>
      <w:r>
        <w:t>Human decisions and overrides are captured as structured learning assets.</w:t>
      </w:r>
    </w:p>
    <w:p>
      <w:pPr>
        <w:pStyle w:val="ListBullet"/>
      </w:pPr>
      <w:r>
        <w:t>Historical cases and evaluation outcomes are curated into an approved intelligence corpus.</w:t>
      </w:r>
    </w:p>
    <w:p>
      <w:pPr>
        <w:pStyle w:val="ListBullet"/>
      </w:pPr>
      <w:r>
        <w:t>Every material release is supported by calibration, regression evidence, approvals and known limitations.</w:t>
      </w:r>
    </w:p>
    <w:p>
      <w:pPr>
        <w:pStyle w:val="ListBullet"/>
      </w:pPr>
      <w:r>
        <w:t>Domain skills are owned, reviewed and improved through real validation and oversight work.</w:t>
      </w:r>
    </w:p>
    <w:p>
      <w:pPr>
        <w:pStyle w:val="ListBullet"/>
      </w:pPr>
      <w:r>
        <w:t>The team can demonstrate measurable improvements in risk coverage, consistency, traceability and efficiency.</w:t>
      </w:r>
    </w:p>
    <w:p>
      <w:pPr>
        <w:pStyle w:val="ListBullet"/>
      </w:pPr>
      <w:r>
        <w:t>Other teams can contribute generic technology without taking ownership of official MRO methodology or conclusions.</w:t>
      </w:r>
    </w:p>
    <w:p>
      <w:pPr>
        <w:pStyle w:val="ListBullet"/>
      </w:pPr>
      <w:r>
        <w:t>The capability remains valuable and authoritative when the underlying technology stack changes.</w:t>
      </w:r>
    </w:p>
    <w:p>
      <w:pPr>
        <w:pStyle w:val="Heading1"/>
      </w:pPr>
      <w:r>
        <w:t>Appendix A - Minimum Release Manifest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Field</w:t>
            </w:r>
          </w:p>
        </w:tc>
        <w:tc>
          <w:tcPr>
            <w:tcW w:type="dxa" w:w="5040"/>
            <w:shd w:fill="1F4E79"/>
            <w:vAlign w:val="center"/>
            <w:tcMar>
              <w:top w:w="80" w:type="dxa"/>
              <w:start w:w="90" w:type="dxa"/>
              <w:bottom w:w="80" w:type="dxa"/>
              <w:end w:w="90" w:type="dxa"/>
            </w:tcMar>
          </w:tcPr>
          <w:p>
            <w:r>
              <w:rPr>
                <w:b/>
                <w:color w:val="FFFFFF"/>
              </w:rPr>
              <w:t>Example</w:t>
            </w:r>
          </w:p>
        </w:tc>
      </w:tr>
      <w:tr>
        <w:tc>
          <w:tcPr>
            <w:tcW w:type="dxa" w:w="5040"/>
            <w:vAlign w:val="top"/>
            <w:tcMar>
              <w:top w:w="80" w:type="dxa"/>
              <w:start w:w="90" w:type="dxa"/>
              <w:bottom w:w="80" w:type="dxa"/>
              <w:end w:w="90" w:type="dxa"/>
            </w:tcMar>
          </w:tcPr>
          <w:p>
            <w:r>
              <w:t>Core release</w:t>
            </w:r>
          </w:p>
        </w:tc>
        <w:tc>
          <w:tcPr>
            <w:tcW w:type="dxa" w:w="5040"/>
            <w:vAlign w:val="top"/>
            <w:tcMar>
              <w:top w:w="80" w:type="dxa"/>
              <w:start w:w="90" w:type="dxa"/>
              <w:bottom w:w="80" w:type="dxa"/>
              <w:end w:w="90" w:type="dxa"/>
            </w:tcMar>
          </w:tcPr>
          <w:p>
            <w:r>
              <w:t>mro-ai-risk-core 0.8.0</w:t>
            </w:r>
          </w:p>
        </w:tc>
      </w:tr>
      <w:tr>
        <w:tc>
          <w:tcPr>
            <w:tcW w:type="dxa" w:w="5040"/>
            <w:vAlign w:val="top"/>
            <w:tcMar>
              <w:top w:w="80" w:type="dxa"/>
              <w:start w:w="90" w:type="dxa"/>
              <w:bottom w:w="80" w:type="dxa"/>
              <w:end w:w="90" w:type="dxa"/>
            </w:tcMar>
            <w:shd w:fill="F5F8FA"/>
          </w:tcPr>
          <w:p>
            <w:r>
              <w:t>Effective date</w:t>
            </w:r>
          </w:p>
        </w:tc>
        <w:tc>
          <w:tcPr>
            <w:tcW w:type="dxa" w:w="5040"/>
            <w:vAlign w:val="top"/>
            <w:tcMar>
              <w:top w:w="80" w:type="dxa"/>
              <w:start w:w="90" w:type="dxa"/>
              <w:bottom w:w="80" w:type="dxa"/>
              <w:end w:w="90" w:type="dxa"/>
            </w:tcMar>
            <w:shd w:fill="F5F8FA"/>
          </w:tcPr>
          <w:p>
            <w:r>
              <w:t>2026-10-01</w:t>
            </w:r>
          </w:p>
        </w:tc>
      </w:tr>
      <w:tr>
        <w:tc>
          <w:tcPr>
            <w:tcW w:type="dxa" w:w="5040"/>
            <w:vAlign w:val="top"/>
            <w:tcMar>
              <w:top w:w="80" w:type="dxa"/>
              <w:start w:w="90" w:type="dxa"/>
              <w:bottom w:w="80" w:type="dxa"/>
              <w:end w:w="90" w:type="dxa"/>
            </w:tcMar>
          </w:tcPr>
          <w:p>
            <w:r>
              <w:t>Methodology versions</w:t>
            </w:r>
          </w:p>
        </w:tc>
        <w:tc>
          <w:tcPr>
            <w:tcW w:type="dxa" w:w="5040"/>
            <w:vAlign w:val="top"/>
            <w:tcMar>
              <w:top w:w="80" w:type="dxa"/>
              <w:start w:w="90" w:type="dxa"/>
              <w:bottom w:w="80" w:type="dxa"/>
              <w:end w:w="90" w:type="dxa"/>
            </w:tcMar>
          </w:tcPr>
          <w:p>
            <w:r>
              <w:t>Layer 1 v1.3; Layer 2 v0.9</w:t>
            </w:r>
          </w:p>
        </w:tc>
      </w:tr>
      <w:tr>
        <w:tc>
          <w:tcPr>
            <w:tcW w:type="dxa" w:w="5040"/>
            <w:vAlign w:val="top"/>
            <w:tcMar>
              <w:top w:w="80" w:type="dxa"/>
              <w:start w:w="90" w:type="dxa"/>
              <w:bottom w:w="80" w:type="dxa"/>
              <w:end w:w="90" w:type="dxa"/>
            </w:tcMar>
            <w:shd w:fill="F5F8FA"/>
          </w:tcPr>
          <w:p>
            <w:r>
              <w:t>Policy baseline</w:t>
            </w:r>
          </w:p>
        </w:tc>
        <w:tc>
          <w:tcPr>
            <w:tcW w:type="dxa" w:w="5040"/>
            <w:vAlign w:val="top"/>
            <w:tcMar>
              <w:top w:w="80" w:type="dxa"/>
              <w:start w:w="90" w:type="dxa"/>
              <w:bottom w:w="80" w:type="dxa"/>
              <w:end w:w="90" w:type="dxa"/>
            </w:tcMar>
            <w:shd w:fill="F5F8FA"/>
          </w:tcPr>
          <w:p>
            <w:r>
              <w:t>MRM Standard version X; AI Risk Standard version Y</w:t>
            </w:r>
          </w:p>
        </w:tc>
      </w:tr>
      <w:tr>
        <w:tc>
          <w:tcPr>
            <w:tcW w:type="dxa" w:w="5040"/>
            <w:vAlign w:val="top"/>
            <w:tcMar>
              <w:top w:w="80" w:type="dxa"/>
              <w:start w:w="90" w:type="dxa"/>
              <w:bottom w:w="80" w:type="dxa"/>
              <w:end w:w="90" w:type="dxa"/>
            </w:tcMar>
          </w:tcPr>
          <w:p>
            <w:r>
              <w:t>Domain skills</w:t>
            </w:r>
          </w:p>
        </w:tc>
        <w:tc>
          <w:tcPr>
            <w:tcW w:type="dxa" w:w="5040"/>
            <w:vAlign w:val="top"/>
            <w:tcMar>
              <w:top w:w="80" w:type="dxa"/>
              <w:start w:w="90" w:type="dxa"/>
              <w:bottom w:w="80" w:type="dxa"/>
              <w:end w:w="90" w:type="dxa"/>
            </w:tcMar>
          </w:tcPr>
          <w:p>
            <w:r>
              <w:t>RAG v1.2; Agentic AI v0.7</w:t>
            </w:r>
          </w:p>
        </w:tc>
      </w:tr>
      <w:tr>
        <w:tc>
          <w:tcPr>
            <w:tcW w:type="dxa" w:w="5040"/>
            <w:vAlign w:val="top"/>
            <w:tcMar>
              <w:top w:w="80" w:type="dxa"/>
              <w:start w:w="90" w:type="dxa"/>
              <w:bottom w:w="80" w:type="dxa"/>
              <w:end w:w="90" w:type="dxa"/>
            </w:tcMar>
            <w:shd w:fill="F5F8FA"/>
          </w:tcPr>
          <w:p>
            <w:r>
              <w:t>Prompt and rubric versions</w:t>
            </w:r>
          </w:p>
        </w:tc>
        <w:tc>
          <w:tcPr>
            <w:tcW w:type="dxa" w:w="5040"/>
            <w:vAlign w:val="top"/>
            <w:tcMar>
              <w:top w:w="80" w:type="dxa"/>
              <w:start w:w="90" w:type="dxa"/>
              <w:bottom w:w="80" w:type="dxa"/>
              <w:end w:w="90" w:type="dxa"/>
            </w:tcMar>
            <w:shd w:fill="F5F8FA"/>
          </w:tcPr>
          <w:p>
            <w:r>
              <w:t>Recorded by component</w:t>
            </w:r>
          </w:p>
        </w:tc>
      </w:tr>
      <w:tr>
        <w:tc>
          <w:tcPr>
            <w:tcW w:type="dxa" w:w="5040"/>
            <w:vAlign w:val="top"/>
            <w:tcMar>
              <w:top w:w="80" w:type="dxa"/>
              <w:start w:w="90" w:type="dxa"/>
              <w:bottom w:w="80" w:type="dxa"/>
              <w:end w:w="90" w:type="dxa"/>
            </w:tcMar>
          </w:tcPr>
          <w:p>
            <w:r>
              <w:t>Benchmark set</w:t>
            </w:r>
          </w:p>
        </w:tc>
        <w:tc>
          <w:tcPr>
            <w:tcW w:type="dxa" w:w="5040"/>
            <w:vAlign w:val="top"/>
            <w:tcMar>
              <w:top w:w="80" w:type="dxa"/>
              <w:start w:w="90" w:type="dxa"/>
              <w:bottom w:w="80" w:type="dxa"/>
              <w:end w:w="90" w:type="dxa"/>
            </w:tcMar>
          </w:tcPr>
          <w:p>
            <w:r>
              <w:t>Golden Cases 2026-Q3</w:t>
            </w:r>
          </w:p>
        </w:tc>
      </w:tr>
      <w:tr>
        <w:tc>
          <w:tcPr>
            <w:tcW w:type="dxa" w:w="5040"/>
            <w:vAlign w:val="top"/>
            <w:tcMar>
              <w:top w:w="80" w:type="dxa"/>
              <w:start w:w="90" w:type="dxa"/>
              <w:bottom w:w="80" w:type="dxa"/>
              <w:end w:w="90" w:type="dxa"/>
            </w:tcMar>
            <w:shd w:fill="F5F8FA"/>
          </w:tcPr>
          <w:p>
            <w:r>
              <w:t>Performance summary</w:t>
            </w:r>
          </w:p>
        </w:tc>
        <w:tc>
          <w:tcPr>
            <w:tcW w:type="dxa" w:w="5040"/>
            <w:vAlign w:val="top"/>
            <w:tcMar>
              <w:top w:w="80" w:type="dxa"/>
              <w:start w:w="90" w:type="dxa"/>
              <w:bottom w:w="80" w:type="dxa"/>
              <w:end w:w="90" w:type="dxa"/>
            </w:tcMar>
            <w:shd w:fill="F5F8FA"/>
          </w:tcPr>
          <w:p>
            <w:r>
              <w:t>Metrics by critical segment</w:t>
            </w:r>
          </w:p>
        </w:tc>
      </w:tr>
      <w:tr>
        <w:tc>
          <w:tcPr>
            <w:tcW w:type="dxa" w:w="5040"/>
            <w:vAlign w:val="top"/>
            <w:tcMar>
              <w:top w:w="80" w:type="dxa"/>
              <w:start w:w="90" w:type="dxa"/>
              <w:bottom w:w="80" w:type="dxa"/>
              <w:end w:w="90" w:type="dxa"/>
            </w:tcMar>
          </w:tcPr>
          <w:p>
            <w:r>
              <w:t>Known limitations</w:t>
            </w:r>
          </w:p>
        </w:tc>
        <w:tc>
          <w:tcPr>
            <w:tcW w:type="dxa" w:w="5040"/>
            <w:vAlign w:val="top"/>
            <w:tcMar>
              <w:top w:w="80" w:type="dxa"/>
              <w:start w:w="90" w:type="dxa"/>
              <w:bottom w:w="80" w:type="dxa"/>
              <w:end w:w="90" w:type="dxa"/>
            </w:tcMar>
          </w:tcPr>
          <w:p>
            <w:r>
              <w:t>Documented limitations and excluded use cases</w:t>
            </w:r>
          </w:p>
        </w:tc>
      </w:tr>
      <w:tr>
        <w:tc>
          <w:tcPr>
            <w:tcW w:type="dxa" w:w="5040"/>
            <w:vAlign w:val="top"/>
            <w:tcMar>
              <w:top w:w="80" w:type="dxa"/>
              <w:start w:w="90" w:type="dxa"/>
              <w:bottom w:w="80" w:type="dxa"/>
              <w:end w:w="90" w:type="dxa"/>
            </w:tcMar>
            <w:shd w:fill="F5F8FA"/>
          </w:tcPr>
          <w:p>
            <w:r>
              <w:t>Approvals</w:t>
            </w:r>
          </w:p>
        </w:tc>
        <w:tc>
          <w:tcPr>
            <w:tcW w:type="dxa" w:w="5040"/>
            <w:vAlign w:val="top"/>
            <w:tcMar>
              <w:top w:w="80" w:type="dxa"/>
              <w:start w:w="90" w:type="dxa"/>
              <w:bottom w:w="80" w:type="dxa"/>
              <w:end w:w="90" w:type="dxa"/>
            </w:tcMar>
            <w:shd w:fill="F5F8FA"/>
          </w:tcPr>
          <w:p>
            <w:r>
              <w:t>Named methodology and technical approvers</w:t>
            </w:r>
          </w:p>
        </w:tc>
      </w:tr>
      <w:tr>
        <w:tc>
          <w:tcPr>
            <w:tcW w:type="dxa" w:w="5040"/>
            <w:vAlign w:val="top"/>
            <w:tcMar>
              <w:top w:w="80" w:type="dxa"/>
              <w:start w:w="90" w:type="dxa"/>
              <w:bottom w:w="80" w:type="dxa"/>
              <w:end w:w="90" w:type="dxa"/>
            </w:tcMar>
          </w:tcPr>
          <w:p>
            <w:r>
              <w:t>Schema compatibility</w:t>
            </w:r>
          </w:p>
        </w:tc>
        <w:tc>
          <w:tcPr>
            <w:tcW w:type="dxa" w:w="5040"/>
            <w:vAlign w:val="top"/>
            <w:tcMar>
              <w:top w:w="80" w:type="dxa"/>
              <w:start w:w="90" w:type="dxa"/>
              <w:bottom w:w="80" w:type="dxa"/>
              <w:end w:w="90" w:type="dxa"/>
            </w:tcMar>
          </w:tcPr>
          <w:p>
            <w:r>
              <w:t>Required database schema and migration</w:t>
            </w:r>
          </w:p>
        </w:tc>
      </w:tr>
      <w:tr>
        <w:tc>
          <w:tcPr>
            <w:tcW w:type="dxa" w:w="5040"/>
            <w:vAlign w:val="top"/>
            <w:tcMar>
              <w:top w:w="80" w:type="dxa"/>
              <w:start w:w="90" w:type="dxa"/>
              <w:bottom w:w="80" w:type="dxa"/>
              <w:end w:w="90" w:type="dxa"/>
            </w:tcMar>
            <w:shd w:fill="F5F8FA"/>
          </w:tcPr>
          <w:p>
            <w:r>
              <w:t>Rollback version</w:t>
            </w:r>
          </w:p>
        </w:tc>
        <w:tc>
          <w:tcPr>
            <w:tcW w:type="dxa" w:w="5040"/>
            <w:vAlign w:val="top"/>
            <w:tcMar>
              <w:top w:w="80" w:type="dxa"/>
              <w:start w:w="90" w:type="dxa"/>
              <w:bottom w:w="80" w:type="dxa"/>
              <w:end w:w="90" w:type="dxa"/>
            </w:tcMar>
            <w:shd w:fill="F5F8FA"/>
          </w:tcPr>
          <w:p>
            <w:r>
              <w:t>Last stable approved release</w:t>
            </w:r>
          </w:p>
        </w:tc>
      </w:tr>
    </w:tbl>
    <w:p/>
    <w:p>
      <w:pPr>
        <w:pStyle w:val="Heading1"/>
      </w:pPr>
      <w:r>
        <w:t>Appendix B - Minimum Historical Case Record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Category</w:t>
            </w:r>
          </w:p>
        </w:tc>
        <w:tc>
          <w:tcPr>
            <w:tcW w:type="dxa" w:w="5040"/>
            <w:shd w:fill="1F4E79"/>
            <w:vAlign w:val="center"/>
            <w:tcMar>
              <w:top w:w="80" w:type="dxa"/>
              <w:start w:w="90" w:type="dxa"/>
              <w:bottom w:w="80" w:type="dxa"/>
              <w:end w:w="90" w:type="dxa"/>
            </w:tcMar>
          </w:tcPr>
          <w:p>
            <w:r>
              <w:rPr>
                <w:b/>
                <w:color w:val="FFFFFF"/>
              </w:rPr>
              <w:t>Required fields</w:t>
            </w:r>
          </w:p>
        </w:tc>
      </w:tr>
      <w:tr>
        <w:tc>
          <w:tcPr>
            <w:tcW w:type="dxa" w:w="5040"/>
            <w:vAlign w:val="top"/>
            <w:tcMar>
              <w:top w:w="80" w:type="dxa"/>
              <w:start w:w="90" w:type="dxa"/>
              <w:bottom w:w="80" w:type="dxa"/>
              <w:end w:w="90" w:type="dxa"/>
            </w:tcMar>
          </w:tcPr>
          <w:p>
            <w:r>
              <w:t>Identity</w:t>
            </w:r>
          </w:p>
        </w:tc>
        <w:tc>
          <w:tcPr>
            <w:tcW w:type="dxa" w:w="5040"/>
            <w:vAlign w:val="top"/>
            <w:tcMar>
              <w:top w:w="80" w:type="dxa"/>
              <w:start w:w="90" w:type="dxa"/>
              <w:bottom w:w="80" w:type="dxa"/>
              <w:end w:w="90" w:type="dxa"/>
            </w:tcMar>
          </w:tcPr>
          <w:p>
            <w:r>
              <w:t>Case ID, dates, business domain and owners</w:t>
            </w:r>
          </w:p>
        </w:tc>
      </w:tr>
      <w:tr>
        <w:tc>
          <w:tcPr>
            <w:tcW w:type="dxa" w:w="5040"/>
            <w:vAlign w:val="top"/>
            <w:tcMar>
              <w:top w:w="80" w:type="dxa"/>
              <w:start w:w="90" w:type="dxa"/>
              <w:bottom w:w="80" w:type="dxa"/>
              <w:end w:w="90" w:type="dxa"/>
            </w:tcMar>
            <w:shd w:fill="F5F8FA"/>
          </w:tcPr>
          <w:p>
            <w:r>
              <w:t>System characteristics</w:t>
            </w:r>
          </w:p>
        </w:tc>
        <w:tc>
          <w:tcPr>
            <w:tcW w:type="dxa" w:w="5040"/>
            <w:vAlign w:val="top"/>
            <w:tcMar>
              <w:top w:w="80" w:type="dxa"/>
              <w:start w:w="90" w:type="dxa"/>
              <w:bottom w:w="80" w:type="dxa"/>
              <w:end w:w="90" w:type="dxa"/>
            </w:tcMar>
            <w:shd w:fill="F5F8FA"/>
          </w:tcPr>
          <w:p>
            <w:r>
              <w:t>Model type, architecture, provider, access mode and autonomy</w:t>
            </w:r>
          </w:p>
        </w:tc>
      </w:tr>
      <w:tr>
        <w:tc>
          <w:tcPr>
            <w:tcW w:type="dxa" w:w="5040"/>
            <w:vAlign w:val="top"/>
            <w:tcMar>
              <w:top w:w="80" w:type="dxa"/>
              <w:start w:w="90" w:type="dxa"/>
              <w:bottom w:w="80" w:type="dxa"/>
              <w:end w:w="90" w:type="dxa"/>
            </w:tcMar>
          </w:tcPr>
          <w:p>
            <w:r>
              <w:t>Risk context</w:t>
            </w:r>
          </w:p>
        </w:tc>
        <w:tc>
          <w:tcPr>
            <w:tcW w:type="dxa" w:w="5040"/>
            <w:vAlign w:val="top"/>
            <w:tcMar>
              <w:top w:w="80" w:type="dxa"/>
              <w:start w:w="90" w:type="dxa"/>
              <w:bottom w:w="80" w:type="dxa"/>
              <w:end w:w="90" w:type="dxa"/>
            </w:tcMar>
          </w:tcPr>
          <w:p>
            <w:r>
              <w:t>Materiality, data sensitivity, users, decisions supported and regulatory relevance</w:t>
            </w:r>
          </w:p>
        </w:tc>
      </w:tr>
      <w:tr>
        <w:tc>
          <w:tcPr>
            <w:tcW w:type="dxa" w:w="5040"/>
            <w:vAlign w:val="top"/>
            <w:tcMar>
              <w:top w:w="80" w:type="dxa"/>
              <w:start w:w="90" w:type="dxa"/>
              <w:bottom w:w="80" w:type="dxa"/>
              <w:end w:w="90" w:type="dxa"/>
            </w:tcMar>
            <w:shd w:fill="F5F8FA"/>
          </w:tcPr>
          <w:p>
            <w:r>
              <w:t>Initial assessment</w:t>
            </w:r>
          </w:p>
        </w:tc>
        <w:tc>
          <w:tcPr>
            <w:tcW w:type="dxa" w:w="5040"/>
            <w:vAlign w:val="top"/>
            <w:tcMar>
              <w:top w:w="80" w:type="dxa"/>
              <w:start w:w="90" w:type="dxa"/>
              <w:bottom w:w="80" w:type="dxa"/>
              <w:end w:w="90" w:type="dxa"/>
            </w:tcMar>
            <w:shd w:fill="F5F8FA"/>
          </w:tcPr>
          <w:p>
            <w:r>
              <w:t>Risk factors, evidence and system recommendation</w:t>
            </w:r>
          </w:p>
        </w:tc>
      </w:tr>
      <w:tr>
        <w:tc>
          <w:tcPr>
            <w:tcW w:type="dxa" w:w="5040"/>
            <w:vAlign w:val="top"/>
            <w:tcMar>
              <w:top w:w="80" w:type="dxa"/>
              <w:start w:w="90" w:type="dxa"/>
              <w:bottom w:w="80" w:type="dxa"/>
              <w:end w:w="90" w:type="dxa"/>
            </w:tcMar>
          </w:tcPr>
          <w:p>
            <w:r>
              <w:t>Human judgement</w:t>
            </w:r>
          </w:p>
        </w:tc>
        <w:tc>
          <w:tcPr>
            <w:tcW w:type="dxa" w:w="5040"/>
            <w:vAlign w:val="top"/>
            <w:tcMar>
              <w:top w:w="80" w:type="dxa"/>
              <w:start w:w="90" w:type="dxa"/>
              <w:bottom w:w="80" w:type="dxa"/>
              <w:end w:w="90" w:type="dxa"/>
            </w:tcMar>
          </w:tcPr>
          <w:p>
            <w:r>
              <w:t>Approved decision, override, rationale and approver</w:t>
            </w:r>
          </w:p>
        </w:tc>
      </w:tr>
      <w:tr>
        <w:tc>
          <w:tcPr>
            <w:tcW w:type="dxa" w:w="5040"/>
            <w:vAlign w:val="top"/>
            <w:tcMar>
              <w:top w:w="80" w:type="dxa"/>
              <w:start w:w="90" w:type="dxa"/>
              <w:bottom w:w="80" w:type="dxa"/>
              <w:end w:w="90" w:type="dxa"/>
            </w:tcMar>
            <w:shd w:fill="F5F8FA"/>
          </w:tcPr>
          <w:p>
            <w:r>
              <w:t>Validation</w:t>
            </w:r>
          </w:p>
        </w:tc>
        <w:tc>
          <w:tcPr>
            <w:tcW w:type="dxa" w:w="5040"/>
            <w:vAlign w:val="top"/>
            <w:tcMar>
              <w:top w:w="80" w:type="dxa"/>
              <w:start w:w="90" w:type="dxa"/>
              <w:bottom w:w="80" w:type="dxa"/>
              <w:end w:w="90" w:type="dxa"/>
            </w:tcMar>
            <w:shd w:fill="F5F8FA"/>
          </w:tcPr>
          <w:p>
            <w:r>
              <w:t>Scope, scenarios, tests, metrics and evaluation versions</w:t>
            </w:r>
          </w:p>
        </w:tc>
      </w:tr>
      <w:tr>
        <w:tc>
          <w:tcPr>
            <w:tcW w:type="dxa" w:w="5040"/>
            <w:vAlign w:val="top"/>
            <w:tcMar>
              <w:top w:w="80" w:type="dxa"/>
              <w:start w:w="90" w:type="dxa"/>
              <w:bottom w:w="80" w:type="dxa"/>
              <w:end w:w="90" w:type="dxa"/>
            </w:tcMar>
          </w:tcPr>
          <w:p>
            <w:r>
              <w:t>Outcome</w:t>
            </w:r>
          </w:p>
        </w:tc>
        <w:tc>
          <w:tcPr>
            <w:tcW w:type="dxa" w:w="5040"/>
            <w:vAlign w:val="top"/>
            <w:tcMar>
              <w:top w:w="80" w:type="dxa"/>
              <w:start w:w="90" w:type="dxa"/>
              <w:bottom w:w="80" w:type="dxa"/>
              <w:end w:w="90" w:type="dxa"/>
            </w:tcMar>
          </w:tcPr>
          <w:p>
            <w:r>
              <w:t>Findings, severity, limitations and final conclusion</w:t>
            </w:r>
          </w:p>
        </w:tc>
      </w:tr>
      <w:tr>
        <w:tc>
          <w:tcPr>
            <w:tcW w:type="dxa" w:w="5040"/>
            <w:vAlign w:val="top"/>
            <w:tcMar>
              <w:top w:w="80" w:type="dxa"/>
              <w:start w:w="90" w:type="dxa"/>
              <w:bottom w:w="80" w:type="dxa"/>
              <w:end w:w="90" w:type="dxa"/>
            </w:tcMar>
            <w:shd w:fill="F5F8FA"/>
          </w:tcPr>
          <w:p>
            <w:r>
              <w:t>Post-go-live</w:t>
            </w:r>
          </w:p>
        </w:tc>
        <w:tc>
          <w:tcPr>
            <w:tcW w:type="dxa" w:w="5040"/>
            <w:vAlign w:val="top"/>
            <w:tcMar>
              <w:top w:w="80" w:type="dxa"/>
              <w:start w:w="90" w:type="dxa"/>
              <w:bottom w:w="80" w:type="dxa"/>
              <w:end w:w="90" w:type="dxa"/>
            </w:tcMar>
            <w:shd w:fill="F5F8FA"/>
          </w:tcPr>
          <w:p>
            <w:r>
              <w:t>Monitoring results, incidents, changes and revalidation</w:t>
            </w:r>
          </w:p>
        </w:tc>
      </w:tr>
      <w:tr>
        <w:tc>
          <w:tcPr>
            <w:tcW w:type="dxa" w:w="5040"/>
            <w:vAlign w:val="top"/>
            <w:tcMar>
              <w:top w:w="80" w:type="dxa"/>
              <w:start w:w="90" w:type="dxa"/>
              <w:bottom w:w="80" w:type="dxa"/>
              <w:end w:w="90" w:type="dxa"/>
            </w:tcMar>
          </w:tcPr>
          <w:p>
            <w:r>
              <w:t>Lineage</w:t>
            </w:r>
          </w:p>
        </w:tc>
        <w:tc>
          <w:tcPr>
            <w:tcW w:type="dxa" w:w="5040"/>
            <w:vAlign w:val="top"/>
            <w:tcMar>
              <w:top w:w="80" w:type="dxa"/>
              <w:start w:w="90" w:type="dxa"/>
              <w:bottom w:w="80" w:type="dxa"/>
              <w:end w:w="90" w:type="dxa"/>
            </w:tcMar>
          </w:tcPr>
          <w:p>
            <w:r>
              <w:t>Core version, methodology version, policies and artefacts</w:t>
            </w:r>
          </w:p>
        </w:tc>
      </w:tr>
      <w:tr>
        <w:tc>
          <w:tcPr>
            <w:tcW w:type="dxa" w:w="5040"/>
            <w:vAlign w:val="top"/>
            <w:tcMar>
              <w:top w:w="80" w:type="dxa"/>
              <w:start w:w="90" w:type="dxa"/>
              <w:bottom w:w="80" w:type="dxa"/>
              <w:end w:w="90" w:type="dxa"/>
            </w:tcMar>
            <w:shd w:fill="F5F8FA"/>
          </w:tcPr>
          <w:p>
            <w:r>
              <w:t>Quality status</w:t>
            </w:r>
          </w:p>
        </w:tc>
        <w:tc>
          <w:tcPr>
            <w:tcW w:type="dxa" w:w="5040"/>
            <w:vAlign w:val="top"/>
            <w:tcMar>
              <w:top w:w="80" w:type="dxa"/>
              <w:start w:w="90" w:type="dxa"/>
              <w:bottom w:w="80" w:type="dxa"/>
              <w:end w:w="90" w:type="dxa"/>
            </w:tcMar>
            <w:shd w:fill="F5F8FA"/>
          </w:tcPr>
          <w:p>
            <w:r>
              <w:t>Approved, excluded, restricted or pending adjudication</w:t>
            </w:r>
          </w:p>
        </w:tc>
      </w:tr>
    </w:tbl>
    <w:p/>
    <w:p>
      <w:pPr>
        <w:pStyle w:val="Heading1"/>
      </w:pPr>
      <w:r>
        <w:t>Appendix C - Domain Skill Ownership Record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Field</w:t>
            </w:r>
          </w:p>
        </w:tc>
        <w:tc>
          <w:tcPr>
            <w:tcW w:type="dxa" w:w="5040"/>
            <w:shd w:fill="1F4E79"/>
            <w:vAlign w:val="center"/>
            <w:tcMar>
              <w:top w:w="80" w:type="dxa"/>
              <w:start w:w="90" w:type="dxa"/>
              <w:bottom w:w="80" w:type="dxa"/>
              <w:end w:w="90" w:type="dxa"/>
            </w:tcMar>
          </w:tcPr>
          <w:p>
            <w:r>
              <w:rPr>
                <w:b/>
                <w:color w:val="FFFFFF"/>
              </w:rPr>
              <w:t>Required entry</w:t>
            </w:r>
          </w:p>
        </w:tc>
      </w:tr>
      <w:tr>
        <w:tc>
          <w:tcPr>
            <w:tcW w:type="dxa" w:w="5040"/>
            <w:vAlign w:val="top"/>
            <w:tcMar>
              <w:top w:w="80" w:type="dxa"/>
              <w:start w:w="90" w:type="dxa"/>
              <w:bottom w:w="80" w:type="dxa"/>
              <w:end w:w="90" w:type="dxa"/>
            </w:tcMar>
          </w:tcPr>
          <w:p>
            <w:r>
              <w:t>Skill name and version</w:t>
            </w:r>
          </w:p>
        </w:tc>
        <w:tc>
          <w:tcPr>
            <w:tcW w:type="dxa" w:w="5040"/>
            <w:vAlign w:val="top"/>
            <w:tcMar>
              <w:top w:w="80" w:type="dxa"/>
              <w:start w:w="90" w:type="dxa"/>
              <w:bottom w:w="80" w:type="dxa"/>
              <w:end w:w="90" w:type="dxa"/>
            </w:tcMar>
          </w:tcPr>
          <w:p>
            <w:r/>
          </w:p>
        </w:tc>
      </w:tr>
      <w:tr>
        <w:tc>
          <w:tcPr>
            <w:tcW w:type="dxa" w:w="5040"/>
            <w:vAlign w:val="top"/>
            <w:tcMar>
              <w:top w:w="80" w:type="dxa"/>
              <w:start w:w="90" w:type="dxa"/>
              <w:bottom w:w="80" w:type="dxa"/>
              <w:end w:w="90" w:type="dxa"/>
            </w:tcMar>
            <w:shd w:fill="F5F8FA"/>
          </w:tcPr>
          <w:p>
            <w:r>
              <w:t>Business purpose</w:t>
            </w:r>
          </w:p>
        </w:tc>
        <w:tc>
          <w:tcPr>
            <w:tcW w:type="dxa" w:w="5040"/>
            <w:vAlign w:val="top"/>
            <w:tcMar>
              <w:top w:w="80" w:type="dxa"/>
              <w:start w:w="90" w:type="dxa"/>
              <w:bottom w:w="80" w:type="dxa"/>
              <w:end w:w="90" w:type="dxa"/>
            </w:tcMar>
            <w:shd w:fill="F5F8FA"/>
          </w:tcPr>
          <w:p>
            <w:r/>
          </w:p>
        </w:tc>
      </w:tr>
      <w:tr>
        <w:tc>
          <w:tcPr>
            <w:tcW w:type="dxa" w:w="5040"/>
            <w:vAlign w:val="top"/>
            <w:tcMar>
              <w:top w:w="80" w:type="dxa"/>
              <w:start w:w="90" w:type="dxa"/>
              <w:bottom w:w="80" w:type="dxa"/>
              <w:end w:w="90" w:type="dxa"/>
            </w:tcMar>
          </w:tcPr>
          <w:p>
            <w:r>
              <w:t>Applicable scope</w:t>
            </w:r>
          </w:p>
        </w:tc>
        <w:tc>
          <w:tcPr>
            <w:tcW w:type="dxa" w:w="5040"/>
            <w:vAlign w:val="top"/>
            <w:tcMar>
              <w:top w:w="80" w:type="dxa"/>
              <w:start w:w="90" w:type="dxa"/>
              <w:bottom w:w="80" w:type="dxa"/>
              <w:end w:w="90" w:type="dxa"/>
            </w:tcMar>
          </w:tcPr>
          <w:p>
            <w:r/>
          </w:p>
        </w:tc>
      </w:tr>
      <w:tr>
        <w:tc>
          <w:tcPr>
            <w:tcW w:type="dxa" w:w="5040"/>
            <w:vAlign w:val="top"/>
            <w:tcMar>
              <w:top w:w="80" w:type="dxa"/>
              <w:start w:w="90" w:type="dxa"/>
              <w:bottom w:w="80" w:type="dxa"/>
              <w:end w:w="90" w:type="dxa"/>
            </w:tcMar>
            <w:shd w:fill="F5F8FA"/>
          </w:tcPr>
          <w:p>
            <w:r>
              <w:t>Methodology owner</w:t>
            </w:r>
          </w:p>
        </w:tc>
        <w:tc>
          <w:tcPr>
            <w:tcW w:type="dxa" w:w="5040"/>
            <w:vAlign w:val="top"/>
            <w:tcMar>
              <w:top w:w="80" w:type="dxa"/>
              <w:start w:w="90" w:type="dxa"/>
              <w:bottom w:w="80" w:type="dxa"/>
              <w:end w:w="90" w:type="dxa"/>
            </w:tcMar>
            <w:shd w:fill="F5F8FA"/>
          </w:tcPr>
          <w:p>
            <w:r/>
          </w:p>
        </w:tc>
      </w:tr>
      <w:tr>
        <w:tc>
          <w:tcPr>
            <w:tcW w:type="dxa" w:w="5040"/>
            <w:vAlign w:val="top"/>
            <w:tcMar>
              <w:top w:w="80" w:type="dxa"/>
              <w:start w:w="90" w:type="dxa"/>
              <w:bottom w:w="80" w:type="dxa"/>
              <w:end w:w="90" w:type="dxa"/>
            </w:tcMar>
          </w:tcPr>
          <w:p>
            <w:r>
              <w:t>Technical owner</w:t>
            </w:r>
          </w:p>
        </w:tc>
        <w:tc>
          <w:tcPr>
            <w:tcW w:type="dxa" w:w="5040"/>
            <w:vAlign w:val="top"/>
            <w:tcMar>
              <w:top w:w="80" w:type="dxa"/>
              <w:start w:w="90" w:type="dxa"/>
              <w:bottom w:w="80" w:type="dxa"/>
              <w:end w:w="90" w:type="dxa"/>
            </w:tcMar>
          </w:tcPr>
          <w:p>
            <w:r/>
          </w:p>
        </w:tc>
      </w:tr>
      <w:tr>
        <w:tc>
          <w:tcPr>
            <w:tcW w:type="dxa" w:w="5040"/>
            <w:vAlign w:val="top"/>
            <w:tcMar>
              <w:top w:w="80" w:type="dxa"/>
              <w:start w:w="90" w:type="dxa"/>
              <w:bottom w:w="80" w:type="dxa"/>
              <w:end w:w="90" w:type="dxa"/>
            </w:tcMar>
            <w:shd w:fill="F5F8FA"/>
          </w:tcPr>
          <w:p>
            <w:r>
              <w:t>SME reviewers</w:t>
            </w:r>
          </w:p>
        </w:tc>
        <w:tc>
          <w:tcPr>
            <w:tcW w:type="dxa" w:w="5040"/>
            <w:vAlign w:val="top"/>
            <w:tcMar>
              <w:top w:w="80" w:type="dxa"/>
              <w:start w:w="90" w:type="dxa"/>
              <w:bottom w:w="80" w:type="dxa"/>
              <w:end w:w="90" w:type="dxa"/>
            </w:tcMar>
            <w:shd w:fill="F5F8FA"/>
          </w:tcPr>
          <w:p>
            <w:r/>
          </w:p>
        </w:tc>
      </w:tr>
      <w:tr>
        <w:tc>
          <w:tcPr>
            <w:tcW w:type="dxa" w:w="5040"/>
            <w:vAlign w:val="top"/>
            <w:tcMar>
              <w:top w:w="80" w:type="dxa"/>
              <w:start w:w="90" w:type="dxa"/>
              <w:bottom w:w="80" w:type="dxa"/>
              <w:end w:w="90" w:type="dxa"/>
            </w:tcMar>
          </w:tcPr>
          <w:p>
            <w:r>
              <w:t>Approval authority</w:t>
            </w:r>
          </w:p>
        </w:tc>
        <w:tc>
          <w:tcPr>
            <w:tcW w:type="dxa" w:w="5040"/>
            <w:vAlign w:val="top"/>
            <w:tcMar>
              <w:top w:w="80" w:type="dxa"/>
              <w:start w:w="90" w:type="dxa"/>
              <w:bottom w:w="80" w:type="dxa"/>
              <w:end w:w="90" w:type="dxa"/>
            </w:tcMar>
          </w:tcPr>
          <w:p>
            <w:r/>
          </w:p>
        </w:tc>
      </w:tr>
      <w:tr>
        <w:tc>
          <w:tcPr>
            <w:tcW w:type="dxa" w:w="5040"/>
            <w:vAlign w:val="top"/>
            <w:tcMar>
              <w:top w:w="80" w:type="dxa"/>
              <w:start w:w="90" w:type="dxa"/>
              <w:bottom w:w="80" w:type="dxa"/>
              <w:end w:w="90" w:type="dxa"/>
            </w:tcMar>
            <w:shd w:fill="F5F8FA"/>
          </w:tcPr>
          <w:p>
            <w:r>
              <w:t>Benchmark coverage</w:t>
            </w:r>
          </w:p>
        </w:tc>
        <w:tc>
          <w:tcPr>
            <w:tcW w:type="dxa" w:w="5040"/>
            <w:vAlign w:val="top"/>
            <w:tcMar>
              <w:top w:w="80" w:type="dxa"/>
              <w:start w:w="90" w:type="dxa"/>
              <w:bottom w:w="80" w:type="dxa"/>
              <w:end w:w="90" w:type="dxa"/>
            </w:tcMar>
            <w:shd w:fill="F5F8FA"/>
          </w:tcPr>
          <w:p>
            <w:r/>
          </w:p>
        </w:tc>
      </w:tr>
      <w:tr>
        <w:tc>
          <w:tcPr>
            <w:tcW w:type="dxa" w:w="5040"/>
            <w:vAlign w:val="top"/>
            <w:tcMar>
              <w:top w:w="80" w:type="dxa"/>
              <w:start w:w="90" w:type="dxa"/>
              <w:bottom w:w="80" w:type="dxa"/>
              <w:end w:w="90" w:type="dxa"/>
            </w:tcMar>
          </w:tcPr>
          <w:p>
            <w:r>
              <w:t>Known limitations</w:t>
            </w:r>
          </w:p>
        </w:tc>
        <w:tc>
          <w:tcPr>
            <w:tcW w:type="dxa" w:w="5040"/>
            <w:vAlign w:val="top"/>
            <w:tcMar>
              <w:top w:w="80" w:type="dxa"/>
              <w:start w:w="90" w:type="dxa"/>
              <w:bottom w:w="80" w:type="dxa"/>
              <w:end w:w="90" w:type="dxa"/>
            </w:tcMar>
          </w:tcPr>
          <w:p>
            <w:r/>
          </w:p>
        </w:tc>
      </w:tr>
      <w:tr>
        <w:tc>
          <w:tcPr>
            <w:tcW w:type="dxa" w:w="5040"/>
            <w:vAlign w:val="top"/>
            <w:tcMar>
              <w:top w:w="80" w:type="dxa"/>
              <w:start w:w="90" w:type="dxa"/>
              <w:bottom w:w="80" w:type="dxa"/>
              <w:end w:w="90" w:type="dxa"/>
            </w:tcMar>
            <w:shd w:fill="F5F8FA"/>
          </w:tcPr>
          <w:p>
            <w:r>
              <w:t>Open issues</w:t>
            </w:r>
          </w:p>
        </w:tc>
        <w:tc>
          <w:tcPr>
            <w:tcW w:type="dxa" w:w="5040"/>
            <w:vAlign w:val="top"/>
            <w:tcMar>
              <w:top w:w="80" w:type="dxa"/>
              <w:start w:w="90" w:type="dxa"/>
              <w:bottom w:w="80" w:type="dxa"/>
              <w:end w:w="90" w:type="dxa"/>
            </w:tcMar>
            <w:shd w:fill="F5F8FA"/>
          </w:tcPr>
          <w:p>
            <w:r/>
          </w:p>
        </w:tc>
      </w:tr>
      <w:tr>
        <w:tc>
          <w:tcPr>
            <w:tcW w:type="dxa" w:w="5040"/>
            <w:vAlign w:val="top"/>
            <w:tcMar>
              <w:top w:w="80" w:type="dxa"/>
              <w:start w:w="90" w:type="dxa"/>
              <w:bottom w:w="80" w:type="dxa"/>
              <w:end w:w="90" w:type="dxa"/>
            </w:tcMar>
          </w:tcPr>
          <w:p>
            <w:r>
              <w:t>Last review date</w:t>
            </w:r>
          </w:p>
        </w:tc>
        <w:tc>
          <w:tcPr>
            <w:tcW w:type="dxa" w:w="5040"/>
            <w:vAlign w:val="top"/>
            <w:tcMar>
              <w:top w:w="80" w:type="dxa"/>
              <w:start w:w="90" w:type="dxa"/>
              <w:bottom w:w="80" w:type="dxa"/>
              <w:end w:w="90" w:type="dxa"/>
            </w:tcMar>
          </w:tcPr>
          <w:p>
            <w:r/>
          </w:p>
        </w:tc>
      </w:tr>
      <w:tr>
        <w:tc>
          <w:tcPr>
            <w:tcW w:type="dxa" w:w="5040"/>
            <w:vAlign w:val="top"/>
            <w:tcMar>
              <w:top w:w="80" w:type="dxa"/>
              <w:start w:w="90" w:type="dxa"/>
              <w:bottom w:w="80" w:type="dxa"/>
              <w:end w:w="90" w:type="dxa"/>
            </w:tcMar>
            <w:shd w:fill="F5F8FA"/>
          </w:tcPr>
          <w:p>
            <w:r>
              <w:t>Next review date</w:t>
            </w:r>
          </w:p>
        </w:tc>
        <w:tc>
          <w:tcPr>
            <w:tcW w:type="dxa" w:w="5040"/>
            <w:vAlign w:val="top"/>
            <w:tcMar>
              <w:top w:w="80" w:type="dxa"/>
              <w:start w:w="90" w:type="dxa"/>
              <w:bottom w:w="80" w:type="dxa"/>
              <w:end w:w="90" w:type="dxa"/>
            </w:tcMar>
            <w:shd w:fill="F5F8FA"/>
          </w:tcPr>
          <w:p>
            <w:r/>
          </w:p>
        </w:tc>
      </w:tr>
      <w:tr>
        <w:tc>
          <w:tcPr>
            <w:tcW w:type="dxa" w:w="5040"/>
            <w:vAlign w:val="top"/>
            <w:tcMar>
              <w:top w:w="80" w:type="dxa"/>
              <w:start w:w="90" w:type="dxa"/>
              <w:bottom w:w="80" w:type="dxa"/>
              <w:end w:w="90" w:type="dxa"/>
            </w:tcMar>
          </w:tcPr>
          <w:p>
            <w:r>
              <w:t>Status</w:t>
            </w:r>
          </w:p>
        </w:tc>
        <w:tc>
          <w:tcPr>
            <w:tcW w:type="dxa" w:w="5040"/>
            <w:vAlign w:val="top"/>
            <w:tcMar>
              <w:top w:w="80" w:type="dxa"/>
              <w:start w:w="90" w:type="dxa"/>
              <w:bottom w:w="80" w:type="dxa"/>
              <w:end w:w="90" w:type="dxa"/>
            </w:tcMar>
          </w:tcPr>
          <w:p>
            <w:r>
              <w:t>Draft / Pilot / Approved / Deprecated</w:t>
            </w:r>
          </w:p>
        </w:tc>
      </w:tr>
    </w:tbl>
    <w:p/>
    <w:p>
      <w:pPr>
        <w:pStyle w:val="Heading1"/>
      </w:pPr>
      <w:r>
        <w:t>Appendix D - Quarterly Calibration Review Agenda</w:t>
      </w:r>
    </w:p>
    <w:p>
      <w:pPr>
        <w:pStyle w:val="ListNumber"/>
      </w:pPr>
      <w:r>
        <w:t>Review changes in policy, model technology and use-case portfolio.</w:t>
      </w:r>
    </w:p>
    <w:p>
      <w:pPr>
        <w:pStyle w:val="ListNumber"/>
      </w:pPr>
      <w:r>
        <w:t>Review performance against Layer 1 and Layer 2 benchmarks.</w:t>
      </w:r>
    </w:p>
    <w:p>
      <w:pPr>
        <w:pStyle w:val="ListNumber"/>
      </w:pPr>
      <w:r>
        <w:t>Analyse overrides, disagreements, false negatives and rejected findings.</w:t>
      </w:r>
    </w:p>
    <w:p>
      <w:pPr>
        <w:pStyle w:val="ListNumber"/>
      </w:pPr>
      <w:r>
        <w:t>Review performance by critical segment and identify weak coverage.</w:t>
      </w:r>
    </w:p>
    <w:p>
      <w:pPr>
        <w:pStyle w:val="ListNumber"/>
      </w:pPr>
      <w:r>
        <w:t>Assess prompt, model, threshold, rule and rubric changes.</w:t>
      </w:r>
    </w:p>
    <w:p>
      <w:pPr>
        <w:pStyle w:val="ListNumber"/>
      </w:pPr>
      <w:r>
        <w:t>Approve additions to golden, edge and adversarial cases.</w:t>
      </w:r>
    </w:p>
    <w:p>
      <w:pPr>
        <w:pStyle w:val="ListNumber"/>
      </w:pPr>
      <w:r>
        <w:t>Review known limitations and user feedback.</w:t>
      </w:r>
    </w:p>
    <w:p>
      <w:pPr>
        <w:pStyle w:val="ListNumber"/>
      </w:pPr>
      <w:r>
        <w:t>Agree calibration backlog, owners and target releases.</w:t>
      </w:r>
    </w:p>
    <w:p>
      <w:pPr>
        <w:pStyle w:val="ListNumber"/>
      </w:pPr>
      <w:r>
        <w:t>Confirm whether an interim methodology or governance escalation is required.</w:t>
      </w:r>
    </w:p>
    <w:p>
      <w:pPr>
        <w:pStyle w:val="ListNumber"/>
      </w:pPr>
      <w:r>
        <w:t>Record decisions, approvals and evidence for auditability.</w:t>
      </w:r>
    </w:p>
    <w:p>
      <w:pPr>
        <w:pStyle w:val="Heading1"/>
      </w:pPr>
      <w:r>
        <w:t>Appendix E - Glossary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vAlign w:val="center"/>
            <w:tcMar>
              <w:top w:w="80" w:type="dxa"/>
              <w:start w:w="90" w:type="dxa"/>
              <w:bottom w:w="80" w:type="dxa"/>
              <w:end w:w="90" w:type="dxa"/>
            </w:tcMar>
          </w:tcPr>
          <w:p>
            <w:r>
              <w:rPr>
                <w:b/>
                <w:color w:val="FFFFFF"/>
              </w:rPr>
              <w:t>Term</w:t>
            </w:r>
          </w:p>
        </w:tc>
        <w:tc>
          <w:tcPr>
            <w:tcW w:type="dxa" w:w="5040"/>
            <w:shd w:fill="1F4E79"/>
            <w:vAlign w:val="center"/>
            <w:tcMar>
              <w:top w:w="80" w:type="dxa"/>
              <w:start w:w="90" w:type="dxa"/>
              <w:bottom w:w="80" w:type="dxa"/>
              <w:end w:w="90" w:type="dxa"/>
            </w:tcMar>
          </w:tcPr>
          <w:p>
            <w:r>
              <w:rPr>
                <w:b/>
                <w:color w:val="FFFFFF"/>
              </w:rPr>
              <w:t>Definition</w:t>
            </w:r>
          </w:p>
        </w:tc>
      </w:tr>
      <w:tr>
        <w:tc>
          <w:tcPr>
            <w:tcW w:type="dxa" w:w="5040"/>
            <w:vAlign w:val="top"/>
            <w:tcMar>
              <w:top w:w="80" w:type="dxa"/>
              <w:start w:w="90" w:type="dxa"/>
              <w:bottom w:w="80" w:type="dxa"/>
              <w:end w:w="90" w:type="dxa"/>
            </w:tcMar>
          </w:tcPr>
          <w:p>
            <w:r>
              <w:t>AI Risk Intelligence Core</w:t>
            </w:r>
          </w:p>
        </w:tc>
        <w:tc>
          <w:tcPr>
            <w:tcW w:type="dxa" w:w="5040"/>
            <w:vAlign w:val="top"/>
            <w:tcMar>
              <w:top w:w="80" w:type="dxa"/>
              <w:start w:w="90" w:type="dxa"/>
              <w:bottom w:w="80" w:type="dxa"/>
              <w:end w:w="90" w:type="dxa"/>
            </w:tcMar>
          </w:tcPr>
          <w:p>
            <w:r>
              <w:t>The controlled methodology, decision, calibration and knowledge layer used across the MRO AI risk lifecycle.</w:t>
            </w:r>
          </w:p>
        </w:tc>
      </w:tr>
      <w:tr>
        <w:tc>
          <w:tcPr>
            <w:tcW w:type="dxa" w:w="5040"/>
            <w:vAlign w:val="top"/>
            <w:tcMar>
              <w:top w:w="80" w:type="dxa"/>
              <w:start w:w="90" w:type="dxa"/>
              <w:bottom w:w="80" w:type="dxa"/>
              <w:end w:w="90" w:type="dxa"/>
            </w:tcMar>
            <w:shd w:fill="F5F8FA"/>
          </w:tcPr>
          <w:p>
            <w:r>
              <w:t>Domain Skill</w:t>
            </w:r>
          </w:p>
        </w:tc>
        <w:tc>
          <w:tcPr>
            <w:tcW w:type="dxa" w:w="5040"/>
            <w:vAlign w:val="top"/>
            <w:tcMar>
              <w:top w:w="80" w:type="dxa"/>
              <w:start w:w="90" w:type="dxa"/>
              <w:bottom w:w="80" w:type="dxa"/>
              <w:end w:w="90" w:type="dxa"/>
            </w:tcMar>
            <w:shd w:fill="F5F8FA"/>
          </w:tcPr>
          <w:p>
            <w:r>
              <w:t>A governed package of expert risk knowledge, evidence requirements, tests, decision rules and limitations for a defined area.</w:t>
            </w:r>
          </w:p>
        </w:tc>
      </w:tr>
      <w:tr>
        <w:tc>
          <w:tcPr>
            <w:tcW w:type="dxa" w:w="5040"/>
            <w:vAlign w:val="top"/>
            <w:tcMar>
              <w:top w:w="80" w:type="dxa"/>
              <w:start w:w="90" w:type="dxa"/>
              <w:bottom w:w="80" w:type="dxa"/>
              <w:end w:w="90" w:type="dxa"/>
            </w:tcMar>
          </w:tcPr>
          <w:p>
            <w:r>
              <w:t>Historical Intelligence</w:t>
            </w:r>
          </w:p>
        </w:tc>
        <w:tc>
          <w:tcPr>
            <w:tcW w:type="dxa" w:w="5040"/>
            <w:vAlign w:val="top"/>
            <w:tcMar>
              <w:top w:w="80" w:type="dxa"/>
              <w:start w:w="90" w:type="dxa"/>
              <w:bottom w:w="80" w:type="dxa"/>
              <w:end w:w="90" w:type="dxa"/>
            </w:tcMar>
          </w:tcPr>
          <w:p>
            <w:r>
              <w:t>Quality-controlled prior decisions, evidence, findings and outcomes used to support comparison, calibration and learning.</w:t>
            </w:r>
          </w:p>
        </w:tc>
      </w:tr>
      <w:tr>
        <w:tc>
          <w:tcPr>
            <w:tcW w:type="dxa" w:w="5040"/>
            <w:vAlign w:val="top"/>
            <w:tcMar>
              <w:top w:w="80" w:type="dxa"/>
              <w:start w:w="90" w:type="dxa"/>
              <w:bottom w:w="80" w:type="dxa"/>
              <w:end w:w="90" w:type="dxa"/>
            </w:tcMar>
            <w:shd w:fill="F5F8FA"/>
          </w:tcPr>
          <w:p>
            <w:r>
              <w:t>Golden Case</w:t>
            </w:r>
          </w:p>
        </w:tc>
        <w:tc>
          <w:tcPr>
            <w:tcW w:type="dxa" w:w="5040"/>
            <w:vAlign w:val="top"/>
            <w:tcMar>
              <w:top w:w="80" w:type="dxa"/>
              <w:start w:w="90" w:type="dxa"/>
              <w:bottom w:w="80" w:type="dxa"/>
              <w:end w:w="90" w:type="dxa"/>
            </w:tcMar>
            <w:shd w:fill="F5F8FA"/>
          </w:tcPr>
          <w:p>
            <w:r>
              <w:t>An approved benchmark case with expert-reviewed expected assessment or outcome.</w:t>
            </w:r>
          </w:p>
        </w:tc>
      </w:tr>
      <w:tr>
        <w:tc>
          <w:tcPr>
            <w:tcW w:type="dxa" w:w="5040"/>
            <w:vAlign w:val="top"/>
            <w:tcMar>
              <w:top w:w="80" w:type="dxa"/>
              <w:start w:w="90" w:type="dxa"/>
              <w:bottom w:w="80" w:type="dxa"/>
              <w:end w:w="90" w:type="dxa"/>
            </w:tcMar>
          </w:tcPr>
          <w:p>
            <w:r>
              <w:t>Human Judgement Framework</w:t>
            </w:r>
          </w:p>
        </w:tc>
        <w:tc>
          <w:tcPr>
            <w:tcW w:type="dxa" w:w="5040"/>
            <w:vAlign w:val="top"/>
            <w:tcMar>
              <w:top w:w="80" w:type="dxa"/>
              <w:start w:w="90" w:type="dxa"/>
              <w:bottom w:w="80" w:type="dxa"/>
              <w:end w:w="90" w:type="dxa"/>
            </w:tcMar>
          </w:tcPr>
          <w:p>
            <w:r>
              <w:t>The structured process for recording recommendations, challenges, decisions, overrides, rationale and approvals.</w:t>
            </w:r>
          </w:p>
        </w:tc>
      </w:tr>
      <w:tr>
        <w:tc>
          <w:tcPr>
            <w:tcW w:type="dxa" w:w="5040"/>
            <w:vAlign w:val="top"/>
            <w:tcMar>
              <w:top w:w="80" w:type="dxa"/>
              <w:start w:w="90" w:type="dxa"/>
              <w:bottom w:w="80" w:type="dxa"/>
              <w:end w:w="90" w:type="dxa"/>
            </w:tcMar>
            <w:shd w:fill="F5F8FA"/>
          </w:tcPr>
          <w:p>
            <w:r>
              <w:t>Decision Lineage</w:t>
            </w:r>
          </w:p>
        </w:tc>
        <w:tc>
          <w:tcPr>
            <w:tcW w:type="dxa" w:w="5040"/>
            <w:vAlign w:val="top"/>
            <w:tcMar>
              <w:top w:w="80" w:type="dxa"/>
              <w:start w:w="90" w:type="dxa"/>
              <w:bottom w:w="80" w:type="dxa"/>
              <w:end w:w="90" w:type="dxa"/>
            </w:tcMar>
            <w:shd w:fill="F5F8FA"/>
          </w:tcPr>
          <w:p>
            <w:r>
              <w:t>Traceability from input evidence and methodology versions to system recommendation, human decision and final outcome.</w:t>
            </w:r>
          </w:p>
        </w:tc>
      </w:tr>
      <w:tr>
        <w:tc>
          <w:tcPr>
            <w:tcW w:type="dxa" w:w="5040"/>
            <w:vAlign w:val="top"/>
            <w:tcMar>
              <w:top w:w="80" w:type="dxa"/>
              <w:start w:w="90" w:type="dxa"/>
              <w:bottom w:w="80" w:type="dxa"/>
              <w:end w:w="90" w:type="dxa"/>
            </w:tcMar>
          </w:tcPr>
          <w:p>
            <w:r>
              <w:t>Technical Custodian</w:t>
            </w:r>
          </w:p>
        </w:tc>
        <w:tc>
          <w:tcPr>
            <w:tcW w:type="dxa" w:w="5040"/>
            <w:vAlign w:val="top"/>
            <w:tcMar>
              <w:top w:w="80" w:type="dxa"/>
              <w:start w:w="90" w:type="dxa"/>
              <w:bottom w:w="80" w:type="dxa"/>
              <w:end w:w="90" w:type="dxa"/>
            </w:tcMar>
          </w:tcPr>
          <w:p>
            <w:r>
              <w:t>The function accountable for the architecture, implementation, integrity, release and long-term maintainability of an authoritative capability.</w:t>
            </w:r>
          </w:p>
        </w:tc>
      </w:tr>
      <w:tr>
        <w:tc>
          <w:tcPr>
            <w:tcW w:type="dxa" w:w="5040"/>
            <w:vAlign w:val="top"/>
            <w:tcMar>
              <w:top w:w="80" w:type="dxa"/>
              <w:start w:w="90" w:type="dxa"/>
              <w:bottom w:w="80" w:type="dxa"/>
              <w:end w:w="90" w:type="dxa"/>
            </w:tcMar>
            <w:shd w:fill="F5F8FA"/>
          </w:tcPr>
          <w:p>
            <w:r>
              <w:t>Moat</w:t>
            </w:r>
          </w:p>
        </w:tc>
        <w:tc>
          <w:tcPr>
            <w:tcW w:type="dxa" w:w="5040"/>
            <w:vAlign w:val="top"/>
            <w:tcMar>
              <w:top w:w="80" w:type="dxa"/>
              <w:start w:w="90" w:type="dxa"/>
              <w:bottom w:w="80" w:type="dxa"/>
              <w:end w:w="90" w:type="dxa"/>
            </w:tcMar>
            <w:shd w:fill="F5F8FA"/>
          </w:tcPr>
          <w:p>
            <w:r>
              <w:t>A combination of authority, unique assets, credibility, workflow integration and learning that creates sustained value and high replacement cost.</w:t>
            </w:r>
          </w:p>
        </w:tc>
      </w:tr>
    </w:tbl>
    <w:p/>
    <w:p>
      <w:pPr>
        <w:spacing w:before="360"/>
        <w:jc w:val="center"/>
      </w:pPr>
      <w:r>
        <w:rPr>
          <w:b/>
          <w:color w:val="1F4E79"/>
        </w:rPr>
        <w:t>End of Document</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MRO AI Risk Intelligence Core | Team Operating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MRO AI Risk Intelligence Core - Team Operating Model, Technical Moat and Long-Term Stewardship Guide</dc:title>
  <dc:subject>AI Tech &amp; Tooling operating model and long-term capability stewardship</dc:subject>
  <dc:creator>Model Risk Office - AI Tech &amp; Tooling</dc:creator>
  <cp:keywords/>
  <dc:description>generated by python-docx</dc:description>
  <cp:lastModifiedBy/>
  <cp:revision>1</cp:revision>
  <dcterms:created xsi:type="dcterms:W3CDTF">2013-12-23T23:15:00Z</dcterms:created>
  <dcterms:modified xsi:type="dcterms:W3CDTF">2013-12-23T23:15:00Z</dcterms:modified>
  <cp:category/>
</cp:coreProperties>
</file>