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63B73" w:rsidRDefault="006B44D1">
      <w:r>
        <w:rPr>
          <w:rFonts w:hint="eastAsia"/>
        </w:rPr>
        <w:t>You are drafting the enhancement requirements</w:t>
      </w:r>
      <w:r w:rsidR="00F63F5C">
        <w:rPr>
          <w:rFonts w:hint="eastAsia"/>
        </w:rPr>
        <w:t xml:space="preserve"> of risk traiging tool</w:t>
      </w:r>
      <w:r>
        <w:rPr>
          <w:rFonts w:hint="eastAsia"/>
        </w:rPr>
        <w:t xml:space="preserve"> for pwc , below is the draft:</w:t>
      </w:r>
    </w:p>
    <w:p w:rsidR="006B44D1" w:rsidRDefault="002232CB">
      <w:r>
        <w:rPr>
          <w:rFonts w:hint="eastAsia"/>
        </w:rPr>
        <w:t>Overall</w:t>
      </w:r>
    </w:p>
    <w:p w:rsidR="00F63F5C" w:rsidRDefault="00F63F5C" w:rsidP="002232CB">
      <w:r>
        <w:rPr>
          <w:rFonts w:hint="eastAsia"/>
        </w:rPr>
        <w:t>In genel two main directions for enhacements (1) In addition to initial triage (classifi</w:t>
      </w:r>
      <w:r w:rsidR="00217593">
        <w:rPr>
          <w:rFonts w:hint="eastAsia"/>
        </w:rPr>
        <w:t>fy</w:t>
      </w:r>
      <w:r>
        <w:rPr>
          <w:rFonts w:hint="eastAsia"/>
        </w:rPr>
        <w:t xml:space="preserve"> to enhaced/ standard/ light), </w:t>
      </w:r>
      <w:r w:rsidRPr="00F63F5C">
        <w:rPr>
          <w:rFonts w:hint="eastAsia"/>
        </w:rPr>
        <w:t xml:space="preserve">tool should </w:t>
      </w:r>
      <w:r>
        <w:rPr>
          <w:rFonts w:hint="eastAsia"/>
        </w:rPr>
        <w:t xml:space="preserve">enhaced to coevr </w:t>
      </w:r>
      <w:r w:rsidRPr="00F63F5C">
        <w:t>front-door intake</w:t>
      </w:r>
      <w:r>
        <w:rPr>
          <w:rFonts w:hint="eastAsia"/>
        </w:rPr>
        <w:t>, triage</w:t>
      </w:r>
      <w:r w:rsidRPr="00F63F5C">
        <w:t xml:space="preserve"> and tiering</w:t>
      </w:r>
      <w:r w:rsidRPr="00F63F5C">
        <w:rPr>
          <w:rFonts w:hint="eastAsia"/>
        </w:rPr>
        <w:t xml:space="preserve"> </w:t>
      </w:r>
      <w:r>
        <w:rPr>
          <w:rFonts w:hint="eastAsia"/>
        </w:rPr>
        <w:t>(2) T</w:t>
      </w:r>
      <w:r w:rsidR="002232CB" w:rsidRPr="002232CB">
        <w:t xml:space="preserve">he risk triaging tool should be </w:t>
      </w:r>
      <w:r>
        <w:rPr>
          <w:rFonts w:hint="eastAsia"/>
        </w:rPr>
        <w:t>enhanced</w:t>
      </w:r>
      <w:r w:rsidR="002232CB" w:rsidRPr="002232CB">
        <w:t xml:space="preserve"> </w:t>
      </w:r>
      <w:r>
        <w:rPr>
          <w:rFonts w:hint="eastAsia"/>
        </w:rPr>
        <w:t>to be in line with the</w:t>
      </w:r>
      <w:r w:rsidR="002232CB" w:rsidRPr="002232CB">
        <w:t xml:space="preserve"> these templates. The core input should be the Triaging + AI Risk Tiering Design &amp; Template and the AI Risk Tiering Guide. </w:t>
      </w:r>
    </w:p>
    <w:p w:rsidR="002232CB" w:rsidRPr="002232CB" w:rsidRDefault="002232CB" w:rsidP="002232CB">
      <w:r w:rsidRPr="002232CB">
        <w:t xml:space="preserve">This would allow the tool to support the AIRO workflow: intake and ingestion, quick front-door triage, AIRO-ready </w:t>
      </w:r>
      <w:r w:rsidR="00F63F5C">
        <w:rPr>
          <w:rFonts w:hint="eastAsia"/>
        </w:rPr>
        <w:t>pack</w:t>
      </w:r>
      <w:r w:rsidRPr="002232CB">
        <w:t xml:space="preserve"> </w:t>
      </w:r>
      <w:r w:rsidR="00F63F5C">
        <w:rPr>
          <w:rFonts w:hint="eastAsia"/>
        </w:rPr>
        <w:t>(to be ready to engae 2</w:t>
      </w:r>
      <w:r w:rsidR="00F63F5C" w:rsidRPr="00F63F5C">
        <w:rPr>
          <w:rFonts w:hint="eastAsia"/>
          <w:vertAlign w:val="superscript"/>
        </w:rPr>
        <w:t>nd</w:t>
      </w:r>
      <w:r w:rsidR="00F63F5C">
        <w:rPr>
          <w:rFonts w:hint="eastAsia"/>
        </w:rPr>
        <w:t xml:space="preserve"> line teams)</w:t>
      </w:r>
      <w:r w:rsidRPr="002232CB">
        <w:t xml:space="preserve">, and evidence/reporting. </w:t>
      </w:r>
    </w:p>
    <w:p w:rsidR="002232CB" w:rsidRDefault="002232CB">
      <w:r w:rsidRPr="002232CB">
        <w:t xml:space="preserve">Given the WS1 templates will take several weeks to finalise, I think </w:t>
      </w:r>
      <w:r w:rsidR="00F63F5C">
        <w:rPr>
          <w:rFonts w:hint="eastAsia"/>
        </w:rPr>
        <w:t>the enhacement</w:t>
      </w:r>
      <w:r w:rsidRPr="002232CB">
        <w:t xml:space="preserve"> to build the tooling enhancements in a configurable way rather than waiting for final templates</w:t>
      </w:r>
      <w:r w:rsidR="00F63F5C">
        <w:rPr>
          <w:rFonts w:hint="eastAsia"/>
        </w:rPr>
        <w:t xml:space="preserve">, this </w:t>
      </w:r>
      <w:r w:rsidRPr="002232CB">
        <w:t xml:space="preserve">can start with draft WS1 structures, but the intake fields, question bank, tiering rules, documentation matrix, 2LoD mapping and output pack </w:t>
      </w:r>
      <w:r w:rsidR="0061711A">
        <w:rPr>
          <w:rFonts w:hint="eastAsia"/>
        </w:rPr>
        <w:t xml:space="preserve">etc </w:t>
      </w:r>
      <w:r w:rsidRPr="002232CB">
        <w:t>should be maintained as configurable artefacts. This means we can test the workflow earlier, and once the WS1 templates are finalised, the tool can be updated without rebuilding it. It also gives MRO reusable foundations for the future oversight</w:t>
      </w:r>
      <w:r>
        <w:rPr>
          <w:rFonts w:hint="eastAsia"/>
        </w:rPr>
        <w:t xml:space="preserve"> use.</w:t>
      </w:r>
    </w:p>
    <w:p w:rsidR="002232CB" w:rsidRDefault="002232CB"/>
    <w:p w:rsidR="006B44D1" w:rsidRPr="006B44D1" w:rsidRDefault="006B44D1" w:rsidP="006B44D1">
      <w:pPr>
        <w:rPr>
          <w:b/>
          <w:bCs/>
        </w:rPr>
      </w:pPr>
      <w:r w:rsidRPr="006B44D1">
        <w:rPr>
          <w:b/>
          <w:bCs/>
        </w:rPr>
        <w:t>Package 1 — Intake &amp; Ingestion Visibility</w:t>
      </w:r>
    </w:p>
    <w:p w:rsidR="006B44D1" w:rsidRPr="006B44D1" w:rsidRDefault="006B44D1" w:rsidP="006B44D1">
      <w:r w:rsidRPr="006B44D1">
        <w:rPr>
          <w:b/>
          <w:bCs/>
        </w:rPr>
        <w:t>Goal:</w:t>
      </w:r>
      <w:r w:rsidRPr="006B44D1">
        <w:t xml:space="preserve"> collect information from source documents and templates.</w:t>
      </w:r>
    </w:p>
    <w:p w:rsidR="006B44D1" w:rsidRPr="006B44D1" w:rsidRDefault="006B44D1" w:rsidP="006B44D1">
      <w:r w:rsidRPr="006B44D1">
        <w:t>Templates/data sources to ingest: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4"/>
        <w:gridCol w:w="4282"/>
      </w:tblGrid>
      <w:tr w:rsidR="006B44D1" w:rsidRPr="006B44D1" w:rsidTr="006B44D1">
        <w:trPr>
          <w:tblHeader/>
          <w:tblCellSpacing w:w="15" w:type="dxa"/>
        </w:trPr>
        <w:tc>
          <w:tcPr>
            <w:tcW w:w="0" w:type="auto"/>
            <w:vAlign w:val="center"/>
            <w:hideMark/>
          </w:tcPr>
          <w:p w:rsidR="006B44D1" w:rsidRPr="006B44D1" w:rsidRDefault="006B44D1" w:rsidP="006B44D1">
            <w:pPr>
              <w:rPr>
                <w:b/>
                <w:bCs/>
              </w:rPr>
            </w:pPr>
            <w:r w:rsidRPr="006B44D1">
              <w:rPr>
                <w:b/>
                <w:bCs/>
              </w:rPr>
              <w:t>Input to tool</w:t>
            </w:r>
          </w:p>
        </w:tc>
        <w:tc>
          <w:tcPr>
            <w:tcW w:w="0" w:type="auto"/>
            <w:vAlign w:val="center"/>
            <w:hideMark/>
          </w:tcPr>
          <w:p w:rsidR="006B44D1" w:rsidRPr="006B44D1" w:rsidRDefault="006B44D1" w:rsidP="006B44D1">
            <w:pPr>
              <w:rPr>
                <w:b/>
                <w:bCs/>
              </w:rPr>
            </w:pPr>
            <w:r w:rsidRPr="006B44D1">
              <w:rPr>
                <w:b/>
                <w:bCs/>
              </w:rPr>
              <w:t>Use</w:t>
            </w:r>
          </w:p>
        </w:tc>
      </w:tr>
      <w:tr w:rsidR="006B44D1" w:rsidRPr="006B44D1" w:rsidTr="006B44D1">
        <w:trPr>
          <w:tblCellSpacing w:w="15" w:type="dxa"/>
        </w:trPr>
        <w:tc>
          <w:tcPr>
            <w:tcW w:w="0" w:type="auto"/>
            <w:vAlign w:val="center"/>
            <w:hideMark/>
          </w:tcPr>
          <w:p w:rsidR="006B44D1" w:rsidRPr="006B44D1" w:rsidRDefault="006B44D1" w:rsidP="006B44D1">
            <w:r w:rsidRPr="006B44D1">
              <w:t>Triaging + AI Risk Tiering Template</w:t>
            </w:r>
          </w:p>
        </w:tc>
        <w:tc>
          <w:tcPr>
            <w:tcW w:w="0" w:type="auto"/>
            <w:vAlign w:val="center"/>
            <w:hideMark/>
          </w:tcPr>
          <w:p w:rsidR="006B44D1" w:rsidRPr="006B44D1" w:rsidRDefault="006B44D1" w:rsidP="006B44D1">
            <w:r w:rsidRPr="006B44D1">
              <w:t>Main intake and tiering fields</w:t>
            </w:r>
          </w:p>
        </w:tc>
      </w:tr>
      <w:tr w:rsidR="006B44D1" w:rsidRPr="006B44D1" w:rsidTr="006B44D1">
        <w:trPr>
          <w:tblCellSpacing w:w="15" w:type="dxa"/>
        </w:trPr>
        <w:tc>
          <w:tcPr>
            <w:tcW w:w="0" w:type="auto"/>
            <w:vAlign w:val="center"/>
            <w:hideMark/>
          </w:tcPr>
          <w:p w:rsidR="006B44D1" w:rsidRPr="006B44D1" w:rsidRDefault="006B44D1" w:rsidP="006B44D1">
            <w:r w:rsidRPr="006B44D1">
              <w:t>AI Risk Tiering Template</w:t>
            </w:r>
          </w:p>
        </w:tc>
        <w:tc>
          <w:tcPr>
            <w:tcW w:w="0" w:type="auto"/>
            <w:vAlign w:val="center"/>
            <w:hideMark/>
          </w:tcPr>
          <w:p w:rsidR="006B44D1" w:rsidRPr="006B44D1" w:rsidRDefault="006B44D1" w:rsidP="006B44D1">
            <w:r w:rsidRPr="006B44D1">
              <w:t>Structured fields for AIRO review</w:t>
            </w:r>
          </w:p>
        </w:tc>
      </w:tr>
      <w:tr w:rsidR="006B44D1" w:rsidRPr="006B44D1" w:rsidTr="006B44D1">
        <w:trPr>
          <w:tblCellSpacing w:w="15" w:type="dxa"/>
        </w:trPr>
        <w:tc>
          <w:tcPr>
            <w:tcW w:w="0" w:type="auto"/>
            <w:vAlign w:val="center"/>
            <w:hideMark/>
          </w:tcPr>
          <w:p w:rsidR="006B44D1" w:rsidRPr="006B44D1" w:rsidRDefault="006B44D1" w:rsidP="006B44D1">
            <w:r w:rsidRPr="006B44D1">
              <w:t>Use case documents / SharePoint agent outputs</w:t>
            </w:r>
          </w:p>
        </w:tc>
        <w:tc>
          <w:tcPr>
            <w:tcW w:w="0" w:type="auto"/>
            <w:vAlign w:val="center"/>
            <w:hideMark/>
          </w:tcPr>
          <w:p w:rsidR="006B44D1" w:rsidRPr="006B44D1" w:rsidRDefault="006B44D1" w:rsidP="006B44D1">
            <w:r w:rsidRPr="006B44D1">
              <w:t>Source evidence</w:t>
            </w:r>
          </w:p>
        </w:tc>
      </w:tr>
      <w:tr w:rsidR="006B44D1" w:rsidRPr="006B44D1" w:rsidTr="006B44D1">
        <w:trPr>
          <w:tblCellSpacing w:w="15" w:type="dxa"/>
        </w:trPr>
        <w:tc>
          <w:tcPr>
            <w:tcW w:w="0" w:type="auto"/>
            <w:vAlign w:val="center"/>
            <w:hideMark/>
          </w:tcPr>
          <w:p w:rsidR="006B44D1" w:rsidRPr="006B44D1" w:rsidRDefault="006B44D1" w:rsidP="006B44D1">
            <w:r w:rsidRPr="006B44D1">
              <w:t>Responsible AI / governance tracker fields</w:t>
            </w:r>
          </w:p>
        </w:tc>
        <w:tc>
          <w:tcPr>
            <w:tcW w:w="0" w:type="auto"/>
            <w:vAlign w:val="center"/>
            <w:hideMark/>
          </w:tcPr>
          <w:p w:rsidR="006B44D1" w:rsidRPr="006B44D1" w:rsidRDefault="006B44D1" w:rsidP="006B44D1">
            <w:r w:rsidRPr="006B44D1">
              <w:t>Existing metadata</w:t>
            </w:r>
          </w:p>
        </w:tc>
      </w:tr>
      <w:tr w:rsidR="006B44D1" w:rsidRPr="006B44D1" w:rsidTr="006B44D1">
        <w:trPr>
          <w:tblCellSpacing w:w="15" w:type="dxa"/>
        </w:trPr>
        <w:tc>
          <w:tcPr>
            <w:tcW w:w="0" w:type="auto"/>
            <w:vAlign w:val="center"/>
            <w:hideMark/>
          </w:tcPr>
          <w:p w:rsidR="006B44D1" w:rsidRPr="006B44D1" w:rsidRDefault="006B44D1" w:rsidP="006B44D1">
            <w:r w:rsidRPr="006B44D1">
              <w:t>Model Development Template, where available</w:t>
            </w:r>
          </w:p>
        </w:tc>
        <w:tc>
          <w:tcPr>
            <w:tcW w:w="0" w:type="auto"/>
            <w:vAlign w:val="center"/>
            <w:hideMark/>
          </w:tcPr>
          <w:p w:rsidR="006B44D1" w:rsidRPr="006B44D1" w:rsidRDefault="006B44D1" w:rsidP="006B44D1">
            <w:r w:rsidRPr="006B44D1">
              <w:t>Evidence source for internally developed AI</w:t>
            </w:r>
          </w:p>
        </w:tc>
      </w:tr>
      <w:tr w:rsidR="006B44D1" w:rsidRPr="006B44D1" w:rsidTr="006B44D1">
        <w:trPr>
          <w:tblCellSpacing w:w="15" w:type="dxa"/>
        </w:trPr>
        <w:tc>
          <w:tcPr>
            <w:tcW w:w="0" w:type="auto"/>
            <w:vAlign w:val="center"/>
            <w:hideMark/>
          </w:tcPr>
          <w:p w:rsidR="006B44D1" w:rsidRPr="006B44D1" w:rsidRDefault="006B44D1" w:rsidP="006B44D1">
            <w:r w:rsidRPr="006B44D1">
              <w:t>MIAMI fields/templates, where relevant</w:t>
            </w:r>
          </w:p>
        </w:tc>
        <w:tc>
          <w:tcPr>
            <w:tcW w:w="0" w:type="auto"/>
            <w:vAlign w:val="center"/>
            <w:hideMark/>
          </w:tcPr>
          <w:p w:rsidR="006B44D1" w:rsidRPr="006B44D1" w:rsidRDefault="006B44D1" w:rsidP="006B44D1">
            <w:r w:rsidRPr="006B44D1">
              <w:t>Inventory/governance metadata alignment</w:t>
            </w:r>
          </w:p>
        </w:tc>
      </w:tr>
    </w:tbl>
    <w:p w:rsidR="006B44D1" w:rsidRPr="006B44D1" w:rsidRDefault="006B44D1" w:rsidP="006B44D1">
      <w:r w:rsidRPr="006B44D1">
        <w:rPr>
          <w:b/>
          <w:bCs/>
        </w:rPr>
        <w:t>Tool output:</w:t>
      </w:r>
    </w:p>
    <w:p w:rsidR="006B44D1" w:rsidRPr="006B44D1" w:rsidRDefault="006B44D1" w:rsidP="006B44D1">
      <w:pPr>
        <w:numPr>
          <w:ilvl w:val="0"/>
          <w:numId w:val="1"/>
        </w:numPr>
      </w:pPr>
      <w:r w:rsidRPr="006B44D1">
        <w:t xml:space="preserve">source register; </w:t>
      </w:r>
    </w:p>
    <w:p w:rsidR="006B44D1" w:rsidRPr="006B44D1" w:rsidRDefault="006B44D1" w:rsidP="006B44D1">
      <w:pPr>
        <w:numPr>
          <w:ilvl w:val="0"/>
          <w:numId w:val="1"/>
        </w:numPr>
      </w:pPr>
      <w:r w:rsidRPr="006B44D1">
        <w:t xml:space="preserve">raw intake record; </w:t>
      </w:r>
    </w:p>
    <w:p w:rsidR="006B44D1" w:rsidRPr="006B44D1" w:rsidRDefault="006B44D1" w:rsidP="006B44D1">
      <w:pPr>
        <w:numPr>
          <w:ilvl w:val="0"/>
          <w:numId w:val="1"/>
        </w:numPr>
      </w:pPr>
      <w:r w:rsidRPr="006B44D1">
        <w:lastRenderedPageBreak/>
        <w:t xml:space="preserve">completeness check; </w:t>
      </w:r>
    </w:p>
    <w:p w:rsidR="006B44D1" w:rsidRPr="006B44D1" w:rsidRDefault="006B44D1" w:rsidP="006B44D1">
      <w:pPr>
        <w:numPr>
          <w:ilvl w:val="0"/>
          <w:numId w:val="1"/>
        </w:numPr>
      </w:pPr>
      <w:r w:rsidRPr="006B44D1">
        <w:t xml:space="preserve">missing information list; </w:t>
      </w:r>
    </w:p>
    <w:p w:rsidR="006B44D1" w:rsidRPr="006B44D1" w:rsidRDefault="006B44D1" w:rsidP="006B44D1">
      <w:pPr>
        <w:numPr>
          <w:ilvl w:val="0"/>
          <w:numId w:val="1"/>
        </w:numPr>
      </w:pPr>
      <w:r w:rsidRPr="006B44D1">
        <w:t xml:space="preserve">key use case facts. </w:t>
      </w:r>
    </w:p>
    <w:p w:rsidR="006B44D1" w:rsidRDefault="006B44D1" w:rsidP="006B44D1">
      <w:r w:rsidRPr="006B44D1">
        <w:t>This directly addresses Anna’s “intake and ingestion” requirement.</w:t>
      </w:r>
    </w:p>
    <w:p w:rsidR="0061711A" w:rsidRDefault="0061711A" w:rsidP="006B44D1">
      <w:r>
        <w:rPr>
          <w:rFonts w:hint="eastAsia"/>
        </w:rPr>
        <w:t>Resauble consideration:</w:t>
      </w:r>
    </w:p>
    <w:p w:rsidR="0061711A" w:rsidRPr="002232CB" w:rsidRDefault="0061711A" w:rsidP="0061711A">
      <w:pPr>
        <w:pStyle w:val="a9"/>
        <w:numPr>
          <w:ilvl w:val="0"/>
          <w:numId w:val="4"/>
        </w:numPr>
      </w:pPr>
      <w:r w:rsidRPr="002232CB">
        <w:t>Build the intake schema and source register as configurable.</w:t>
      </w:r>
    </w:p>
    <w:p w:rsidR="0061711A" w:rsidRPr="002232CB" w:rsidRDefault="0061711A" w:rsidP="0061711A">
      <w:pPr>
        <w:pStyle w:val="a9"/>
        <w:numPr>
          <w:ilvl w:val="0"/>
          <w:numId w:val="4"/>
        </w:numPr>
      </w:pPr>
      <w:r w:rsidRPr="002232CB">
        <w:t>So if the final WS1 template adds or changes fields, they can be updated.</w:t>
      </w:r>
    </w:p>
    <w:p w:rsidR="0061711A" w:rsidRPr="006B44D1" w:rsidRDefault="0061711A" w:rsidP="006B44D1">
      <w:pPr>
        <w:rPr>
          <w:rFonts w:hint="eastAsia"/>
        </w:rPr>
      </w:pPr>
    </w:p>
    <w:p w:rsidR="002232CB" w:rsidRPr="002232CB" w:rsidRDefault="002232CB" w:rsidP="002232CB">
      <w:pPr>
        <w:rPr>
          <w:rFonts w:hint="eastAsia"/>
          <w:b/>
          <w:bCs/>
        </w:rPr>
      </w:pPr>
      <w:r w:rsidRPr="002232CB">
        <w:rPr>
          <w:b/>
          <w:bCs/>
        </w:rPr>
        <w:t xml:space="preserve">Package 2 — Quick Front-door </w:t>
      </w:r>
      <w:r w:rsidR="00217593">
        <w:rPr>
          <w:rFonts w:hint="eastAsia"/>
          <w:b/>
          <w:bCs/>
        </w:rPr>
        <w:t>triage</w:t>
      </w:r>
    </w:p>
    <w:p w:rsidR="002232CB" w:rsidRPr="002232CB" w:rsidRDefault="002232CB" w:rsidP="002232CB">
      <w:r w:rsidRPr="002232CB">
        <w:rPr>
          <w:b/>
          <w:bCs/>
        </w:rPr>
        <w:t>Goal:</w:t>
      </w:r>
      <w:r w:rsidRPr="002232CB">
        <w:t xml:space="preserve"> quick initial classification only.</w:t>
      </w:r>
    </w:p>
    <w:p w:rsidR="002232CB" w:rsidRPr="002232CB" w:rsidRDefault="002232CB" w:rsidP="002232CB">
      <w:r w:rsidRPr="002232CB">
        <w:t>Templates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0"/>
        <w:gridCol w:w="4866"/>
      </w:tblGrid>
      <w:tr w:rsidR="002232CB" w:rsidRPr="002232CB" w:rsidTr="002232CB">
        <w:trPr>
          <w:tblHeader/>
          <w:tblCellSpacing w:w="15" w:type="dxa"/>
        </w:trPr>
        <w:tc>
          <w:tcPr>
            <w:tcW w:w="0" w:type="auto"/>
            <w:vAlign w:val="center"/>
            <w:hideMark/>
          </w:tcPr>
          <w:p w:rsidR="002232CB" w:rsidRPr="002232CB" w:rsidRDefault="002232CB" w:rsidP="002232CB">
            <w:pPr>
              <w:rPr>
                <w:b/>
                <w:bCs/>
              </w:rPr>
            </w:pPr>
            <w:r w:rsidRPr="002232CB">
              <w:rPr>
                <w:b/>
                <w:bCs/>
              </w:rPr>
              <w:t>Template</w:t>
            </w:r>
          </w:p>
        </w:tc>
        <w:tc>
          <w:tcPr>
            <w:tcW w:w="0" w:type="auto"/>
            <w:vAlign w:val="center"/>
            <w:hideMark/>
          </w:tcPr>
          <w:p w:rsidR="002232CB" w:rsidRPr="002232CB" w:rsidRDefault="002232CB" w:rsidP="002232CB">
            <w:pPr>
              <w:rPr>
                <w:b/>
                <w:bCs/>
              </w:rPr>
            </w:pPr>
            <w:r w:rsidRPr="002232CB">
              <w:rPr>
                <w:b/>
                <w:bCs/>
              </w:rPr>
              <w:t>Use in Package 2</w:t>
            </w:r>
          </w:p>
        </w:tc>
      </w:tr>
      <w:tr w:rsidR="002232CB" w:rsidRPr="002232CB" w:rsidTr="002232CB">
        <w:trPr>
          <w:tblCellSpacing w:w="15" w:type="dxa"/>
        </w:trPr>
        <w:tc>
          <w:tcPr>
            <w:tcW w:w="0" w:type="auto"/>
            <w:vAlign w:val="center"/>
            <w:hideMark/>
          </w:tcPr>
          <w:p w:rsidR="002232CB" w:rsidRPr="002232CB" w:rsidRDefault="002232CB" w:rsidP="002232CB">
            <w:r w:rsidRPr="002232CB">
              <w:t>Triaging + AI Risk Tiering Design &amp; Template</w:t>
            </w:r>
          </w:p>
        </w:tc>
        <w:tc>
          <w:tcPr>
            <w:tcW w:w="0" w:type="auto"/>
            <w:vAlign w:val="center"/>
            <w:hideMark/>
          </w:tcPr>
          <w:p w:rsidR="002232CB" w:rsidRPr="002232CB" w:rsidRDefault="002232CB" w:rsidP="002232CB">
            <w:r w:rsidRPr="002232CB">
              <w:t>Core quick classification logic</w:t>
            </w:r>
          </w:p>
        </w:tc>
      </w:tr>
      <w:tr w:rsidR="002232CB" w:rsidRPr="002232CB" w:rsidTr="002232CB">
        <w:trPr>
          <w:tblCellSpacing w:w="15" w:type="dxa"/>
        </w:trPr>
        <w:tc>
          <w:tcPr>
            <w:tcW w:w="0" w:type="auto"/>
            <w:vAlign w:val="center"/>
            <w:hideMark/>
          </w:tcPr>
          <w:p w:rsidR="002232CB" w:rsidRPr="002232CB" w:rsidRDefault="002232CB" w:rsidP="002232CB">
            <w:r w:rsidRPr="002232CB">
              <w:t>AI Risk Tiering Guide</w:t>
            </w:r>
          </w:p>
        </w:tc>
        <w:tc>
          <w:tcPr>
            <w:tcW w:w="0" w:type="auto"/>
            <w:vAlign w:val="center"/>
            <w:hideMark/>
          </w:tcPr>
          <w:p w:rsidR="002232CB" w:rsidRPr="002232CB" w:rsidRDefault="002232CB" w:rsidP="002232CB">
            <w:r w:rsidRPr="002232CB">
              <w:t>Mapping/rationale for Light / Standard / Enhanced</w:t>
            </w:r>
          </w:p>
        </w:tc>
      </w:tr>
      <w:tr w:rsidR="002232CB" w:rsidRPr="002232CB" w:rsidTr="002232CB">
        <w:trPr>
          <w:tblCellSpacing w:w="15" w:type="dxa"/>
        </w:trPr>
        <w:tc>
          <w:tcPr>
            <w:tcW w:w="0" w:type="auto"/>
            <w:vAlign w:val="center"/>
            <w:hideMark/>
          </w:tcPr>
          <w:p w:rsidR="002232CB" w:rsidRPr="002232CB" w:rsidRDefault="002232CB" w:rsidP="002232CB">
            <w:r w:rsidRPr="002232CB">
              <w:t>MIAMI / inventory fields, where relevant</w:t>
            </w:r>
          </w:p>
        </w:tc>
        <w:tc>
          <w:tcPr>
            <w:tcW w:w="0" w:type="auto"/>
            <w:vAlign w:val="center"/>
            <w:hideMark/>
          </w:tcPr>
          <w:p w:rsidR="002232CB" w:rsidRPr="002232CB" w:rsidRDefault="002232CB" w:rsidP="002232CB">
            <w:r w:rsidRPr="002232CB">
              <w:t>To avoid inconsistent classification metadata</w:t>
            </w:r>
          </w:p>
        </w:tc>
      </w:tr>
    </w:tbl>
    <w:p w:rsidR="002232CB" w:rsidRPr="002232CB" w:rsidRDefault="002232CB" w:rsidP="002232CB">
      <w:r w:rsidRPr="002232CB">
        <w:rPr>
          <w:b/>
          <w:bCs/>
        </w:rPr>
        <w:t>Tool output:</w:t>
      </w:r>
    </w:p>
    <w:p w:rsidR="002232CB" w:rsidRPr="002232CB" w:rsidRDefault="002232CB" w:rsidP="002232CB">
      <w:pPr>
        <w:numPr>
          <w:ilvl w:val="0"/>
          <w:numId w:val="2"/>
        </w:numPr>
      </w:pPr>
      <w:r w:rsidRPr="002232CB">
        <w:t xml:space="preserve">Light / Standard / Enhanced route; </w:t>
      </w:r>
    </w:p>
    <w:p w:rsidR="002232CB" w:rsidRPr="002232CB" w:rsidRDefault="002232CB" w:rsidP="002232CB">
      <w:pPr>
        <w:numPr>
          <w:ilvl w:val="0"/>
          <w:numId w:val="2"/>
        </w:numPr>
      </w:pPr>
      <w:r w:rsidRPr="002232CB">
        <w:t xml:space="preserve">simple rationale; </w:t>
      </w:r>
    </w:p>
    <w:p w:rsidR="002232CB" w:rsidRPr="002232CB" w:rsidRDefault="002232CB" w:rsidP="002232CB">
      <w:pPr>
        <w:numPr>
          <w:ilvl w:val="0"/>
          <w:numId w:val="2"/>
        </w:numPr>
      </w:pPr>
      <w:r w:rsidRPr="002232CB">
        <w:t xml:space="preserve">trigger list; </w:t>
      </w:r>
    </w:p>
    <w:p w:rsidR="002232CB" w:rsidRPr="002232CB" w:rsidRDefault="002232CB" w:rsidP="002232CB">
      <w:pPr>
        <w:numPr>
          <w:ilvl w:val="0"/>
          <w:numId w:val="2"/>
        </w:numPr>
      </w:pPr>
      <w:r w:rsidRPr="002232CB">
        <w:t xml:space="preserve">uncertainty flag; </w:t>
      </w:r>
    </w:p>
    <w:p w:rsidR="002232CB" w:rsidRPr="002232CB" w:rsidRDefault="002232CB" w:rsidP="002232CB">
      <w:pPr>
        <w:numPr>
          <w:ilvl w:val="0"/>
          <w:numId w:val="2"/>
        </w:numPr>
      </w:pPr>
      <w:r w:rsidRPr="002232CB">
        <w:t xml:space="preserve">early use case profile. </w:t>
      </w:r>
    </w:p>
    <w:p w:rsidR="002232CB" w:rsidRDefault="002232CB" w:rsidP="002232CB">
      <w:r w:rsidRPr="002232CB">
        <w:t>This should stay lightweight.</w:t>
      </w:r>
    </w:p>
    <w:p w:rsidR="0061711A" w:rsidRDefault="0061711A" w:rsidP="0061711A">
      <w:r>
        <w:rPr>
          <w:rFonts w:hint="eastAsia"/>
        </w:rPr>
        <w:t>Resauble consideration:</w:t>
      </w:r>
    </w:p>
    <w:p w:rsidR="0061711A" w:rsidRPr="002232CB" w:rsidRDefault="0061711A" w:rsidP="0061711A">
      <w:r w:rsidRPr="002232CB">
        <w:t>Build the quick triage logic using a configurable question bank and rule table.</w:t>
      </w:r>
    </w:p>
    <w:p w:rsidR="0061711A" w:rsidRPr="002232CB" w:rsidRDefault="0061711A" w:rsidP="0061711A">
      <w:r w:rsidRPr="002232CB">
        <w:t>So if the tiering guide changes, questions and rules can be updated.</w:t>
      </w:r>
    </w:p>
    <w:p w:rsidR="0061711A" w:rsidRPr="002232CB" w:rsidRDefault="0061711A" w:rsidP="002232CB"/>
    <w:p w:rsidR="002232CB" w:rsidRPr="002232CB" w:rsidRDefault="002232CB" w:rsidP="002232CB">
      <w:pPr>
        <w:rPr>
          <w:b/>
          <w:bCs/>
        </w:rPr>
      </w:pPr>
      <w:r w:rsidRPr="002232CB">
        <w:rPr>
          <w:b/>
          <w:bCs/>
        </w:rPr>
        <w:lastRenderedPageBreak/>
        <w:t>Package 3 — AIRO-ready Materiality &amp; Handover</w:t>
      </w:r>
    </w:p>
    <w:p w:rsidR="002232CB" w:rsidRPr="002232CB" w:rsidRDefault="002232CB" w:rsidP="002232CB">
      <w:r w:rsidRPr="002232CB">
        <w:rPr>
          <w:b/>
          <w:bCs/>
        </w:rPr>
        <w:t>Goal:</w:t>
      </w:r>
      <w:r w:rsidRPr="002232CB">
        <w:t xml:space="preserve"> support Anna’s team after initial triage.</w:t>
      </w:r>
    </w:p>
    <w:p w:rsidR="002232CB" w:rsidRPr="002232CB" w:rsidRDefault="002232CB" w:rsidP="002232CB">
      <w:r w:rsidRPr="002232CB">
        <w:t>Templates used or pre-populated: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1"/>
        <w:gridCol w:w="5965"/>
      </w:tblGrid>
      <w:tr w:rsidR="002232CB" w:rsidRPr="002232CB" w:rsidTr="002232CB">
        <w:trPr>
          <w:tblHeader/>
          <w:tblCellSpacing w:w="15" w:type="dxa"/>
        </w:trPr>
        <w:tc>
          <w:tcPr>
            <w:tcW w:w="0" w:type="auto"/>
            <w:vAlign w:val="center"/>
            <w:hideMark/>
          </w:tcPr>
          <w:p w:rsidR="002232CB" w:rsidRPr="002232CB" w:rsidRDefault="002232CB" w:rsidP="002232CB">
            <w:pPr>
              <w:rPr>
                <w:b/>
                <w:bCs/>
              </w:rPr>
            </w:pPr>
            <w:r w:rsidRPr="002232CB">
              <w:rPr>
                <w:b/>
                <w:bCs/>
              </w:rPr>
              <w:t>Template</w:t>
            </w:r>
          </w:p>
        </w:tc>
        <w:tc>
          <w:tcPr>
            <w:tcW w:w="0" w:type="auto"/>
            <w:vAlign w:val="center"/>
            <w:hideMark/>
          </w:tcPr>
          <w:p w:rsidR="002232CB" w:rsidRPr="002232CB" w:rsidRDefault="002232CB" w:rsidP="002232CB">
            <w:pPr>
              <w:rPr>
                <w:b/>
                <w:bCs/>
              </w:rPr>
            </w:pPr>
            <w:r w:rsidRPr="002232CB">
              <w:rPr>
                <w:b/>
                <w:bCs/>
              </w:rPr>
              <w:t>Use in Package 3</w:t>
            </w:r>
          </w:p>
        </w:tc>
      </w:tr>
      <w:tr w:rsidR="002232CB" w:rsidRPr="002232CB" w:rsidTr="002232CB">
        <w:trPr>
          <w:tblCellSpacing w:w="15" w:type="dxa"/>
        </w:trPr>
        <w:tc>
          <w:tcPr>
            <w:tcW w:w="0" w:type="auto"/>
            <w:vAlign w:val="center"/>
            <w:hideMark/>
          </w:tcPr>
          <w:p w:rsidR="002232CB" w:rsidRPr="002232CB" w:rsidRDefault="002232CB" w:rsidP="002232CB">
            <w:r w:rsidRPr="002232CB">
              <w:t>Full AI Risk Tiering Template</w:t>
            </w:r>
          </w:p>
        </w:tc>
        <w:tc>
          <w:tcPr>
            <w:tcW w:w="0" w:type="auto"/>
            <w:vAlign w:val="center"/>
            <w:hideMark/>
          </w:tcPr>
          <w:p w:rsidR="002232CB" w:rsidRPr="002232CB" w:rsidRDefault="002232CB" w:rsidP="002232CB">
            <w:r w:rsidRPr="002232CB">
              <w:t>Materiality indicators and structured AIRO review</w:t>
            </w:r>
          </w:p>
        </w:tc>
      </w:tr>
      <w:tr w:rsidR="002232CB" w:rsidRPr="002232CB" w:rsidTr="002232CB">
        <w:trPr>
          <w:tblCellSpacing w:w="15" w:type="dxa"/>
        </w:trPr>
        <w:tc>
          <w:tcPr>
            <w:tcW w:w="0" w:type="auto"/>
            <w:vAlign w:val="center"/>
            <w:hideMark/>
          </w:tcPr>
          <w:p w:rsidR="002232CB" w:rsidRPr="002232CB" w:rsidRDefault="002232CB" w:rsidP="002232CB">
            <w:r w:rsidRPr="002232CB">
              <w:t>2LoD Challenge Log</w:t>
            </w:r>
          </w:p>
        </w:tc>
        <w:tc>
          <w:tcPr>
            <w:tcW w:w="0" w:type="auto"/>
            <w:vAlign w:val="center"/>
            <w:hideMark/>
          </w:tcPr>
          <w:p w:rsidR="002232CB" w:rsidRPr="002232CB" w:rsidRDefault="002232CB" w:rsidP="002232CB">
            <w:r w:rsidRPr="002232CB">
              <w:t>Generate missing information, challenge points and stakeholder questions</w:t>
            </w:r>
          </w:p>
        </w:tc>
      </w:tr>
      <w:tr w:rsidR="002232CB" w:rsidRPr="002232CB" w:rsidTr="002232CB">
        <w:trPr>
          <w:tblCellSpacing w:w="15" w:type="dxa"/>
        </w:trPr>
        <w:tc>
          <w:tcPr>
            <w:tcW w:w="0" w:type="auto"/>
            <w:vAlign w:val="center"/>
            <w:hideMark/>
          </w:tcPr>
          <w:p w:rsidR="002232CB" w:rsidRPr="002232CB" w:rsidRDefault="002232CB" w:rsidP="002232CB">
            <w:r w:rsidRPr="002232CB">
              <w:t>AI Oversight Final Report Template</w:t>
            </w:r>
          </w:p>
        </w:tc>
        <w:tc>
          <w:tcPr>
            <w:tcW w:w="0" w:type="auto"/>
            <w:vAlign w:val="center"/>
            <w:hideMark/>
          </w:tcPr>
          <w:p w:rsidR="002232CB" w:rsidRPr="002232CB" w:rsidRDefault="002232CB" w:rsidP="002232CB">
            <w:r w:rsidRPr="002232CB">
              <w:t>Pre-populate summary, route, rationale, gaps and next steps</w:t>
            </w:r>
          </w:p>
        </w:tc>
      </w:tr>
      <w:tr w:rsidR="002232CB" w:rsidRPr="002232CB" w:rsidTr="002232CB">
        <w:trPr>
          <w:tblCellSpacing w:w="15" w:type="dxa"/>
        </w:trPr>
        <w:tc>
          <w:tcPr>
            <w:tcW w:w="0" w:type="auto"/>
            <w:vAlign w:val="center"/>
            <w:hideMark/>
          </w:tcPr>
          <w:p w:rsidR="002232CB" w:rsidRPr="002232CB" w:rsidRDefault="002232CB" w:rsidP="002232CB">
            <w:r w:rsidRPr="002232CB">
              <w:t>Model Validation Template</w:t>
            </w:r>
          </w:p>
        </w:tc>
        <w:tc>
          <w:tcPr>
            <w:tcW w:w="0" w:type="auto"/>
            <w:vAlign w:val="center"/>
            <w:hideMark/>
          </w:tcPr>
          <w:p w:rsidR="002232CB" w:rsidRPr="002232CB" w:rsidRDefault="002232CB" w:rsidP="002232CB">
            <w:r w:rsidRPr="002232CB">
              <w:t>Trigger and pre-populate if validation may be required</w:t>
            </w:r>
          </w:p>
        </w:tc>
      </w:tr>
      <w:tr w:rsidR="002232CB" w:rsidRPr="002232CB" w:rsidTr="002232CB">
        <w:trPr>
          <w:tblCellSpacing w:w="15" w:type="dxa"/>
        </w:trPr>
        <w:tc>
          <w:tcPr>
            <w:tcW w:w="0" w:type="auto"/>
            <w:vAlign w:val="center"/>
            <w:hideMark/>
          </w:tcPr>
          <w:p w:rsidR="002232CB" w:rsidRPr="002232CB" w:rsidRDefault="002232CB" w:rsidP="002232CB">
            <w:r w:rsidRPr="002232CB">
              <w:t>Change Reassessment Template</w:t>
            </w:r>
          </w:p>
        </w:tc>
        <w:tc>
          <w:tcPr>
            <w:tcW w:w="0" w:type="auto"/>
            <w:vAlign w:val="center"/>
            <w:hideMark/>
          </w:tcPr>
          <w:p w:rsidR="002232CB" w:rsidRPr="002232CB" w:rsidRDefault="002232CB" w:rsidP="002232CB">
            <w:r w:rsidRPr="002232CB">
              <w:t>Trigger if use case is live/change-related</w:t>
            </w:r>
          </w:p>
        </w:tc>
      </w:tr>
      <w:tr w:rsidR="002232CB" w:rsidRPr="002232CB" w:rsidTr="002232CB">
        <w:trPr>
          <w:tblCellSpacing w:w="15" w:type="dxa"/>
        </w:trPr>
        <w:tc>
          <w:tcPr>
            <w:tcW w:w="0" w:type="auto"/>
            <w:vAlign w:val="center"/>
            <w:hideMark/>
          </w:tcPr>
          <w:p w:rsidR="002232CB" w:rsidRPr="002232CB" w:rsidRDefault="002232CB" w:rsidP="002232CB">
            <w:r w:rsidRPr="002232CB">
              <w:t>AI Post-go-live Monitoring Template</w:t>
            </w:r>
          </w:p>
        </w:tc>
        <w:tc>
          <w:tcPr>
            <w:tcW w:w="0" w:type="auto"/>
            <w:vAlign w:val="center"/>
            <w:hideMark/>
          </w:tcPr>
          <w:p w:rsidR="002232CB" w:rsidRPr="002232CB" w:rsidRDefault="002232CB" w:rsidP="002232CB">
            <w:r w:rsidRPr="002232CB">
              <w:t>Trigger if live or expected to go live</w:t>
            </w:r>
          </w:p>
        </w:tc>
      </w:tr>
      <w:tr w:rsidR="002232CB" w:rsidRPr="002232CB" w:rsidTr="002232CB">
        <w:trPr>
          <w:tblCellSpacing w:w="15" w:type="dxa"/>
        </w:trPr>
        <w:tc>
          <w:tcPr>
            <w:tcW w:w="0" w:type="auto"/>
            <w:vAlign w:val="center"/>
            <w:hideMark/>
          </w:tcPr>
          <w:p w:rsidR="002232CB" w:rsidRPr="002232CB" w:rsidRDefault="002232CB" w:rsidP="002232CB">
            <w:r w:rsidRPr="002232CB">
              <w:t>Model Development Template</w:t>
            </w:r>
          </w:p>
        </w:tc>
        <w:tc>
          <w:tcPr>
            <w:tcW w:w="0" w:type="auto"/>
            <w:vAlign w:val="center"/>
            <w:hideMark/>
          </w:tcPr>
          <w:p w:rsidR="002232CB" w:rsidRPr="002232CB" w:rsidRDefault="002232CB" w:rsidP="002232CB">
            <w:r w:rsidRPr="002232CB">
              <w:t>Reference/pre-populate where internally developed model evidence exists</w:t>
            </w:r>
          </w:p>
        </w:tc>
      </w:tr>
    </w:tbl>
    <w:p w:rsidR="002232CB" w:rsidRPr="002232CB" w:rsidRDefault="002232CB" w:rsidP="002232CB">
      <w:r w:rsidRPr="002232CB">
        <w:rPr>
          <w:b/>
          <w:bCs/>
        </w:rPr>
        <w:t>Tool output:</w:t>
      </w:r>
    </w:p>
    <w:p w:rsidR="002232CB" w:rsidRPr="002232CB" w:rsidRDefault="002232CB" w:rsidP="002232CB">
      <w:pPr>
        <w:numPr>
          <w:ilvl w:val="0"/>
          <w:numId w:val="3"/>
        </w:numPr>
      </w:pPr>
      <w:r w:rsidRPr="002232CB">
        <w:t xml:space="preserve">AIRO-ready handover pack; </w:t>
      </w:r>
    </w:p>
    <w:p w:rsidR="002232CB" w:rsidRPr="002232CB" w:rsidRDefault="002232CB" w:rsidP="002232CB">
      <w:pPr>
        <w:numPr>
          <w:ilvl w:val="0"/>
          <w:numId w:val="3"/>
        </w:numPr>
      </w:pPr>
      <w:r w:rsidRPr="002232CB">
        <w:t xml:space="preserve">missing information summary; </w:t>
      </w:r>
    </w:p>
    <w:p w:rsidR="002232CB" w:rsidRPr="002232CB" w:rsidRDefault="002232CB" w:rsidP="002232CB">
      <w:pPr>
        <w:numPr>
          <w:ilvl w:val="0"/>
          <w:numId w:val="3"/>
        </w:numPr>
      </w:pPr>
      <w:r w:rsidRPr="002232CB">
        <w:t xml:space="preserve">follow-up questions; </w:t>
      </w:r>
    </w:p>
    <w:p w:rsidR="002232CB" w:rsidRPr="002232CB" w:rsidRDefault="002232CB" w:rsidP="002232CB">
      <w:pPr>
        <w:numPr>
          <w:ilvl w:val="0"/>
          <w:numId w:val="3"/>
        </w:numPr>
      </w:pPr>
      <w:r w:rsidRPr="002232CB">
        <w:t xml:space="preserve">proportionate documentation request; </w:t>
      </w:r>
    </w:p>
    <w:p w:rsidR="002232CB" w:rsidRPr="002232CB" w:rsidRDefault="002232CB" w:rsidP="002232CB">
      <w:pPr>
        <w:numPr>
          <w:ilvl w:val="0"/>
          <w:numId w:val="3"/>
        </w:numPr>
      </w:pPr>
      <w:r w:rsidRPr="002232CB">
        <w:t xml:space="preserve">suggested 2LoD stakeholder mapping; </w:t>
      </w:r>
    </w:p>
    <w:p w:rsidR="002232CB" w:rsidRPr="002232CB" w:rsidRDefault="002232CB" w:rsidP="002232CB">
      <w:pPr>
        <w:numPr>
          <w:ilvl w:val="0"/>
          <w:numId w:val="3"/>
        </w:numPr>
      </w:pPr>
      <w:r w:rsidRPr="002232CB">
        <w:t xml:space="preserve">draft 2LoD challenge items; </w:t>
      </w:r>
    </w:p>
    <w:p w:rsidR="002232CB" w:rsidRPr="002232CB" w:rsidRDefault="002232CB" w:rsidP="002232CB">
      <w:pPr>
        <w:numPr>
          <w:ilvl w:val="0"/>
          <w:numId w:val="3"/>
        </w:numPr>
      </w:pPr>
      <w:r w:rsidRPr="002232CB">
        <w:t xml:space="preserve">triggered downstream templates; </w:t>
      </w:r>
    </w:p>
    <w:p w:rsidR="002232CB" w:rsidRPr="002232CB" w:rsidRDefault="002232CB" w:rsidP="002232CB">
      <w:pPr>
        <w:numPr>
          <w:ilvl w:val="0"/>
          <w:numId w:val="3"/>
        </w:numPr>
      </w:pPr>
      <w:r w:rsidRPr="002232CB">
        <w:t xml:space="preserve">AIRO confirmation/override section. </w:t>
      </w:r>
    </w:p>
    <w:p w:rsidR="002232CB" w:rsidRDefault="002232CB" w:rsidP="002232CB">
      <w:r w:rsidRPr="002232CB">
        <w:t>This is the core enhancement for Anna’s workflow.</w:t>
      </w:r>
    </w:p>
    <w:p w:rsidR="0061711A" w:rsidRDefault="0061711A" w:rsidP="0061711A">
      <w:r>
        <w:rPr>
          <w:rFonts w:hint="eastAsia"/>
        </w:rPr>
        <w:t>Resauble consideration:</w:t>
      </w:r>
    </w:p>
    <w:p w:rsidR="0061711A" w:rsidRPr="002232CB" w:rsidRDefault="0061711A" w:rsidP="0061711A">
      <w:r w:rsidRPr="002232CB">
        <w:t>Build the handover pack, follow-up questions, documentation request and 2LoD mapping as configurable templates/rules.</w:t>
      </w:r>
    </w:p>
    <w:p w:rsidR="0061711A" w:rsidRPr="002232CB" w:rsidRDefault="0061711A" w:rsidP="0061711A">
      <w:r w:rsidRPr="002232CB">
        <w:lastRenderedPageBreak/>
        <w:t>So if the final challenge log or final oversight report template changes, the output can be adjusted.</w:t>
      </w:r>
    </w:p>
    <w:p w:rsidR="0061711A" w:rsidRPr="002232CB" w:rsidRDefault="0061711A" w:rsidP="002232CB"/>
    <w:sectPr w:rsidR="0061711A" w:rsidRPr="002232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Aptos Display">
    <w:altName w:val="Calibri"/>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973A7E"/>
    <w:multiLevelType w:val="multilevel"/>
    <w:tmpl w:val="5336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600F2"/>
    <w:multiLevelType w:val="hybridMultilevel"/>
    <w:tmpl w:val="0A7822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1761E5F"/>
    <w:multiLevelType w:val="multilevel"/>
    <w:tmpl w:val="D87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AF2764"/>
    <w:multiLevelType w:val="multilevel"/>
    <w:tmpl w:val="C7D4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584974">
    <w:abstractNumId w:val="0"/>
  </w:num>
  <w:num w:numId="2" w16cid:durableId="914824558">
    <w:abstractNumId w:val="2"/>
  </w:num>
  <w:num w:numId="3" w16cid:durableId="235483471">
    <w:abstractNumId w:val="3"/>
  </w:num>
  <w:num w:numId="4" w16cid:durableId="1076826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0F8"/>
    <w:rsid w:val="000040F8"/>
    <w:rsid w:val="00217593"/>
    <w:rsid w:val="002232CB"/>
    <w:rsid w:val="0061711A"/>
    <w:rsid w:val="006B44D1"/>
    <w:rsid w:val="008A2486"/>
    <w:rsid w:val="00963B73"/>
    <w:rsid w:val="009F5C8D"/>
    <w:rsid w:val="00F63F5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CA17B"/>
  <w15:chartTrackingRefBased/>
  <w15:docId w15:val="{A07AD2F3-3A0E-460D-8661-776A08988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040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040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040F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040F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040F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040F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040F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040F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040F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040F8"/>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0040F8"/>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0040F8"/>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0040F8"/>
    <w:rPr>
      <w:rFonts w:eastAsiaTheme="majorEastAsia" w:cstheme="majorBidi"/>
      <w:i/>
      <w:iCs/>
      <w:color w:val="0F4761" w:themeColor="accent1" w:themeShade="BF"/>
    </w:rPr>
  </w:style>
  <w:style w:type="character" w:customStyle="1" w:styleId="50">
    <w:name w:val="标题 5 字符"/>
    <w:basedOn w:val="a0"/>
    <w:link w:val="5"/>
    <w:uiPriority w:val="9"/>
    <w:semiHidden/>
    <w:rsid w:val="000040F8"/>
    <w:rPr>
      <w:rFonts w:eastAsiaTheme="majorEastAsia" w:cstheme="majorBidi"/>
      <w:color w:val="0F4761" w:themeColor="accent1" w:themeShade="BF"/>
    </w:rPr>
  </w:style>
  <w:style w:type="character" w:customStyle="1" w:styleId="60">
    <w:name w:val="标题 6 字符"/>
    <w:basedOn w:val="a0"/>
    <w:link w:val="6"/>
    <w:uiPriority w:val="9"/>
    <w:semiHidden/>
    <w:rsid w:val="000040F8"/>
    <w:rPr>
      <w:rFonts w:eastAsiaTheme="majorEastAsia" w:cstheme="majorBidi"/>
      <w:i/>
      <w:iCs/>
      <w:color w:val="595959" w:themeColor="text1" w:themeTint="A6"/>
    </w:rPr>
  </w:style>
  <w:style w:type="character" w:customStyle="1" w:styleId="70">
    <w:name w:val="标题 7 字符"/>
    <w:basedOn w:val="a0"/>
    <w:link w:val="7"/>
    <w:uiPriority w:val="9"/>
    <w:semiHidden/>
    <w:rsid w:val="000040F8"/>
    <w:rPr>
      <w:rFonts w:eastAsiaTheme="majorEastAsia" w:cstheme="majorBidi"/>
      <w:color w:val="595959" w:themeColor="text1" w:themeTint="A6"/>
    </w:rPr>
  </w:style>
  <w:style w:type="character" w:customStyle="1" w:styleId="80">
    <w:name w:val="标题 8 字符"/>
    <w:basedOn w:val="a0"/>
    <w:link w:val="8"/>
    <w:uiPriority w:val="9"/>
    <w:semiHidden/>
    <w:rsid w:val="000040F8"/>
    <w:rPr>
      <w:rFonts w:eastAsiaTheme="majorEastAsia" w:cstheme="majorBidi"/>
      <w:i/>
      <w:iCs/>
      <w:color w:val="272727" w:themeColor="text1" w:themeTint="D8"/>
    </w:rPr>
  </w:style>
  <w:style w:type="character" w:customStyle="1" w:styleId="90">
    <w:name w:val="标题 9 字符"/>
    <w:basedOn w:val="a0"/>
    <w:link w:val="9"/>
    <w:uiPriority w:val="9"/>
    <w:semiHidden/>
    <w:rsid w:val="000040F8"/>
    <w:rPr>
      <w:rFonts w:eastAsiaTheme="majorEastAsia" w:cstheme="majorBidi"/>
      <w:color w:val="272727" w:themeColor="text1" w:themeTint="D8"/>
    </w:rPr>
  </w:style>
  <w:style w:type="paragraph" w:styleId="a3">
    <w:name w:val="Title"/>
    <w:basedOn w:val="a"/>
    <w:next w:val="a"/>
    <w:link w:val="a4"/>
    <w:uiPriority w:val="10"/>
    <w:qFormat/>
    <w:rsid w:val="00004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040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40F8"/>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040F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040F8"/>
    <w:pPr>
      <w:spacing w:before="160"/>
      <w:jc w:val="center"/>
    </w:pPr>
    <w:rPr>
      <w:i/>
      <w:iCs/>
      <w:color w:val="404040" w:themeColor="text1" w:themeTint="BF"/>
    </w:rPr>
  </w:style>
  <w:style w:type="character" w:customStyle="1" w:styleId="a8">
    <w:name w:val="引用 字符"/>
    <w:basedOn w:val="a0"/>
    <w:link w:val="a7"/>
    <w:uiPriority w:val="29"/>
    <w:rsid w:val="000040F8"/>
    <w:rPr>
      <w:i/>
      <w:iCs/>
      <w:color w:val="404040" w:themeColor="text1" w:themeTint="BF"/>
    </w:rPr>
  </w:style>
  <w:style w:type="paragraph" w:styleId="a9">
    <w:name w:val="List Paragraph"/>
    <w:basedOn w:val="a"/>
    <w:uiPriority w:val="34"/>
    <w:qFormat/>
    <w:rsid w:val="000040F8"/>
    <w:pPr>
      <w:ind w:left="720"/>
      <w:contextualSpacing/>
    </w:pPr>
  </w:style>
  <w:style w:type="character" w:styleId="aa">
    <w:name w:val="Intense Emphasis"/>
    <w:basedOn w:val="a0"/>
    <w:uiPriority w:val="21"/>
    <w:qFormat/>
    <w:rsid w:val="000040F8"/>
    <w:rPr>
      <w:i/>
      <w:iCs/>
      <w:color w:val="0F4761" w:themeColor="accent1" w:themeShade="BF"/>
    </w:rPr>
  </w:style>
  <w:style w:type="paragraph" w:styleId="ab">
    <w:name w:val="Intense Quote"/>
    <w:basedOn w:val="a"/>
    <w:next w:val="a"/>
    <w:link w:val="ac"/>
    <w:uiPriority w:val="30"/>
    <w:qFormat/>
    <w:rsid w:val="000040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040F8"/>
    <w:rPr>
      <w:i/>
      <w:iCs/>
      <w:color w:val="0F4761" w:themeColor="accent1" w:themeShade="BF"/>
    </w:rPr>
  </w:style>
  <w:style w:type="character" w:styleId="ad">
    <w:name w:val="Intense Reference"/>
    <w:basedOn w:val="a0"/>
    <w:uiPriority w:val="32"/>
    <w:qFormat/>
    <w:rsid w:val="000040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75018">
      <w:bodyDiv w:val="1"/>
      <w:marLeft w:val="0"/>
      <w:marRight w:val="0"/>
      <w:marTop w:val="0"/>
      <w:marBottom w:val="0"/>
      <w:divBdr>
        <w:top w:val="none" w:sz="0" w:space="0" w:color="auto"/>
        <w:left w:val="none" w:sz="0" w:space="0" w:color="auto"/>
        <w:bottom w:val="none" w:sz="0" w:space="0" w:color="auto"/>
        <w:right w:val="none" w:sz="0" w:space="0" w:color="auto"/>
      </w:divBdr>
    </w:div>
    <w:div w:id="216476552">
      <w:bodyDiv w:val="1"/>
      <w:marLeft w:val="0"/>
      <w:marRight w:val="0"/>
      <w:marTop w:val="0"/>
      <w:marBottom w:val="0"/>
      <w:divBdr>
        <w:top w:val="none" w:sz="0" w:space="0" w:color="auto"/>
        <w:left w:val="none" w:sz="0" w:space="0" w:color="auto"/>
        <w:bottom w:val="none" w:sz="0" w:space="0" w:color="auto"/>
        <w:right w:val="none" w:sz="0" w:space="0" w:color="auto"/>
      </w:divBdr>
    </w:div>
    <w:div w:id="300499452">
      <w:bodyDiv w:val="1"/>
      <w:marLeft w:val="0"/>
      <w:marRight w:val="0"/>
      <w:marTop w:val="0"/>
      <w:marBottom w:val="0"/>
      <w:divBdr>
        <w:top w:val="none" w:sz="0" w:space="0" w:color="auto"/>
        <w:left w:val="none" w:sz="0" w:space="0" w:color="auto"/>
        <w:bottom w:val="none" w:sz="0" w:space="0" w:color="auto"/>
        <w:right w:val="none" w:sz="0" w:space="0" w:color="auto"/>
      </w:divBdr>
    </w:div>
    <w:div w:id="428428086">
      <w:bodyDiv w:val="1"/>
      <w:marLeft w:val="0"/>
      <w:marRight w:val="0"/>
      <w:marTop w:val="0"/>
      <w:marBottom w:val="0"/>
      <w:divBdr>
        <w:top w:val="none" w:sz="0" w:space="0" w:color="auto"/>
        <w:left w:val="none" w:sz="0" w:space="0" w:color="auto"/>
        <w:bottom w:val="none" w:sz="0" w:space="0" w:color="auto"/>
        <w:right w:val="none" w:sz="0" w:space="0" w:color="auto"/>
      </w:divBdr>
      <w:divsChild>
        <w:div w:id="1127702959">
          <w:marLeft w:val="0"/>
          <w:marRight w:val="0"/>
          <w:marTop w:val="0"/>
          <w:marBottom w:val="0"/>
          <w:divBdr>
            <w:top w:val="none" w:sz="0" w:space="0" w:color="auto"/>
            <w:left w:val="none" w:sz="0" w:space="0" w:color="auto"/>
            <w:bottom w:val="none" w:sz="0" w:space="0" w:color="auto"/>
            <w:right w:val="none" w:sz="0" w:space="0" w:color="auto"/>
          </w:divBdr>
          <w:divsChild>
            <w:div w:id="203334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78721">
      <w:bodyDiv w:val="1"/>
      <w:marLeft w:val="0"/>
      <w:marRight w:val="0"/>
      <w:marTop w:val="0"/>
      <w:marBottom w:val="0"/>
      <w:divBdr>
        <w:top w:val="none" w:sz="0" w:space="0" w:color="auto"/>
        <w:left w:val="none" w:sz="0" w:space="0" w:color="auto"/>
        <w:bottom w:val="none" w:sz="0" w:space="0" w:color="auto"/>
        <w:right w:val="none" w:sz="0" w:space="0" w:color="auto"/>
      </w:divBdr>
    </w:div>
    <w:div w:id="733821903">
      <w:bodyDiv w:val="1"/>
      <w:marLeft w:val="0"/>
      <w:marRight w:val="0"/>
      <w:marTop w:val="0"/>
      <w:marBottom w:val="0"/>
      <w:divBdr>
        <w:top w:val="none" w:sz="0" w:space="0" w:color="auto"/>
        <w:left w:val="none" w:sz="0" w:space="0" w:color="auto"/>
        <w:bottom w:val="none" w:sz="0" w:space="0" w:color="auto"/>
        <w:right w:val="none" w:sz="0" w:space="0" w:color="auto"/>
      </w:divBdr>
      <w:divsChild>
        <w:div w:id="1049693316">
          <w:marLeft w:val="0"/>
          <w:marRight w:val="0"/>
          <w:marTop w:val="0"/>
          <w:marBottom w:val="0"/>
          <w:divBdr>
            <w:top w:val="none" w:sz="0" w:space="0" w:color="auto"/>
            <w:left w:val="none" w:sz="0" w:space="0" w:color="auto"/>
            <w:bottom w:val="none" w:sz="0" w:space="0" w:color="auto"/>
            <w:right w:val="none" w:sz="0" w:space="0" w:color="auto"/>
          </w:divBdr>
          <w:divsChild>
            <w:div w:id="201511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041128">
      <w:bodyDiv w:val="1"/>
      <w:marLeft w:val="0"/>
      <w:marRight w:val="0"/>
      <w:marTop w:val="0"/>
      <w:marBottom w:val="0"/>
      <w:divBdr>
        <w:top w:val="none" w:sz="0" w:space="0" w:color="auto"/>
        <w:left w:val="none" w:sz="0" w:space="0" w:color="auto"/>
        <w:bottom w:val="none" w:sz="0" w:space="0" w:color="auto"/>
        <w:right w:val="none" w:sz="0" w:space="0" w:color="auto"/>
      </w:divBdr>
      <w:divsChild>
        <w:div w:id="1490368859">
          <w:marLeft w:val="0"/>
          <w:marRight w:val="0"/>
          <w:marTop w:val="0"/>
          <w:marBottom w:val="0"/>
          <w:divBdr>
            <w:top w:val="none" w:sz="0" w:space="0" w:color="auto"/>
            <w:left w:val="none" w:sz="0" w:space="0" w:color="auto"/>
            <w:bottom w:val="none" w:sz="0" w:space="0" w:color="auto"/>
            <w:right w:val="none" w:sz="0" w:space="0" w:color="auto"/>
          </w:divBdr>
          <w:divsChild>
            <w:div w:id="4865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41603">
      <w:bodyDiv w:val="1"/>
      <w:marLeft w:val="0"/>
      <w:marRight w:val="0"/>
      <w:marTop w:val="0"/>
      <w:marBottom w:val="0"/>
      <w:divBdr>
        <w:top w:val="none" w:sz="0" w:space="0" w:color="auto"/>
        <w:left w:val="none" w:sz="0" w:space="0" w:color="auto"/>
        <w:bottom w:val="none" w:sz="0" w:space="0" w:color="auto"/>
        <w:right w:val="none" w:sz="0" w:space="0" w:color="auto"/>
      </w:divBdr>
    </w:div>
    <w:div w:id="925303449">
      <w:bodyDiv w:val="1"/>
      <w:marLeft w:val="0"/>
      <w:marRight w:val="0"/>
      <w:marTop w:val="0"/>
      <w:marBottom w:val="0"/>
      <w:divBdr>
        <w:top w:val="none" w:sz="0" w:space="0" w:color="auto"/>
        <w:left w:val="none" w:sz="0" w:space="0" w:color="auto"/>
        <w:bottom w:val="none" w:sz="0" w:space="0" w:color="auto"/>
        <w:right w:val="none" w:sz="0" w:space="0" w:color="auto"/>
      </w:divBdr>
      <w:divsChild>
        <w:div w:id="1495754414">
          <w:marLeft w:val="0"/>
          <w:marRight w:val="0"/>
          <w:marTop w:val="0"/>
          <w:marBottom w:val="0"/>
          <w:divBdr>
            <w:top w:val="none" w:sz="0" w:space="0" w:color="auto"/>
            <w:left w:val="none" w:sz="0" w:space="0" w:color="auto"/>
            <w:bottom w:val="none" w:sz="0" w:space="0" w:color="auto"/>
            <w:right w:val="none" w:sz="0" w:space="0" w:color="auto"/>
          </w:divBdr>
          <w:divsChild>
            <w:div w:id="26955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38208">
      <w:bodyDiv w:val="1"/>
      <w:marLeft w:val="0"/>
      <w:marRight w:val="0"/>
      <w:marTop w:val="0"/>
      <w:marBottom w:val="0"/>
      <w:divBdr>
        <w:top w:val="none" w:sz="0" w:space="0" w:color="auto"/>
        <w:left w:val="none" w:sz="0" w:space="0" w:color="auto"/>
        <w:bottom w:val="none" w:sz="0" w:space="0" w:color="auto"/>
        <w:right w:val="none" w:sz="0" w:space="0" w:color="auto"/>
      </w:divBdr>
      <w:divsChild>
        <w:div w:id="1515655958">
          <w:marLeft w:val="0"/>
          <w:marRight w:val="0"/>
          <w:marTop w:val="0"/>
          <w:marBottom w:val="0"/>
          <w:divBdr>
            <w:top w:val="none" w:sz="0" w:space="0" w:color="auto"/>
            <w:left w:val="none" w:sz="0" w:space="0" w:color="auto"/>
            <w:bottom w:val="none" w:sz="0" w:space="0" w:color="auto"/>
            <w:right w:val="none" w:sz="0" w:space="0" w:color="auto"/>
          </w:divBdr>
          <w:divsChild>
            <w:div w:id="68914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73552">
      <w:bodyDiv w:val="1"/>
      <w:marLeft w:val="0"/>
      <w:marRight w:val="0"/>
      <w:marTop w:val="0"/>
      <w:marBottom w:val="0"/>
      <w:divBdr>
        <w:top w:val="none" w:sz="0" w:space="0" w:color="auto"/>
        <w:left w:val="none" w:sz="0" w:space="0" w:color="auto"/>
        <w:bottom w:val="none" w:sz="0" w:space="0" w:color="auto"/>
        <w:right w:val="none" w:sz="0" w:space="0" w:color="auto"/>
      </w:divBdr>
      <w:divsChild>
        <w:div w:id="258414529">
          <w:marLeft w:val="0"/>
          <w:marRight w:val="0"/>
          <w:marTop w:val="0"/>
          <w:marBottom w:val="0"/>
          <w:divBdr>
            <w:top w:val="none" w:sz="0" w:space="0" w:color="auto"/>
            <w:left w:val="none" w:sz="0" w:space="0" w:color="auto"/>
            <w:bottom w:val="none" w:sz="0" w:space="0" w:color="auto"/>
            <w:right w:val="none" w:sz="0" w:space="0" w:color="auto"/>
          </w:divBdr>
          <w:divsChild>
            <w:div w:id="2602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95766">
      <w:bodyDiv w:val="1"/>
      <w:marLeft w:val="0"/>
      <w:marRight w:val="0"/>
      <w:marTop w:val="0"/>
      <w:marBottom w:val="0"/>
      <w:divBdr>
        <w:top w:val="none" w:sz="0" w:space="0" w:color="auto"/>
        <w:left w:val="none" w:sz="0" w:space="0" w:color="auto"/>
        <w:bottom w:val="none" w:sz="0" w:space="0" w:color="auto"/>
        <w:right w:val="none" w:sz="0" w:space="0" w:color="auto"/>
      </w:divBdr>
      <w:divsChild>
        <w:div w:id="127093868">
          <w:marLeft w:val="0"/>
          <w:marRight w:val="0"/>
          <w:marTop w:val="0"/>
          <w:marBottom w:val="0"/>
          <w:divBdr>
            <w:top w:val="none" w:sz="0" w:space="0" w:color="auto"/>
            <w:left w:val="none" w:sz="0" w:space="0" w:color="auto"/>
            <w:bottom w:val="none" w:sz="0" w:space="0" w:color="auto"/>
            <w:right w:val="none" w:sz="0" w:space="0" w:color="auto"/>
          </w:divBdr>
          <w:divsChild>
            <w:div w:id="188416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056607">
      <w:bodyDiv w:val="1"/>
      <w:marLeft w:val="0"/>
      <w:marRight w:val="0"/>
      <w:marTop w:val="0"/>
      <w:marBottom w:val="0"/>
      <w:divBdr>
        <w:top w:val="none" w:sz="0" w:space="0" w:color="auto"/>
        <w:left w:val="none" w:sz="0" w:space="0" w:color="auto"/>
        <w:bottom w:val="none" w:sz="0" w:space="0" w:color="auto"/>
        <w:right w:val="none" w:sz="0" w:space="0" w:color="auto"/>
      </w:divBdr>
    </w:div>
    <w:div w:id="2133816837">
      <w:bodyDiv w:val="1"/>
      <w:marLeft w:val="0"/>
      <w:marRight w:val="0"/>
      <w:marTop w:val="0"/>
      <w:marBottom w:val="0"/>
      <w:divBdr>
        <w:top w:val="none" w:sz="0" w:space="0" w:color="auto"/>
        <w:left w:val="none" w:sz="0" w:space="0" w:color="auto"/>
        <w:bottom w:val="none" w:sz="0" w:space="0" w:color="auto"/>
        <w:right w:val="none" w:sz="0" w:space="0" w:color="auto"/>
      </w:divBdr>
      <w:divsChild>
        <w:div w:id="26568000">
          <w:marLeft w:val="0"/>
          <w:marRight w:val="0"/>
          <w:marTop w:val="0"/>
          <w:marBottom w:val="0"/>
          <w:divBdr>
            <w:top w:val="none" w:sz="0" w:space="0" w:color="auto"/>
            <w:left w:val="none" w:sz="0" w:space="0" w:color="auto"/>
            <w:bottom w:val="none" w:sz="0" w:space="0" w:color="auto"/>
            <w:right w:val="none" w:sz="0" w:space="0" w:color="auto"/>
          </w:divBdr>
          <w:divsChild>
            <w:div w:id="70379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624</Words>
  <Characters>3561</Characters>
  <Application>Microsoft Office Word</Application>
  <DocSecurity>0</DocSecurity>
  <Lines>29</Lines>
  <Paragraphs>8</Paragraphs>
  <ScaleCrop>false</ScaleCrop>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Bingbing Li</dc:creator>
  <cp:keywords/>
  <dc:description/>
  <cp:lastModifiedBy>Bingbing Li</cp:lastModifiedBy>
  <cp:revision>3</cp:revision>
  <dcterms:created xsi:type="dcterms:W3CDTF">2026-07-04T10:36:00Z</dcterms:created>
  <dcterms:modified xsi:type="dcterms:W3CDTF">2026-07-04T11:13:00Z</dcterms:modified>
</cp:coreProperties>
</file>