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52"/>
        </w:rPr>
        <w:t>AI Validation Capability Pack</w:t>
      </w:r>
    </w:p>
    <w:p>
      <w:pPr>
        <w:jc w:val="center"/>
      </w:pPr>
      <w:r>
        <w:rPr>
          <w:rFonts w:ascii="Aptos" w:hAnsi="Aptos"/>
          <w:b/>
          <w:color w:val="005A32"/>
          <w:sz w:val="34"/>
        </w:rPr>
        <w:t>AI Tech &amp; Tooling</w:t>
      </w:r>
    </w:p>
    <w:p/>
    <w:tbl>
      <w:tblPr>
        <w:tblStyle w:val="TableGrid"/>
        <w:tblW w:type="auto" w:w="0"/>
        <w:jc w:val="center"/>
        <w:tblLook w:firstColumn="1" w:firstRow="1" w:lastColumn="0" w:lastRow="0" w:noHBand="0" w:noVBand="1" w:val="04A0"/>
      </w:tblPr>
      <w:tblGrid>
        <w:gridCol w:w="5040"/>
        <w:gridCol w:w="5040"/>
      </w:tblGrid>
      <w:tr>
        <w:tc>
          <w:tcPr>
            <w:tcW w:type="dxa" w:w="5040"/>
            <w:shd w:fill="EAF4EE"/>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b/>
                <w:color w:val="202020"/>
                <w:sz w:val="18"/>
              </w:rPr>
              <w:t>Document owner</w:t>
            </w:r>
          </w:p>
        </w:tc>
        <w:tc>
          <w:tcPr>
            <w:tcW w:type="dxa" w:w="5040"/>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shd w:fill="FFFFFF"/>
          </w:tcPr>
          <w:p>
            <w:pPr>
              <w:spacing w:after="30" w:line="240" w:lineRule="auto"/>
            </w:pPr>
            <w:r>
              <w:rPr>
                <w:rFonts w:ascii="Aptos" w:hAnsi="Aptos"/>
                <w:color w:val="202020"/>
                <w:sz w:val="18"/>
              </w:rPr>
              <w:t>MRO AI Tech &amp; Tooling</w:t>
            </w:r>
          </w:p>
        </w:tc>
      </w:tr>
      <w:tr>
        <w:tc>
          <w:tcPr>
            <w:tcW w:type="dxa" w:w="5040"/>
            <w:shd w:fill="EAF4EE"/>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b/>
                <w:color w:val="202020"/>
                <w:sz w:val="18"/>
              </w:rPr>
              <w:t>Primary users</w:t>
            </w:r>
          </w:p>
        </w:tc>
        <w:tc>
          <w:tcPr>
            <w:tcW w:type="dxa" w:w="5040"/>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shd w:fill="FFFFFF"/>
          </w:tcPr>
          <w:p>
            <w:pPr>
              <w:spacing w:after="30" w:line="240" w:lineRule="auto"/>
            </w:pPr>
            <w:r>
              <w:rPr>
                <w:rFonts w:ascii="Aptos" w:hAnsi="Aptos"/>
                <w:color w:val="202020"/>
                <w:sz w:val="18"/>
              </w:rPr>
              <w:t>AI Independent Validation Team</w:t>
            </w:r>
          </w:p>
        </w:tc>
      </w:tr>
      <w:tr>
        <w:tc>
          <w:tcPr>
            <w:tcW w:type="dxa" w:w="5040"/>
            <w:shd w:fill="EAF4EE"/>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b/>
                <w:color w:val="202020"/>
                <w:sz w:val="18"/>
              </w:rPr>
              <w:t>Audience</w:t>
            </w:r>
          </w:p>
        </w:tc>
        <w:tc>
          <w:tcPr>
            <w:tcW w:type="dxa" w:w="5040"/>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shd w:fill="FFFFFF"/>
          </w:tcPr>
          <w:p>
            <w:pPr>
              <w:spacing w:after="30" w:line="240" w:lineRule="auto"/>
            </w:pPr>
            <w:r>
              <w:rPr>
                <w:rFonts w:ascii="Aptos" w:hAnsi="Aptos"/>
                <w:color w:val="202020"/>
                <w:sz w:val="18"/>
              </w:rPr>
              <w:t>Group Audit / MRO Leadership</w:t>
            </w:r>
          </w:p>
        </w:tc>
      </w:tr>
      <w:tr>
        <w:tc>
          <w:tcPr>
            <w:tcW w:type="dxa" w:w="5040"/>
            <w:shd w:fill="EAF4EE"/>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b/>
                <w:color w:val="202020"/>
                <w:sz w:val="18"/>
              </w:rPr>
              <w:t>Version</w:t>
            </w:r>
          </w:p>
        </w:tc>
        <w:tc>
          <w:tcPr>
            <w:tcW w:type="dxa" w:w="5040"/>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shd w:fill="FFFFFF"/>
          </w:tcPr>
          <w:p>
            <w:pPr>
              <w:spacing w:after="30" w:line="240" w:lineRule="auto"/>
            </w:pPr>
            <w:r>
              <w:rPr>
                <w:rFonts w:ascii="Aptos" w:hAnsi="Aptos"/>
                <w:color w:val="202020"/>
                <w:sz w:val="18"/>
              </w:rPr>
              <w:t>[x.x]</w:t>
            </w:r>
          </w:p>
        </w:tc>
      </w:tr>
      <w:tr>
        <w:tc>
          <w:tcPr>
            <w:tcW w:type="dxa" w:w="5040"/>
            <w:shd w:fill="EAF4EE"/>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b/>
                <w:color w:val="202020"/>
                <w:sz w:val="18"/>
              </w:rPr>
              <w:t>Date</w:t>
            </w:r>
          </w:p>
        </w:tc>
        <w:tc>
          <w:tcPr>
            <w:tcW w:type="dxa" w:w="5040"/>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shd w:fill="FFFFFF"/>
          </w:tcPr>
          <w:p>
            <w:pPr>
              <w:spacing w:after="30" w:line="240" w:lineRule="auto"/>
            </w:pPr>
            <w:r>
              <w:rPr>
                <w:rFonts w:ascii="Aptos" w:hAnsi="Aptos"/>
                <w:color w:val="202020"/>
                <w:sz w:val="18"/>
              </w:rPr>
              <w:t>[dd mmm yyyy]</w:t>
            </w:r>
          </w:p>
        </w:tc>
      </w:tr>
      <w:tr>
        <w:tc>
          <w:tcPr>
            <w:tcW w:type="dxa" w:w="5040"/>
            <w:shd w:fill="EAF4EE"/>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b/>
                <w:color w:val="202020"/>
                <w:sz w:val="18"/>
              </w:rPr>
              <w:t>Status</w:t>
            </w:r>
          </w:p>
        </w:tc>
        <w:tc>
          <w:tcPr>
            <w:tcW w:type="dxa" w:w="5040"/>
            <w:tcMar>
              <w:top w:w="90" w:type="dxa"/>
              <w:start w:w="100" w:type="dxa"/>
              <w:bottom w:w="90" w:type="dxa"/>
              <w:end w:w="100" w:type="dxa"/>
            </w:tcMar>
            <w:vAlign w:val="top"/>
            <w:tcBorders>
              <w:top w:val="single" w:sz="4" w:color="8A8A8A"/>
              <w:left w:val="single" w:sz="4" w:color="8A8A8A"/>
              <w:bottom w:val="single" w:sz="4" w:color="8A8A8A"/>
              <w:right w:val="single" w:sz="4" w:color="8A8A8A"/>
              <w:insideH w:val="single" w:sz="4" w:color="8A8A8A"/>
              <w:insideV w:val="single" w:sz="4" w:color="8A8A8A"/>
            </w:tcBorders>
            <w:shd w:fill="FFFFFF"/>
          </w:tcPr>
          <w:p>
            <w:pPr>
              <w:spacing w:after="30" w:line="240" w:lineRule="auto"/>
            </w:pPr>
            <w:r>
              <w:rPr>
                <w:rFonts w:ascii="Aptos" w:hAnsi="Aptos"/>
                <w:color w:val="202020"/>
                <w:sz w:val="18"/>
              </w:rPr>
              <w:t>[Draft / Approved for Audit Sharing]</w:t>
            </w:r>
          </w:p>
        </w:tc>
      </w:tr>
    </w:tbl>
    <w:p/>
    <w:tbl>
      <w:tblPr>
        <w:tblStyle w:val="TableGrid"/>
        <w:tblW w:type="auto" w:w="0"/>
        <w:jc w:val="center"/>
        <w:tblLook w:firstColumn="1" w:firstRow="1" w:lastColumn="0" w:lastRow="0" w:noHBand="0" w:noVBand="1" w:val="04A0"/>
      </w:tblPr>
      <w:tblGrid>
        <w:gridCol w:w="10080"/>
      </w:tblGrid>
      <w:tr>
        <w:tc>
          <w:tcPr>
            <w:tcW w:type="dxa" w:w="10080"/>
            <w:shd w:fill="EAF4EE"/>
            <w:tcMar>
              <w:top w:w="120" w:type="dxa"/>
              <w:start w:w="120" w:type="dxa"/>
              <w:bottom w:w="120" w:type="dxa"/>
              <w:end w:w="120" w:type="dxa"/>
            </w:tcMar>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pPr>
            <w:r>
              <w:rPr>
                <w:rFonts w:ascii="Aptos" w:hAnsi="Aptos"/>
                <w:b/>
                <w:color w:val="005A32"/>
                <w:sz w:val="16"/>
              </w:rPr>
              <w:t xml:space="preserve">Document status: </w:t>
            </w:r>
            <w:r>
              <w:rPr>
                <w:rFonts w:ascii="Aptos" w:hAnsi="Aptos"/>
                <w:color w:val="202020"/>
                <w:sz w:val="16"/>
              </w:rPr>
              <w:t>This document is a working template for review and completion. Bracketed placeholders and example evidence references should be updated before any external sharing.</w:t>
            </w:r>
          </w:p>
        </w:tc>
      </w:tr>
    </w:tbl>
    <w:p/>
    <w:p>
      <w:r>
        <w:rPr>
          <w:rFonts w:ascii="Aptos" w:hAnsi="Aptos"/>
          <w:sz w:val="18"/>
        </w:rPr>
        <w:br w:type="page"/>
      </w:r>
    </w:p>
    <w:p>
      <w:pPr>
        <w:pStyle w:val="Heading1"/>
        <w:keepNext/>
        <w:shd w:fill="007A3D"/>
        <w:spacing w:before="180" w:after="100"/>
        <w:ind w:left="58" w:right="58"/>
      </w:pPr>
      <w:r>
        <w:rPr>
          <w:b/>
          <w:color w:val="FFFFFF"/>
          <w:sz w:val="25"/>
        </w:rPr>
        <w:t>Contents</w:t>
      </w:r>
    </w:p>
    <w:p>
      <w:pPr>
        <w:spacing w:after="20"/>
      </w:pPr>
      <w:r>
        <w:rPr>
          <w:rFonts w:ascii="Aptos" w:hAnsi="Aptos"/>
          <w:sz w:val="18"/>
        </w:rPr>
        <w:t>1. Executive Summary</w:t>
      </w:r>
    </w:p>
    <w:p>
      <w:pPr>
        <w:spacing w:after="20"/>
      </w:pPr>
      <w:r>
        <w:rPr>
          <w:rFonts w:ascii="Aptos" w:hAnsi="Aptos"/>
          <w:sz w:val="18"/>
        </w:rPr>
        <w:t>2. Purpose of the Capability Pack</w:t>
      </w:r>
    </w:p>
    <w:p>
      <w:pPr>
        <w:spacing w:after="20"/>
      </w:pPr>
      <w:r>
        <w:rPr>
          <w:rFonts w:ascii="Aptos" w:hAnsi="Aptos"/>
          <w:sz w:val="18"/>
        </w:rPr>
        <w:t>3. Evidence and Analysis Basis</w:t>
      </w:r>
    </w:p>
    <w:p>
      <w:pPr>
        <w:spacing w:after="20"/>
      </w:pPr>
      <w:r>
        <w:rPr>
          <w:rFonts w:ascii="Aptos" w:hAnsi="Aptos"/>
          <w:sz w:val="18"/>
        </w:rPr>
        <w:t>4. Scope</w:t>
      </w:r>
    </w:p>
    <w:p>
      <w:pPr>
        <w:spacing w:after="20"/>
      </w:pPr>
      <w:r>
        <w:rPr>
          <w:rFonts w:ascii="Aptos" w:hAnsi="Aptos"/>
          <w:sz w:val="18"/>
        </w:rPr>
        <w:t>5. Relationship with MRO Independent Validation</w:t>
      </w:r>
    </w:p>
    <w:p>
      <w:pPr>
        <w:spacing w:after="20"/>
      </w:pPr>
      <w:r>
        <w:rPr>
          <w:rFonts w:ascii="Aptos" w:hAnsi="Aptos"/>
          <w:sz w:val="18"/>
        </w:rPr>
        <w:t>6. Current Delivery and Pilot Model</w:t>
      </w:r>
    </w:p>
    <w:p>
      <w:pPr>
        <w:spacing w:after="20"/>
      </w:pPr>
      <w:r>
        <w:rPr>
          <w:rFonts w:ascii="Aptos" w:hAnsi="Aptos"/>
          <w:sz w:val="18"/>
        </w:rPr>
        <w:t>7. AI Validation Technical Capability Catalogue</w:t>
      </w:r>
    </w:p>
    <w:p>
      <w:pPr>
        <w:spacing w:after="20"/>
      </w:pPr>
      <w:r>
        <w:rPr>
          <w:rFonts w:ascii="Aptos" w:hAnsi="Aptos"/>
          <w:sz w:val="18"/>
        </w:rPr>
        <w:t>8. Coverage Summary by AI Type</w:t>
      </w:r>
    </w:p>
    <w:p>
      <w:pPr>
        <w:spacing w:after="20"/>
      </w:pPr>
      <w:r>
        <w:rPr>
          <w:rFonts w:ascii="Aptos" w:hAnsi="Aptos"/>
          <w:sz w:val="18"/>
        </w:rPr>
        <w:t>9. Representative Evidence Mapping</w:t>
      </w:r>
    </w:p>
    <w:p>
      <w:pPr>
        <w:spacing w:after="20"/>
      </w:pPr>
      <w:r>
        <w:rPr>
          <w:rFonts w:ascii="Aptos" w:hAnsi="Aptos"/>
          <w:sz w:val="18"/>
        </w:rPr>
        <w:t>10. Validation Capability Architecture</w:t>
      </w:r>
    </w:p>
    <w:p>
      <w:pPr>
        <w:spacing w:after="20"/>
      </w:pPr>
      <w:r>
        <w:rPr>
          <w:rFonts w:ascii="Aptos" w:hAnsi="Aptos"/>
          <w:sz w:val="18"/>
        </w:rPr>
        <w:t>11. Configurability and Extensibility</w:t>
      </w:r>
    </w:p>
    <w:p>
      <w:pPr>
        <w:spacing w:after="20"/>
      </w:pPr>
      <w:r>
        <w:rPr>
          <w:rFonts w:ascii="Aptos" w:hAnsi="Aptos"/>
          <w:sz w:val="18"/>
        </w:rPr>
        <w:t>12. Current Agentic AI Validation Capability</w:t>
      </w:r>
    </w:p>
    <w:p>
      <w:pPr>
        <w:spacing w:after="20"/>
      </w:pPr>
      <w:r>
        <w:rPr>
          <w:rFonts w:ascii="Aptos" w:hAnsi="Aptos"/>
          <w:sz w:val="18"/>
        </w:rPr>
        <w:t>13. Tool Adequacy and Fitness-for-Purpose Approach</w:t>
      </w:r>
    </w:p>
    <w:p>
      <w:pPr>
        <w:spacing w:after="20"/>
      </w:pPr>
      <w:r>
        <w:rPr>
          <w:rFonts w:ascii="Aptos" w:hAnsi="Aptos"/>
          <w:sz w:val="18"/>
        </w:rPr>
        <w:t>14. Capability Verification Summary</w:t>
      </w:r>
    </w:p>
    <w:p>
      <w:pPr>
        <w:spacing w:after="20"/>
      </w:pPr>
      <w:r>
        <w:rPr>
          <w:rFonts w:ascii="Aptos" w:hAnsi="Aptos"/>
          <w:sz w:val="18"/>
        </w:rPr>
        <w:t>15. Representative Executable Audit Evidence</w:t>
      </w:r>
    </w:p>
    <w:p>
      <w:pPr>
        <w:spacing w:after="20"/>
      </w:pPr>
      <w:r>
        <w:rPr>
          <w:rFonts w:ascii="Aptos" w:hAnsi="Aptos"/>
          <w:sz w:val="18"/>
        </w:rPr>
        <w:t>16. Evidence from Completed Independent Validation</w:t>
      </w:r>
    </w:p>
    <w:p>
      <w:pPr>
        <w:spacing w:after="20"/>
      </w:pPr>
      <w:r>
        <w:rPr>
          <w:rFonts w:ascii="Aptos" w:hAnsi="Aptos"/>
          <w:sz w:val="18"/>
        </w:rPr>
        <w:t>17. Benchmarking and Industry Alignment</w:t>
      </w:r>
    </w:p>
    <w:p>
      <w:pPr>
        <w:spacing w:after="20"/>
      </w:pPr>
      <w:r>
        <w:rPr>
          <w:rFonts w:ascii="Aptos" w:hAnsi="Aptos"/>
          <w:sz w:val="18"/>
        </w:rPr>
        <w:t>18. Governance and Ownership</w:t>
      </w:r>
    </w:p>
    <w:p>
      <w:pPr>
        <w:spacing w:after="20"/>
      </w:pPr>
      <w:r>
        <w:rPr>
          <w:rFonts w:ascii="Aptos" w:hAnsi="Aptos"/>
          <w:sz w:val="18"/>
        </w:rPr>
        <w:t>19. Change and Enhancement Approach</w:t>
      </w:r>
    </w:p>
    <w:p>
      <w:pPr>
        <w:spacing w:after="20"/>
      </w:pPr>
      <w:r>
        <w:rPr>
          <w:rFonts w:ascii="Aptos" w:hAnsi="Aptos"/>
          <w:sz w:val="18"/>
        </w:rPr>
        <w:t>20. Current Limitations</w:t>
      </w:r>
    </w:p>
    <w:p>
      <w:pPr>
        <w:spacing w:after="20"/>
      </w:pPr>
      <w:r>
        <w:rPr>
          <w:rFonts w:ascii="Aptos" w:hAnsi="Aptos"/>
          <w:sz w:val="18"/>
        </w:rPr>
        <w:t>21. Capability Roadmap</w:t>
      </w:r>
    </w:p>
    <w:p>
      <w:pPr>
        <w:spacing w:after="20"/>
      </w:pPr>
      <w:r>
        <w:rPr>
          <w:rFonts w:ascii="Aptos" w:hAnsi="Aptos"/>
          <w:sz w:val="18"/>
        </w:rPr>
        <w:t>22. Audit Evidence Model</w:t>
      </w:r>
    </w:p>
    <w:p>
      <w:pPr>
        <w:spacing w:after="20"/>
      </w:pPr>
      <w:r>
        <w:rPr>
          <w:rFonts w:ascii="Aptos" w:hAnsi="Aptos"/>
          <w:sz w:val="18"/>
        </w:rPr>
        <w:t>23. Audit Requirement Mapping</w:t>
      </w:r>
    </w:p>
    <w:p>
      <w:pPr>
        <w:spacing w:after="20"/>
      </w:pPr>
      <w:r>
        <w:rPr>
          <w:rFonts w:ascii="Aptos" w:hAnsi="Aptos"/>
          <w:sz w:val="18"/>
        </w:rPr>
        <w:t>24. Key Conclusions</w:t>
      </w:r>
    </w:p>
    <w:p>
      <w:pPr>
        <w:spacing w:after="20"/>
      </w:pPr>
      <w:r>
        <w:rPr>
          <w:rFonts w:ascii="Aptos" w:hAnsi="Aptos"/>
          <w:sz w:val="18"/>
        </w:rPr>
        <w:t>Appendix A – Platform Testing Gap Analysis</w:t>
      </w:r>
    </w:p>
    <w:p>
      <w:pPr>
        <w:spacing w:after="20"/>
      </w:pPr>
      <w:r>
        <w:rPr>
          <w:rFonts w:ascii="Aptos" w:hAnsi="Aptos"/>
          <w:sz w:val="18"/>
        </w:rPr>
        <w:t>Appendix B – Detailed Capability Catalogue</w:t>
      </w:r>
    </w:p>
    <w:p>
      <w:pPr>
        <w:spacing w:after="20"/>
      </w:pPr>
      <w:r>
        <w:rPr>
          <w:rFonts w:ascii="Aptos" w:hAnsi="Aptos"/>
          <w:sz w:val="18"/>
        </w:rPr>
        <w:t>Appendix C – Representative Evidence Mapping</w:t>
      </w:r>
    </w:p>
    <w:p>
      <w:pPr>
        <w:spacing w:after="20"/>
      </w:pPr>
      <w:r>
        <w:rPr>
          <w:rFonts w:ascii="Aptos" w:hAnsi="Aptos"/>
          <w:sz w:val="18"/>
        </w:rPr>
        <w:t>Appendix D – Representative Audit Technical Pack</w:t>
      </w:r>
    </w:p>
    <w:p>
      <w:pPr>
        <w:spacing w:after="20"/>
      </w:pPr>
      <w:r>
        <w:rPr>
          <w:rFonts w:ascii="Aptos" w:hAnsi="Aptos"/>
          <w:sz w:val="18"/>
        </w:rPr>
        <w:t>Appendix E – Completed Validation Evidence</w:t>
      </w:r>
    </w:p>
    <w:p>
      <w:pPr>
        <w:spacing w:after="20"/>
      </w:pPr>
      <w:r>
        <w:rPr>
          <w:rFonts w:ascii="Aptos" w:hAnsi="Aptos"/>
          <w:sz w:val="18"/>
        </w:rPr>
        <w:t>Appendix F – Capability Verification Summary</w:t>
      </w:r>
    </w:p>
    <w:p>
      <w:pPr>
        <w:spacing w:after="20"/>
      </w:pPr>
      <w:r>
        <w:rPr>
          <w:rFonts w:ascii="Aptos" w:hAnsi="Aptos"/>
          <w:sz w:val="18"/>
        </w:rPr>
        <w:t>Appendix G – Supporting Architecture</w:t>
      </w:r>
    </w:p>
    <w:p>
      <w:pPr>
        <w:spacing w:after="20"/>
      </w:pPr>
      <w:r>
        <w:rPr>
          <w:rFonts w:ascii="Aptos" w:hAnsi="Aptos"/>
          <w:sz w:val="18"/>
        </w:rPr>
        <w:t>Guidance to the Document Author</w:t>
      </w:r>
    </w:p>
    <w:p>
      <w:r>
        <w:rPr>
          <w:rFonts w:ascii="Aptos" w:hAnsi="Aptos"/>
          <w:sz w:val="18"/>
        </w:rPr>
        <w:br w:type="page"/>
      </w:r>
    </w:p>
    <w:p>
      <w:pPr>
        <w:pStyle w:val="Heading1"/>
        <w:keepNext/>
        <w:shd w:fill="007A3D"/>
        <w:spacing w:before="180" w:after="100"/>
        <w:ind w:left="58" w:right="58"/>
      </w:pPr>
      <w:r>
        <w:rPr>
          <w:b/>
          <w:color w:val="FFFFFF"/>
          <w:sz w:val="25"/>
        </w:rPr>
        <w:t>1. Executive Summary</w:t>
      </w:r>
    </w:p>
    <w:p>
      <w:r>
        <w:rPr>
          <w:rFonts w:ascii="Aptos" w:hAnsi="Aptos"/>
          <w:sz w:val="18"/>
        </w:rPr>
        <w:t>MRO has established a substantive and growing technical AI validation capability to support independent validation of Generative AI, Retrieval-Augmented Generation (RAG) and emerging Agentic AI use cases.</w:t>
      </w:r>
    </w:p>
    <w:p>
      <w:r>
        <w:rPr>
          <w:rFonts w:ascii="Aptos" w:hAnsi="Aptos"/>
          <w:sz w:val="18"/>
        </w:rPr>
        <w:t>The capability is being developed iteratively and piloted with the AI Independent Validation Team (AI IVT). Selected capabilities are made available to validators to support testing, evaluation and evidence generation. The independent validator remains responsible for determining the validation scope, selecting and configuring appropriate testing, reviewing results and reaching the validation conclusion.</w:t>
      </w:r>
    </w:p>
    <w:p>
      <w:r>
        <w:rPr>
          <w:rFonts w:ascii="Aptos" w:hAnsi="Aptos"/>
          <w:sz w:val="18"/>
        </w:rPr>
        <w:t>The capability is organised around validation risks and reusable evaluation patterns, rather than around a fixed inventory of individual Python tools. This enables testing approaches, scenarios, evaluation criteria, prompts, thresholds and specialist evaluators to evolve as AI architectures and associated risks develop.</w:t>
      </w:r>
    </w:p>
    <w:p>
      <w:pPr>
        <w:pStyle w:val="ListBullet"/>
      </w:pPr>
      <w:r>
        <w:rPr>
          <w:rFonts w:ascii="Aptos" w:hAnsi="Aptos"/>
          <w:sz w:val="18"/>
        </w:rPr>
        <w:t>GenAI output quality and behavioural evaluation;</w:t>
      </w:r>
    </w:p>
    <w:p>
      <w:pPr>
        <w:pStyle w:val="ListBullet"/>
      </w:pPr>
      <w:r>
        <w:rPr>
          <w:rFonts w:ascii="Aptos" w:hAnsi="Aptos"/>
          <w:sz w:val="18"/>
        </w:rPr>
        <w:t>LLM-as-a-Judge evaluation;</w:t>
      </w:r>
    </w:p>
    <w:p>
      <w:pPr>
        <w:pStyle w:val="ListBullet"/>
      </w:pPr>
      <w:r>
        <w:rPr>
          <w:rFonts w:ascii="Aptos" w:hAnsi="Aptos"/>
          <w:sz w:val="18"/>
        </w:rPr>
        <w:t>guardrail and safety testing;</w:t>
      </w:r>
    </w:p>
    <w:p>
      <w:pPr>
        <w:pStyle w:val="ListBullet"/>
      </w:pPr>
      <w:r>
        <w:rPr>
          <w:rFonts w:ascii="Aptos" w:hAnsi="Aptos"/>
          <w:sz w:val="18"/>
        </w:rPr>
        <w:t>robustness and scenario-based testing;</w:t>
      </w:r>
    </w:p>
    <w:p>
      <w:pPr>
        <w:pStyle w:val="ListBullet"/>
      </w:pPr>
      <w:r>
        <w:rPr>
          <w:rFonts w:ascii="Aptos" w:hAnsi="Aptos"/>
          <w:sz w:val="18"/>
        </w:rPr>
        <w:t>synthetic and curated test-data generation;</w:t>
      </w:r>
    </w:p>
    <w:p>
      <w:pPr>
        <w:pStyle w:val="ListBullet"/>
      </w:pPr>
      <w:r>
        <w:rPr>
          <w:rFonts w:ascii="Aptos" w:hAnsi="Aptos"/>
          <w:sz w:val="18"/>
        </w:rPr>
        <w:t>RAG retrieval and groundedness evaluation;</w:t>
      </w:r>
    </w:p>
    <w:p>
      <w:pPr>
        <w:pStyle w:val="ListBullet"/>
      </w:pPr>
      <w:r>
        <w:rPr>
          <w:rFonts w:ascii="Aptos" w:hAnsi="Aptos"/>
          <w:sz w:val="18"/>
        </w:rPr>
        <w:t>evidence capture and reproducibility;</w:t>
      </w:r>
    </w:p>
    <w:p>
      <w:pPr>
        <w:pStyle w:val="ListBullet"/>
      </w:pPr>
      <w:r>
        <w:rPr>
          <w:rFonts w:ascii="Aptos" w:hAnsi="Aptos"/>
          <w:sz w:val="18"/>
        </w:rPr>
        <w:t>developing Agentic AI capabilities covering decision-making, tool use, trajectories and component-level behaviour.</w:t>
      </w:r>
    </w:p>
    <w:p>
      <w:r>
        <w:rPr>
          <w:rFonts w:ascii="Aptos" w:hAnsi="Aptos"/>
          <w:sz w:val="18"/>
        </w:rPr>
        <w:t>The detailed assessment of testing requirements and current/platform coverage has been informed by the AI / Agentic AI Platform Testing Gap Analysis developed by AI Tech &amp; Tooling. This detailed analysis is used as the underlying working assessment. For Audit purposes, the Capability Pack consolidates this into a smaller number of capability categories and representative evidence examples.</w:t>
      </w:r>
    </w:p>
    <w:p>
      <w:r>
        <w:rPr>
          <w:rFonts w:ascii="Aptos" w:hAnsi="Aptos"/>
          <w:sz w:val="18"/>
        </w:rPr>
        <w:t>The capability continues to mature. MRO is also working with PwC to further enhance the approach to evaluation methodology benchmarking and fitness-for-purpose assessment.</w:t>
      </w:r>
    </w:p>
    <w:tbl>
      <w:tblPr>
        <w:tblStyle w:val="TableGrid"/>
        <w:tblW w:type="auto" w:w="0"/>
        <w:jc w:val="center"/>
        <w:tblLook w:firstColumn="1" w:firstRow="1" w:lastColumn="0" w:lastRow="0" w:noHBand="0" w:noVBand="1" w:val="04A0"/>
      </w:tblPr>
      <w:tblGrid>
        <w:gridCol w:w="10080"/>
      </w:tblGrid>
      <w:tr>
        <w:tc>
          <w:tcPr>
            <w:tcW w:type="dxa" w:w="10080"/>
            <w:shd w:fill="EAF4EE"/>
            <w:tcMar>
              <w:top w:w="120" w:type="dxa"/>
              <w:start w:w="120" w:type="dxa"/>
              <w:bottom w:w="120" w:type="dxa"/>
              <w:end w:w="120" w:type="dxa"/>
            </w:tcMar>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pPr>
            <w:r>
              <w:rPr>
                <w:rFonts w:ascii="Aptos" w:hAnsi="Aptos"/>
                <w:b/>
                <w:color w:val="005A32"/>
                <w:sz w:val="16"/>
              </w:rPr>
              <w:t xml:space="preserve">Key Audit message: </w:t>
            </w:r>
            <w:r>
              <w:rPr>
                <w:rFonts w:ascii="Aptos" w:hAnsi="Aptos"/>
                <w:color w:val="202020"/>
                <w:sz w:val="16"/>
              </w:rPr>
              <w:t>The tooling supports independent validation but does not replace validator judgement or automatically determine validation conclusions.</w:t>
            </w:r>
          </w:p>
        </w:tc>
      </w:tr>
    </w:tbl>
    <w:p/>
    <w:p>
      <w:pPr>
        <w:pStyle w:val="Heading1"/>
        <w:keepNext/>
        <w:shd w:fill="007A3D"/>
        <w:spacing w:before="180" w:after="100"/>
        <w:ind w:left="58" w:right="58"/>
      </w:pPr>
      <w:r>
        <w:rPr>
          <w:b/>
          <w:color w:val="FFFFFF"/>
          <w:sz w:val="25"/>
        </w:rPr>
        <w:t>2. Purpose of the Capability Pack</w:t>
      </w:r>
    </w:p>
    <w:p>
      <w:r>
        <w:rPr>
          <w:rFonts w:ascii="Aptos" w:hAnsi="Aptos"/>
          <w:sz w:val="18"/>
        </w:rPr>
        <w:t>This document describes the technical AI validation capabilities developed and maintained by MRO AI Tech &amp; Tooling in support of independent validation performed by AI IVT.</w:t>
      </w:r>
    </w:p>
    <w:p>
      <w:r>
        <w:rPr>
          <w:rFonts w:ascii="Aptos" w:hAnsi="Aptos"/>
          <w:sz w:val="18"/>
        </w:rPr>
        <w:t>The objectives are to:</w:t>
      </w:r>
    </w:p>
    <w:p>
      <w:pPr>
        <w:pStyle w:val="ListNumber"/>
      </w:pPr>
      <w:r>
        <w:rPr>
          <w:rFonts w:ascii="Aptos" w:hAnsi="Aptos"/>
          <w:sz w:val="18"/>
        </w:rPr>
        <w:t>provide a consolidated view of current AI validation technical capabilities;</w:t>
      </w:r>
    </w:p>
    <w:p>
      <w:pPr>
        <w:pStyle w:val="ListNumber"/>
      </w:pPr>
      <w:r>
        <w:rPr>
          <w:rFonts w:ascii="Aptos" w:hAnsi="Aptos"/>
          <w:sz w:val="18"/>
        </w:rPr>
        <w:t>demonstrate coverage across relevant GenAI, RAG and Agentic AI validation risks;</w:t>
      </w:r>
    </w:p>
    <w:p>
      <w:pPr>
        <w:pStyle w:val="ListNumber"/>
      </w:pPr>
      <w:r>
        <w:rPr>
          <w:rFonts w:ascii="Aptos" w:hAnsi="Aptos"/>
          <w:sz w:val="18"/>
        </w:rPr>
        <w:t>explain current capability maturity and intended use;</w:t>
      </w:r>
    </w:p>
    <w:p>
      <w:pPr>
        <w:pStyle w:val="ListNumber"/>
      </w:pPr>
      <w:r>
        <w:rPr>
          <w:rFonts w:ascii="Aptos" w:hAnsi="Aptos"/>
          <w:sz w:val="18"/>
        </w:rPr>
        <w:t>demonstrate how tooling supports repeatable and evidence-based validation;</w:t>
      </w:r>
    </w:p>
    <w:p>
      <w:pPr>
        <w:pStyle w:val="ListNumber"/>
      </w:pPr>
      <w:r>
        <w:rPr>
          <w:rFonts w:ascii="Aptos" w:hAnsi="Aptos"/>
          <w:sz w:val="18"/>
        </w:rPr>
        <w:t>explain how current fitness for purpose is considered;</w:t>
      </w:r>
    </w:p>
    <w:p>
      <w:pPr>
        <w:pStyle w:val="ListNumber"/>
      </w:pPr>
      <w:r>
        <w:rPr>
          <w:rFonts w:ascii="Aptos" w:hAnsi="Aptos"/>
          <w:sz w:val="18"/>
        </w:rPr>
        <w:t>demonstrate how the architecture can evolve as AI risks and model architectures develop;</w:t>
      </w:r>
    </w:p>
    <w:p>
      <w:pPr>
        <w:pStyle w:val="ListNumber"/>
      </w:pPr>
      <w:r>
        <w:rPr>
          <w:rFonts w:ascii="Aptos" w:hAnsi="Aptos"/>
          <w:sz w:val="18"/>
        </w:rPr>
        <w:t>provide representative evidence supporting Audit review and technical re-performance;</w:t>
      </w:r>
    </w:p>
    <w:p>
      <w:pPr>
        <w:pStyle w:val="ListNumber"/>
      </w:pPr>
      <w:r>
        <w:rPr>
          <w:rFonts w:ascii="Aptos" w:hAnsi="Aptos"/>
          <w:sz w:val="18"/>
        </w:rPr>
        <w:t>distinguish clearly between capability used in completed validations, capability available for pilot use today, capability under development, and exploratory or future capability.</w:t>
      </w:r>
    </w:p>
    <w:p>
      <w:r>
        <w:rPr>
          <w:rFonts w:ascii="Aptos" w:hAnsi="Aptos"/>
          <w:sz w:val="18"/>
        </w:rPr>
        <w:t>This document focuses on AI validation technical capability. It does not replace MRM policy, Independent Validation Standards, GenAI guidance or independent validator judgement.</w:t>
      </w:r>
    </w:p>
    <w:p>
      <w:pPr>
        <w:pStyle w:val="Heading1"/>
        <w:keepNext/>
        <w:shd w:fill="007A3D"/>
        <w:spacing w:before="180" w:after="100"/>
        <w:ind w:left="58" w:right="58"/>
      </w:pPr>
      <w:r>
        <w:rPr>
          <w:b/>
          <w:color w:val="FFFFFF"/>
          <w:sz w:val="25"/>
        </w:rPr>
        <w:t>3. Evidence and Analysis Basis</w:t>
      </w:r>
    </w:p>
    <w:p>
      <w:pPr>
        <w:pStyle w:val="Heading2"/>
        <w:keepNext/>
        <w:pBdr>
          <w:bottom w:val="single" w:sz="8" w:space="0" w:color="007A3D"/>
        </w:pBdr>
      </w:pPr>
      <w:r>
        <w:rPr>
          <w:b/>
          <w:color w:val="005A32"/>
        </w:rPr>
        <w:t>3.1 Platform Testing Gap Analysis</w:t>
      </w:r>
    </w:p>
    <w:p>
      <w:r>
        <w:rPr>
          <w:rFonts w:ascii="Aptos" w:hAnsi="Aptos"/>
          <w:sz w:val="18"/>
        </w:rPr>
        <w:t>The AI / Agentic AI Platform Testing Gap Analysis developed by AI Tech &amp; Tooling is the primary detailed working analysis underpinning the capability assessment.</w:t>
      </w:r>
    </w:p>
    <w:p>
      <w:pPr>
        <w:pStyle w:val="ListBullet"/>
      </w:pPr>
      <w:r>
        <w:rPr>
          <w:rFonts w:ascii="Aptos" w:hAnsi="Aptos"/>
          <w:sz w:val="18"/>
        </w:rPr>
        <w:t>validation dimension and requirement;</w:t>
      </w:r>
    </w:p>
    <w:p>
      <w:pPr>
        <w:pStyle w:val="ListBullet"/>
      </w:pPr>
      <w:r>
        <w:rPr>
          <w:rFonts w:ascii="Aptos" w:hAnsi="Aptos"/>
          <w:sz w:val="18"/>
        </w:rPr>
        <w:t>validation approach;</w:t>
      </w:r>
    </w:p>
    <w:p>
      <w:pPr>
        <w:pStyle w:val="ListBullet"/>
      </w:pPr>
      <w:r>
        <w:rPr>
          <w:rFonts w:ascii="Aptos" w:hAnsi="Aptos"/>
          <w:sz w:val="18"/>
        </w:rPr>
        <w:t>examples and expected testing;</w:t>
      </w:r>
    </w:p>
    <w:p>
      <w:pPr>
        <w:pStyle w:val="ListBullet"/>
      </w:pPr>
      <w:r>
        <w:rPr>
          <w:rFonts w:ascii="Aptos" w:hAnsi="Aptos"/>
          <w:sz w:val="18"/>
        </w:rPr>
        <w:t>whether independent validation testing is required;</w:t>
      </w:r>
    </w:p>
    <w:p>
      <w:pPr>
        <w:pStyle w:val="ListBullet"/>
      </w:pPr>
      <w:r>
        <w:rPr>
          <w:rFonts w:ascii="Aptos" w:hAnsi="Aptos"/>
          <w:sz w:val="18"/>
        </w:rPr>
        <w:t>current first-line testing where relevant;</w:t>
      </w:r>
    </w:p>
    <w:p>
      <w:pPr>
        <w:pStyle w:val="ListBullet"/>
      </w:pPr>
      <w:r>
        <w:rPr>
          <w:rFonts w:ascii="Aptos" w:hAnsi="Aptos"/>
          <w:sz w:val="18"/>
        </w:rPr>
        <w:t>current MRO technical capability;</w:t>
      </w:r>
    </w:p>
    <w:p>
      <w:pPr>
        <w:pStyle w:val="ListBullet"/>
      </w:pPr>
      <w:r>
        <w:rPr>
          <w:rFonts w:ascii="Aptos" w:hAnsi="Aptos"/>
          <w:sz w:val="18"/>
        </w:rPr>
        <w:t>potential MRO capability;</w:t>
      </w:r>
    </w:p>
    <w:p>
      <w:pPr>
        <w:pStyle w:val="ListBullet"/>
      </w:pPr>
      <w:r>
        <w:rPr>
          <w:rFonts w:ascii="Aptos" w:hAnsi="Aptos"/>
          <w:sz w:val="18"/>
        </w:rPr>
        <w:t>current gaps;</w:t>
      </w:r>
    </w:p>
    <w:p>
      <w:pPr>
        <w:pStyle w:val="ListBullet"/>
      </w:pPr>
      <w:r>
        <w:rPr>
          <w:rFonts w:ascii="Aptos" w:hAnsi="Aptos"/>
          <w:sz w:val="18"/>
        </w:rPr>
        <w:t>enhancement opportunities.</w:t>
      </w:r>
    </w:p>
    <w:p>
      <w:r>
        <w:rPr>
          <w:rFonts w:ascii="Aptos" w:hAnsi="Aptos"/>
          <w:sz w:val="18"/>
        </w:rPr>
        <w:t>The Gap Analysis is maintained as the detailed internal assessment of validation requirements and technical capability.</w:t>
      </w:r>
    </w:p>
    <w:p>
      <w:r>
        <w:rPr>
          <w:rFonts w:ascii="Aptos" w:hAnsi="Aptos"/>
          <w:sz w:val="18"/>
        </w:rPr>
        <w:t>For Audit purposes, this Capability Pack does not reproduce the full detailed Gap Analysis. Instead, relevant findings are consolidated into higher-level validation capability categories, maturity assessments and representative evidence.</w:t>
      </w:r>
    </w:p>
    <w:p>
      <w:r>
        <w:rPr>
          <w:rFonts w:ascii="Aptos" w:hAnsi="Aptos"/>
          <w:sz w:val="18"/>
        </w:rPr>
        <w:t>This avoids treating every individual testing technique, Python component or enhancement opportunity as a separate validation tool or control.</w:t>
      </w:r>
    </w:p>
    <w:p>
      <w:pPr>
        <w:pStyle w:val="Heading2"/>
        <w:keepNext/>
        <w:pBdr>
          <w:bottom w:val="single" w:sz="8" w:space="0" w:color="007A3D"/>
        </w:pBdr>
      </w:pPr>
      <w:r>
        <w:rPr>
          <w:b/>
          <w:color w:val="005A32"/>
        </w:rPr>
        <w:t>3.2 Relationship between detailed analysis and Audit-facing material</w:t>
      </w:r>
    </w:p>
    <w:tbl>
      <w:tblPr>
        <w:tblStyle w:val="TableGrid"/>
        <w:tblW w:type="auto" w:w="0"/>
        <w:jc w:val="center"/>
        <w:tblLook w:firstColumn="1" w:firstRow="1" w:lastColumn="0" w:lastRow="0" w:noHBand="0" w:noVBand="1" w:val="04A0"/>
      </w:tblPr>
      <w:tblGrid>
        <w:gridCol w:w="10080"/>
      </w:tblGrid>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Detailed Platform Testing Gap Analysis</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Consolidated AI Validation Capability Categories</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Capability Catalogue</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Representative Evidence Mapping</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Executable Audit Examples / Targeted Deep Dive</w:t>
            </w:r>
          </w:p>
        </w:tc>
      </w:tr>
    </w:tbl>
    <w:p/>
    <w:p>
      <w:pPr>
        <w:pStyle w:val="Heading1"/>
        <w:keepNext/>
        <w:shd w:fill="007A3D"/>
        <w:spacing w:before="180" w:after="100"/>
        <w:ind w:left="58" w:right="58"/>
      </w:pPr>
      <w:r>
        <w:rPr>
          <w:b/>
          <w:color w:val="FFFFFF"/>
          <w:sz w:val="25"/>
        </w:rPr>
        <w:t>4. Scope</w:t>
      </w:r>
    </w:p>
    <w:p>
      <w:pPr>
        <w:pStyle w:val="Heading2"/>
        <w:keepNext/>
        <w:pBdr>
          <w:bottom w:val="single" w:sz="8" w:space="0" w:color="007A3D"/>
        </w:pBdr>
      </w:pPr>
      <w:r>
        <w:rPr>
          <w:b/>
          <w:color w:val="005A32"/>
        </w:rPr>
        <w:t>4.1 In-scope validation capability</w:t>
      </w:r>
    </w:p>
    <w:p>
      <w:pPr>
        <w:pStyle w:val="ListBullet"/>
      </w:pPr>
      <w:r>
        <w:rPr>
          <w:rFonts w:ascii="Aptos" w:hAnsi="Aptos"/>
          <w:sz w:val="18"/>
        </w:rPr>
        <w:t>Generative AI applications;</w:t>
      </w:r>
    </w:p>
    <w:p>
      <w:pPr>
        <w:pStyle w:val="ListBullet"/>
      </w:pPr>
      <w:r>
        <w:rPr>
          <w:rFonts w:ascii="Aptos" w:hAnsi="Aptos"/>
          <w:sz w:val="18"/>
        </w:rPr>
        <w:t>foundation-model-based applications;</w:t>
      </w:r>
    </w:p>
    <w:p>
      <w:pPr>
        <w:pStyle w:val="ListBullet"/>
      </w:pPr>
      <w:r>
        <w:rPr>
          <w:rFonts w:ascii="Aptos" w:hAnsi="Aptos"/>
          <w:sz w:val="18"/>
        </w:rPr>
        <w:t>RAG applications;</w:t>
      </w:r>
    </w:p>
    <w:p>
      <w:pPr>
        <w:pStyle w:val="ListBullet"/>
      </w:pPr>
      <w:r>
        <w:rPr>
          <w:rFonts w:ascii="Aptos" w:hAnsi="Aptos"/>
          <w:sz w:val="18"/>
        </w:rPr>
        <w:t>Agentic AI applications;</w:t>
      </w:r>
    </w:p>
    <w:p>
      <w:pPr>
        <w:pStyle w:val="ListBullet"/>
      </w:pPr>
      <w:r>
        <w:rPr>
          <w:rFonts w:ascii="Aptos" w:hAnsi="Aptos"/>
          <w:sz w:val="18"/>
        </w:rPr>
        <w:t>model output evaluation;</w:t>
      </w:r>
    </w:p>
    <w:p>
      <w:pPr>
        <w:pStyle w:val="ListBullet"/>
      </w:pPr>
      <w:r>
        <w:rPr>
          <w:rFonts w:ascii="Aptos" w:hAnsi="Aptos"/>
          <w:sz w:val="18"/>
        </w:rPr>
        <w:t>test-data and scenario generation;</w:t>
      </w:r>
    </w:p>
    <w:p>
      <w:pPr>
        <w:pStyle w:val="ListBullet"/>
      </w:pPr>
      <w:r>
        <w:rPr>
          <w:rFonts w:ascii="Aptos" w:hAnsi="Aptos"/>
          <w:sz w:val="18"/>
        </w:rPr>
        <w:t>guardrail and safety testing;</w:t>
      </w:r>
    </w:p>
    <w:p>
      <w:pPr>
        <w:pStyle w:val="ListBullet"/>
      </w:pPr>
      <w:r>
        <w:rPr>
          <w:rFonts w:ascii="Aptos" w:hAnsi="Aptos"/>
          <w:sz w:val="18"/>
        </w:rPr>
        <w:t>robustness and adversarial evaluation;</w:t>
      </w:r>
    </w:p>
    <w:p>
      <w:pPr>
        <w:pStyle w:val="ListBullet"/>
      </w:pPr>
      <w:r>
        <w:rPr>
          <w:rFonts w:ascii="Aptos" w:hAnsi="Aptos"/>
          <w:sz w:val="18"/>
        </w:rPr>
        <w:t>RAG evaluation;</w:t>
      </w:r>
    </w:p>
    <w:p>
      <w:pPr>
        <w:pStyle w:val="ListBullet"/>
      </w:pPr>
      <w:r>
        <w:rPr>
          <w:rFonts w:ascii="Aptos" w:hAnsi="Aptos"/>
          <w:sz w:val="18"/>
        </w:rPr>
        <w:t>Agentic AI decision and action evaluation;</w:t>
      </w:r>
    </w:p>
    <w:p>
      <w:pPr>
        <w:pStyle w:val="ListBullet"/>
      </w:pPr>
      <w:r>
        <w:rPr>
          <w:rFonts w:ascii="Aptos" w:hAnsi="Aptos"/>
          <w:sz w:val="18"/>
        </w:rPr>
        <w:t>trace / component-level evaluation where applicable;</w:t>
      </w:r>
    </w:p>
    <w:p>
      <w:pPr>
        <w:pStyle w:val="ListBullet"/>
      </w:pPr>
      <w:r>
        <w:rPr>
          <w:rFonts w:ascii="Aptos" w:hAnsi="Aptos"/>
          <w:sz w:val="18"/>
        </w:rPr>
        <w:t>evidence generation and reproducibility;</w:t>
      </w:r>
    </w:p>
    <w:p>
      <w:pPr>
        <w:pStyle w:val="ListBullet"/>
      </w:pPr>
      <w:r>
        <w:rPr>
          <w:rFonts w:ascii="Aptos" w:hAnsi="Aptos"/>
          <w:sz w:val="18"/>
        </w:rPr>
        <w:t>validation reporting support.</w:t>
      </w:r>
    </w:p>
    <w:p>
      <w:pPr>
        <w:pStyle w:val="Heading2"/>
        <w:keepNext/>
        <w:pBdr>
          <w:bottom w:val="single" w:sz="8" w:space="0" w:color="007A3D"/>
        </w:pBdr>
      </w:pPr>
      <w:r>
        <w:rPr>
          <w:b/>
          <w:color w:val="005A32"/>
        </w:rPr>
        <w:t>4.2 Supporting engineering components</w:t>
      </w:r>
    </w:p>
    <w:p>
      <w:pPr>
        <w:pStyle w:val="ListBullet"/>
      </w:pPr>
      <w:r>
        <w:rPr>
          <w:rFonts w:ascii="Aptos" w:hAnsi="Aptos"/>
          <w:sz w:val="18"/>
        </w:rPr>
        <w:t>user interface;</w:t>
      </w:r>
    </w:p>
    <w:p>
      <w:pPr>
        <w:pStyle w:val="ListBullet"/>
      </w:pPr>
      <w:r>
        <w:rPr>
          <w:rFonts w:ascii="Aptos" w:hAnsi="Aptos"/>
          <w:sz w:val="18"/>
        </w:rPr>
        <w:t>model onboarding and integration;</w:t>
      </w:r>
    </w:p>
    <w:p>
      <w:pPr>
        <w:pStyle w:val="ListBullet"/>
      </w:pPr>
      <w:r>
        <w:rPr>
          <w:rFonts w:ascii="Aptos" w:hAnsi="Aptos"/>
          <w:sz w:val="18"/>
        </w:rPr>
        <w:t>execution services;</w:t>
      </w:r>
    </w:p>
    <w:p>
      <w:pPr>
        <w:pStyle w:val="ListBullet"/>
      </w:pPr>
      <w:r>
        <w:rPr>
          <w:rFonts w:ascii="Aptos" w:hAnsi="Aptos"/>
          <w:sz w:val="18"/>
        </w:rPr>
        <w:t>data and evidence storage;</w:t>
      </w:r>
    </w:p>
    <w:p>
      <w:pPr>
        <w:pStyle w:val="ListBullet"/>
      </w:pPr>
      <w:r>
        <w:rPr>
          <w:rFonts w:ascii="Aptos" w:hAnsi="Aptos"/>
          <w:sz w:val="18"/>
        </w:rPr>
        <w:t>tracing instrumentation;</w:t>
      </w:r>
    </w:p>
    <w:p>
      <w:pPr>
        <w:pStyle w:val="ListBullet"/>
      </w:pPr>
      <w:r>
        <w:rPr>
          <w:rFonts w:ascii="Aptos" w:hAnsi="Aptos"/>
          <w:sz w:val="18"/>
        </w:rPr>
        <w:t>deployment/containerisation;</w:t>
      </w:r>
    </w:p>
    <w:p>
      <w:pPr>
        <w:pStyle w:val="ListBullet"/>
      </w:pPr>
      <w:r>
        <w:rPr>
          <w:rFonts w:ascii="Aptos" w:hAnsi="Aptos"/>
          <w:sz w:val="18"/>
        </w:rPr>
        <w:t>platform infrastructure.</w:t>
      </w:r>
    </w:p>
    <w:p>
      <w:r>
        <w:rPr>
          <w:rFonts w:ascii="Aptos" w:hAnsi="Aptos"/>
          <w:sz w:val="18"/>
        </w:rPr>
        <w:t>These components enable the delivery and operation of the validation capability.</w:t>
      </w:r>
    </w:p>
    <w:p>
      <w:r>
        <w:rPr>
          <w:rFonts w:ascii="Aptos" w:hAnsi="Aptos"/>
          <w:sz w:val="18"/>
        </w:rPr>
        <w:t>However, the validation methodology and assessment are primarily determined by applicable validation requirements, validation scenarios, evaluation approaches and criteria, together with independent validator judgement.</w:t>
      </w:r>
    </w:p>
    <w:p>
      <w:r>
        <w:rPr>
          <w:rFonts w:ascii="Aptos" w:hAnsi="Aptos"/>
          <w:sz w:val="18"/>
        </w:rPr>
        <w:t>This Capability Pack therefore focuses primarily on technical components that directly support validation testing and evidence.</w:t>
      </w:r>
    </w:p>
    <w:p>
      <w:r>
        <w:rPr>
          <w:rFonts w:ascii="Aptos" w:hAnsi="Aptos"/>
          <w:sz w:val="18"/>
        </w:rPr>
        <w:t>Supporting engineering components are described at architecture level where relevant. Detailed implementation evidence can be provided where a specific engineering dependency is material to an agreed Audit test.</w:t>
      </w:r>
    </w:p>
    <w:p>
      <w:pPr>
        <w:pStyle w:val="Heading1"/>
        <w:keepNext/>
        <w:shd w:fill="007A3D"/>
        <w:spacing w:before="180" w:after="100"/>
        <w:ind w:left="58" w:right="58"/>
      </w:pPr>
      <w:r>
        <w:rPr>
          <w:b/>
          <w:color w:val="FFFFFF"/>
          <w:sz w:val="25"/>
        </w:rPr>
        <w:t>5. Relationship with MRO Independent Validation</w:t>
      </w:r>
    </w:p>
    <w:p>
      <w:pPr>
        <w:pStyle w:val="Heading2"/>
        <w:keepNext/>
        <w:pBdr>
          <w:bottom w:val="single" w:sz="8" w:space="0" w:color="007A3D"/>
        </w:pBdr>
      </w:pPr>
      <w:r>
        <w:rPr>
          <w:b/>
          <w:color w:val="005A32"/>
        </w:rPr>
        <w:t>5.1 Operating model</w:t>
      </w:r>
    </w:p>
    <w:p>
      <w:r>
        <w:rPr>
          <w:rFonts w:ascii="Aptos" w:hAnsi="Aptos"/>
          <w:sz w:val="18"/>
        </w:rPr>
        <w:t>AI Tech &amp; Tooling provides technical validation capability and tooling support to AI IVT.</w:t>
      </w:r>
    </w:p>
    <w:p>
      <w:pPr>
        <w:pStyle w:val="ListBullet"/>
      </w:pPr>
      <w:r>
        <w:rPr>
          <w:rFonts w:ascii="Aptos" w:hAnsi="Aptos"/>
          <w:sz w:val="18"/>
        </w:rPr>
        <w:t>defining validation scope;</w:t>
      </w:r>
    </w:p>
    <w:p>
      <w:pPr>
        <w:pStyle w:val="ListBullet"/>
      </w:pPr>
      <w:r>
        <w:rPr>
          <w:rFonts w:ascii="Aptos" w:hAnsi="Aptos"/>
          <w:sz w:val="18"/>
        </w:rPr>
        <w:t>determining required validation activities;</w:t>
      </w:r>
    </w:p>
    <w:p>
      <w:pPr>
        <w:pStyle w:val="ListBullet"/>
      </w:pPr>
      <w:r>
        <w:rPr>
          <w:rFonts w:ascii="Aptos" w:hAnsi="Aptos"/>
          <w:sz w:val="18"/>
        </w:rPr>
        <w:t>selecting relevant testing;</w:t>
      </w:r>
    </w:p>
    <w:p>
      <w:pPr>
        <w:pStyle w:val="ListBullet"/>
      </w:pPr>
      <w:r>
        <w:rPr>
          <w:rFonts w:ascii="Aptos" w:hAnsi="Aptos"/>
          <w:sz w:val="18"/>
        </w:rPr>
        <w:t>configuring validation-specific parameters;</w:t>
      </w:r>
    </w:p>
    <w:p>
      <w:pPr>
        <w:pStyle w:val="ListBullet"/>
      </w:pPr>
      <w:r>
        <w:rPr>
          <w:rFonts w:ascii="Aptos" w:hAnsi="Aptos"/>
          <w:sz w:val="18"/>
        </w:rPr>
        <w:t>reviewing and challenging tool outputs;</w:t>
      </w:r>
    </w:p>
    <w:p>
      <w:pPr>
        <w:pStyle w:val="ListBullet"/>
      </w:pPr>
      <w:r>
        <w:rPr>
          <w:rFonts w:ascii="Aptos" w:hAnsi="Aptos"/>
          <w:sz w:val="18"/>
        </w:rPr>
        <w:t>interpreting testing results;</w:t>
      </w:r>
    </w:p>
    <w:p>
      <w:pPr>
        <w:pStyle w:val="ListBullet"/>
      </w:pPr>
      <w:r>
        <w:rPr>
          <w:rFonts w:ascii="Aptos" w:hAnsi="Aptos"/>
          <w:sz w:val="18"/>
        </w:rPr>
        <w:t>identifying limitations and issues;</w:t>
      </w:r>
    </w:p>
    <w:p>
      <w:pPr>
        <w:pStyle w:val="ListBullet"/>
      </w:pPr>
      <w:r>
        <w:rPr>
          <w:rFonts w:ascii="Aptos" w:hAnsi="Aptos"/>
          <w:sz w:val="18"/>
        </w:rPr>
        <w:t>determining the independent validation conclusion.</w:t>
      </w:r>
    </w:p>
    <w:p>
      <w:r>
        <w:rPr>
          <w:rFonts w:ascii="Aptos" w:hAnsi="Aptos"/>
          <w:sz w:val="18"/>
        </w:rPr>
        <w:t>The tooling therefore acts as a validation-support capability, rather than an automated decision-making mechanism.</w:t>
      </w:r>
    </w:p>
    <w:p>
      <w:pPr>
        <w:pStyle w:val="Heading2"/>
        <w:keepNext/>
        <w:pBdr>
          <w:bottom w:val="single" w:sz="8" w:space="0" w:color="007A3D"/>
        </w:pBdr>
      </w:pPr>
      <w:r>
        <w:rPr>
          <w:b/>
          <w:color w:val="005A32"/>
        </w:rPr>
        <w:t>5.2 Validation flow</w:t>
      </w:r>
    </w:p>
    <w:tbl>
      <w:tblPr>
        <w:tblStyle w:val="TableGrid"/>
        <w:tblW w:type="auto" w:w="0"/>
        <w:jc w:val="center"/>
        <w:tblLook w:firstColumn="1" w:firstRow="1" w:lastColumn="0" w:lastRow="0" w:noHBand="0" w:noVBand="1" w:val="04A0"/>
      </w:tblPr>
      <w:tblGrid>
        <w:gridCol w:w="10080"/>
      </w:tblGrid>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MRM Independent Validation Standards</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AI / GenAI Validation Guidance</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Validator-defined validation scope</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AI Validation Technical Capability</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Testing and evaluation evidence</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Independent validator interpretation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Validation conclusion</w:t>
            </w:r>
          </w:p>
        </w:tc>
      </w:tr>
    </w:tbl>
    <w:p/>
    <w:p>
      <w:pPr>
        <w:pStyle w:val="Heading1"/>
        <w:keepNext/>
        <w:shd w:fill="007A3D"/>
        <w:spacing w:before="180" w:after="100"/>
        <w:ind w:left="58" w:right="58"/>
      </w:pPr>
      <w:r>
        <w:rPr>
          <w:b/>
          <w:color w:val="FFFFFF"/>
          <w:sz w:val="25"/>
        </w:rPr>
        <w:t>6. Current Delivery and Pilot Model</w:t>
      </w:r>
    </w:p>
    <w:p>
      <w:pPr>
        <w:pStyle w:val="Heading2"/>
        <w:keepNext/>
        <w:pBdr>
          <w:bottom w:val="single" w:sz="8" w:space="0" w:color="007A3D"/>
        </w:pBdr>
      </w:pPr>
      <w:r>
        <w:rPr>
          <w:b/>
          <w:color w:val="005A32"/>
        </w:rPr>
        <w:t>6.1 Current position</w:t>
      </w:r>
    </w:p>
    <w:p>
      <w:r>
        <w:rPr>
          <w:rFonts w:ascii="Aptos" w:hAnsi="Aptos"/>
          <w:sz w:val="18"/>
        </w:rPr>
        <w:t>The technical validation capability is being developed through an iterative pilot model.</w:t>
      </w:r>
    </w:p>
    <w:p>
      <w:r>
        <w:rPr>
          <w:rFonts w:ascii="Aptos" w:hAnsi="Aptos"/>
          <w:sz w:val="18"/>
        </w:rPr>
        <w:t>Selected capabilities are made available to AI IVT alongside existing validation approaches. This allows MRO to:</w:t>
      </w:r>
    </w:p>
    <w:p>
      <w:pPr>
        <w:pStyle w:val="ListBullet"/>
      </w:pPr>
      <w:r>
        <w:rPr>
          <w:rFonts w:ascii="Aptos" w:hAnsi="Aptos"/>
          <w:sz w:val="18"/>
        </w:rPr>
        <w:t>assess practical applicability;</w:t>
      </w:r>
    </w:p>
    <w:p>
      <w:pPr>
        <w:pStyle w:val="ListBullet"/>
      </w:pPr>
      <w:r>
        <w:rPr>
          <w:rFonts w:ascii="Aptos" w:hAnsi="Aptos"/>
          <w:sz w:val="18"/>
        </w:rPr>
        <w:t>obtain validator feedback;</w:t>
      </w:r>
    </w:p>
    <w:p>
      <w:pPr>
        <w:pStyle w:val="ListBullet"/>
      </w:pPr>
      <w:r>
        <w:rPr>
          <w:rFonts w:ascii="Aptos" w:hAnsi="Aptos"/>
          <w:sz w:val="18"/>
        </w:rPr>
        <w:t>identify technical and methodological limitations;</w:t>
      </w:r>
    </w:p>
    <w:p>
      <w:pPr>
        <w:pStyle w:val="ListBullet"/>
      </w:pPr>
      <w:r>
        <w:rPr>
          <w:rFonts w:ascii="Aptos" w:hAnsi="Aptos"/>
          <w:sz w:val="18"/>
        </w:rPr>
        <w:t>improve usability and consistency;</w:t>
      </w:r>
    </w:p>
    <w:p>
      <w:pPr>
        <w:pStyle w:val="ListBullet"/>
      </w:pPr>
      <w:r>
        <w:rPr>
          <w:rFonts w:ascii="Aptos" w:hAnsi="Aptos"/>
          <w:sz w:val="18"/>
        </w:rPr>
        <w:t>strengthen evidence capture;</w:t>
      </w:r>
    </w:p>
    <w:p>
      <w:pPr>
        <w:pStyle w:val="ListBullet"/>
      </w:pPr>
      <w:r>
        <w:rPr>
          <w:rFonts w:ascii="Aptos" w:hAnsi="Aptos"/>
          <w:sz w:val="18"/>
        </w:rPr>
        <w:t>progressively expand capability as validation requirements evolve.</w:t>
      </w:r>
    </w:p>
    <w:p>
      <w:r>
        <w:rPr>
          <w:rFonts w:ascii="Aptos" w:hAnsi="Aptos"/>
          <w:sz w:val="18"/>
        </w:rPr>
        <w:t>The current operating model deliberately retains validator judgement and configuration rather than seeking to automate independent validation decisions.</w:t>
      </w:r>
    </w:p>
    <w:p>
      <w:pPr>
        <w:pStyle w:val="Heading2"/>
        <w:keepNext/>
        <w:pBdr>
          <w:bottom w:val="single" w:sz="8" w:space="0" w:color="007A3D"/>
        </w:pBdr>
      </w:pPr>
      <w:r>
        <w:rPr>
          <w:b/>
          <w:color w:val="005A32"/>
        </w:rPr>
        <w:t>6.2 Capability maturity definitions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Maturity</w:t>
            </w:r>
          </w:p>
        </w:tc>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Definition</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Pilot / available for validator use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Capability is available to AI IVT where appropriate and remains subject to validator configuration, review and judgement.</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Under development</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Capability is actively being developed and tested but is not yet routinely available for pilot use.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Exploratory / prototype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Capability or methodology is being assessed for feasibility and may be materially changed, replaced or not progressed.</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Planned</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Capability has been identified as a future requirement but is not currently implemented.</w:t>
            </w:r>
          </w:p>
        </w:tc>
      </w:tr>
    </w:tbl>
    <w:tbl>
      <w:tblPr>
        <w:tblStyle w:val="TableGrid"/>
        <w:tblW w:type="auto" w:w="0"/>
        <w:jc w:val="center"/>
        <w:tblLook w:firstColumn="1" w:firstRow="1" w:lastColumn="0" w:lastRow="0" w:noHBand="0" w:noVBand="1" w:val="04A0"/>
      </w:tblPr>
      <w:tblGrid>
        <w:gridCol w:w="10080"/>
      </w:tblGrid>
      <w:tr>
        <w:tc>
          <w:tcPr>
            <w:tcW w:type="dxa" w:w="10080"/>
            <w:shd w:fill="EAF4EE"/>
            <w:tcMar>
              <w:top w:w="120" w:type="dxa"/>
              <w:start w:w="120" w:type="dxa"/>
              <w:bottom w:w="120" w:type="dxa"/>
              <w:end w:w="120" w:type="dxa"/>
            </w:tcMar>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pPr>
            <w:r>
              <w:rPr>
                <w:rFonts w:ascii="Aptos" w:hAnsi="Aptos"/>
                <w:b/>
                <w:color w:val="005A32"/>
                <w:sz w:val="16"/>
              </w:rPr>
              <w:t xml:space="preserve">Important statement: </w:t>
            </w:r>
            <w:r>
              <w:rPr>
                <w:rFonts w:ascii="Aptos" w:hAnsi="Aptos"/>
                <w:color w:val="202020"/>
                <w:sz w:val="16"/>
              </w:rPr>
              <w:t>The presence of code or experimental components within development repositories should not automatically be interpreted as MRO reliance on those components for independent validation. Capability status is determined through the maturity assessment above.</w:t>
            </w:r>
          </w:p>
        </w:tc>
      </w:tr>
    </w:tbl>
    <w:p/>
    <w:p>
      <w:pPr>
        <w:pStyle w:val="Heading1"/>
        <w:keepNext/>
        <w:shd w:fill="007A3D"/>
        <w:spacing w:before="180" w:after="100"/>
        <w:ind w:left="58" w:right="58"/>
      </w:pPr>
      <w:r>
        <w:rPr>
          <w:b/>
          <w:color w:val="FFFFFF"/>
          <w:sz w:val="25"/>
        </w:rPr>
        <w:t>7. AI Validation Technical Capability Catalogue</w:t>
      </w:r>
    </w:p>
    <w:p>
      <w:r>
        <w:rPr>
          <w:rFonts w:ascii="Aptos" w:hAnsi="Aptos"/>
          <w:sz w:val="18"/>
        </w:rPr>
        <w:t>This is the main Audit-facing capability table. It should be populated from Gery's existing Platform Testing Gap Analysis and should not reproduce every detailed row of that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Capability category</w:t>
            </w:r>
          </w:p>
        </w:tc>
        <w:tc>
          <w:tcPr>
            <w:tcW w:type="dxa" w:w="14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Validation objective / principal risks</w:t>
            </w:r>
          </w:p>
        </w:tc>
        <w:tc>
          <w:tcPr>
            <w:tcW w:type="dxa" w:w="14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Applicable AI type</w:t>
            </w:r>
          </w:p>
        </w:tc>
        <w:tc>
          <w:tcPr>
            <w:tcW w:type="dxa" w:w="14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Current MRO capability</w:t>
            </w:r>
          </w:p>
        </w:tc>
        <w:tc>
          <w:tcPr>
            <w:tcW w:type="dxa" w:w="14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Maturity</w:t>
            </w:r>
          </w:p>
        </w:tc>
        <w:tc>
          <w:tcPr>
            <w:tcW w:type="dxa" w:w="14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Configurability / extensibility</w:t>
            </w:r>
          </w:p>
        </w:tc>
        <w:tc>
          <w:tcPr>
            <w:tcW w:type="dxa" w:w="14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Representative evidence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Data &amp; input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Data quality, completeness, representativeness, scenario coverage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GenAI / RAG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Data-quality checks and scenario-based testing</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Test inputs and validation rules can be configured</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[reference]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Output quality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Accuracy, relevance, consistency, response quality</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GenAI / RAG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Deterministic and model-based output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Criteria, prompts and scoring can be configured</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Coach AI / executable pack</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Hallucination / factuality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Unsupported or incorrect statements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GenAI / RAG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Factuality and groundedness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Evaluation criteria and reference sources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[reference]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Guardrail &amp; safety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Unsafe, inappropriate or disallowed behaviour</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GenAI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Scenario-based guardrail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Risk scenarios, rules and criteria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Executable pack</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Robustness &amp; stability</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Sensitivity, consistency, edge cases, adversarial behaviour</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GenAI / RAG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Scenario / perturbation / repeated-run testing</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Scenario library extensible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[reference]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Test-data / scenario generation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Breadth and relevance of validation testing</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GenAI / RAG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Curated and synthetic scenario generation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Validator can define scope, prompts and conditions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[reference]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RAG retrieval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Retrieval relevance, completeness and quality</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RAG</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Retrieval and context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Evaluation dataset and criteria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RAG example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RAG groundedness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Faithfulness of outputs to retrieved evidence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RAG / Agentic with retrieval</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Groundedness and context-use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Judge prompts / criteria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[reference]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Agent decision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Appropriateness of decisions and routing</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Agentic AI</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Scenario-based decision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Expected decisions and scenarios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Illustrative agent example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Tool-use / action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Correct tool selection, arguments and actions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Agentic AI</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Tool-call and action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Permitted actions and expected calls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Agentic example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Agent trajectory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Quality of multi-step execution and intermediate decisions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Agentic AI</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Trace / trajectory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Expected path / criteria extensible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Trace example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Agent boundary testing</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Prohibited or unauthorised behaviour</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Agentic AI</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Boundary and constraint testing</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Rules and scenarios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Synthetic example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Fairness / bias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Differential or inappropriate outcomes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GenAI / RAG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Scenario and model-based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Test cohorts and evaluation criteria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[reference]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Explainability / rationale evaluation</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Interpretability and rationale quality</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GenAI / Agentic</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Output / rationale assessment</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Evaluation criteria configurable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4"/>
              </w:rPr>
              <w:t>[reference]</w:t>
            </w:r>
          </w:p>
        </w:tc>
      </w:tr>
      <w:tr>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Evidence capture &amp; reproducibility</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Repeatability, reviewability and auditability</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All</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Capture of test configuration, results and supporting evidence</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[status]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Common evidence structure supports different tests</w:t>
            </w:r>
          </w:p>
        </w:tc>
        <w:tc>
          <w:tcPr>
            <w:tcW w:type="dxa" w:w="14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4"/>
              </w:rPr>
              <w:t>Audit pack</w:t>
            </w:r>
          </w:p>
        </w:tc>
      </w:tr>
    </w:tbl>
    <w:p>
      <w:r>
        <w:rPr>
          <w:rFonts w:ascii="Aptos" w:hAnsi="Aptos"/>
          <w:sz w:val="18"/>
        </w:rPr>
        <w:t>Completion guidance:</w:t>
      </w:r>
    </w:p>
    <w:p>
      <w:pPr>
        <w:pStyle w:val="ListBullet"/>
      </w:pPr>
      <w:r>
        <w:rPr>
          <w:rFonts w:ascii="Aptos" w:hAnsi="Aptos"/>
          <w:sz w:val="18"/>
        </w:rPr>
        <w:t>Use Gery's Gap Analysis to populate this table.</w:t>
      </w:r>
    </w:p>
    <w:p>
      <w:pPr>
        <w:pStyle w:val="ListBullet"/>
      </w:pPr>
      <w:r>
        <w:rPr>
          <w:rFonts w:ascii="Aptos" w:hAnsi="Aptos"/>
          <w:sz w:val="18"/>
        </w:rPr>
        <w:t>Consolidate related Gap Analysis rows into higher-level capability categories.</w:t>
      </w:r>
    </w:p>
    <w:p>
      <w:pPr>
        <w:pStyle w:val="ListBullet"/>
      </w:pPr>
      <w:r>
        <w:rPr>
          <w:rFonts w:ascii="Aptos" w:hAnsi="Aptos"/>
          <w:sz w:val="18"/>
        </w:rPr>
        <w:t>Do not copy across all detailed first-line testing comparisons, internal 'initial thoughts', every possible enhancement opportunity, every metric, or every Python module.</w:t>
      </w:r>
    </w:p>
    <w:p>
      <w:pPr>
        <w:pStyle w:val="Heading1"/>
        <w:keepNext/>
        <w:shd w:fill="007A3D"/>
        <w:spacing w:before="180" w:after="100"/>
        <w:ind w:left="58" w:right="58"/>
      </w:pPr>
      <w:r>
        <w:rPr>
          <w:b/>
          <w:color w:val="FFFFFF"/>
          <w:sz w:val="25"/>
        </w:rPr>
        <w:t>8. Coverage Summary by AI Type</w:t>
      </w:r>
    </w:p>
    <w:p>
      <w:r>
        <w:rPr>
          <w:rFonts w:ascii="Aptos" w:hAnsi="Aptos"/>
          <w:sz w:val="18"/>
        </w:rPr>
        <w:t>This is a simple executive summary of model-type coverage. The detailed risk/capability analysis remains in Gery's Gap Analysis.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Capability</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GenAI</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RAG</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Agentic AI</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Data / input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Output quality</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Hallucination / factuality</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Guardrail / safety</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Robustness / stability</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Scenario generation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Retrieval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Groundedness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Fairness / bias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Explainability</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Decision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Tool-use / action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Trajectory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Trace / component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t>
            </w:r>
          </w:p>
        </w:tc>
      </w:tr>
    </w:tbl>
    <w:p>
      <w:r>
        <w:rPr>
          <w:rFonts w:ascii="Aptos" w:hAnsi="Aptos"/>
          <w:sz w:val="18"/>
        </w:rPr>
        <w:t>Key: ✓ = applicable capability available or being actively developed; △ = applicable depending on architecture / validation approach; — = generally not applicable.</w:t>
      </w:r>
    </w:p>
    <w:p>
      <w:r>
        <w:rPr>
          <w:rFonts w:ascii="Aptos" w:hAnsi="Aptos"/>
          <w:sz w:val="18"/>
        </w:rPr>
        <w:t>This summary demonstrates the breadth of validation capability across the principal AI architectures. It does not indicate that every test is required for every validation. Testing is selected proportionately based on the model, use case, materiality and identified risks.</w:t>
      </w:r>
    </w:p>
    <w:p>
      <w:pPr>
        <w:pStyle w:val="Heading1"/>
        <w:keepNext/>
        <w:shd w:fill="007A3D"/>
        <w:spacing w:before="180" w:after="100"/>
        <w:ind w:left="58" w:right="58"/>
      </w:pPr>
      <w:r>
        <w:rPr>
          <w:b/>
          <w:color w:val="FFFFFF"/>
          <w:sz w:val="25"/>
        </w:rPr>
        <w:t>9. Representative Evidence Mapping</w:t>
      </w:r>
    </w:p>
    <w:p>
      <w:r>
        <w:rPr>
          <w:rFonts w:ascii="Aptos" w:hAnsi="Aptos"/>
          <w:sz w:val="18"/>
        </w:rPr>
        <w:t>This table connects capability breadth to representative technical evidence without requiring Audit to execute every underlying tool.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Capability category</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Evidence route</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Representative evidence</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Status</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Output quality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Completed validation / executable example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Coach AI / representative notebook</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LLM-as-a-Judge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Executable demonstration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Audit Python pack</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[status]</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Guardrail / safety</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Executable demonstration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Guardrail scenarios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Robustness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Executable demonstration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Controlled scenario suite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[status]</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RAG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Representative technical example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RAG notebook / example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Agent decision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Illustrative future-capability example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Synthetic Agentic AI example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Developing</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Tool-call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Illustrative future-capability example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Agent tool-use tests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Developing</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Agent trajectory / trace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Illustrative future-capability example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Controlled traces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Developing</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Other catalogue capabilities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Capability documentation / targeted evidence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Available on targeted Audit request</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r>
    </w:tbl>
    <w:p>
      <w:r>
        <w:rPr>
          <w:rFonts w:ascii="Aptos" w:hAnsi="Aptos"/>
          <w:sz w:val="18"/>
        </w:rPr>
        <w:t>The Capability Catalogue demonstrates breadth. Representative executable evidence demonstrates technical operation and reproducibility across key capability categories. Detailed implementation evidence can then be provided for specific capabilities selected by Audit for deeper technical re-performance.</w:t>
      </w:r>
    </w:p>
    <w:p>
      <w:pPr>
        <w:pStyle w:val="Heading1"/>
        <w:keepNext/>
        <w:shd w:fill="007A3D"/>
        <w:spacing w:before="180" w:after="100"/>
        <w:ind w:left="58" w:right="58"/>
      </w:pPr>
      <w:r>
        <w:rPr>
          <w:b/>
          <w:color w:val="FFFFFF"/>
          <w:sz w:val="25"/>
        </w:rPr>
        <w:t>10. Validation Capability Architecture</w:t>
      </w:r>
    </w:p>
    <w:p>
      <w:r>
        <w:rPr>
          <w:rFonts w:ascii="Aptos" w:hAnsi="Aptos"/>
          <w:sz w:val="18"/>
        </w:rPr>
        <w:t>The architecture is presented at validation-capability level rather than detailed platform engineering level.</w:t>
      </w:r>
    </w:p>
    <w:tbl>
      <w:tblPr>
        <w:tblStyle w:val="TableGrid"/>
        <w:tblW w:type="auto" w:w="0"/>
        <w:jc w:val="center"/>
        <w:tblLook w:firstColumn="1" w:firstRow="1" w:lastColumn="0" w:lastRow="0" w:noHBand="0" w:noVBand="1" w:val="04A0"/>
      </w:tblPr>
      <w:tblGrid>
        <w:gridCol w:w="10080"/>
      </w:tblGrid>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Model / AI system under validation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Test scenarios and data</w:t>
              <w:br/>
              <w:t>• validator-provided scenarios</w:t>
              <w:br/>
              <w:t>• curated datasets</w:t>
              <w:br/>
              <w:t>• synthetic scenarios</w:t>
              <w:br/>
              <w:t>• benchmark datasets where appropriate</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Validation configuration</w:t>
              <w:br/>
              <w:t>• objectives</w:t>
              <w:br/>
              <w:t>• evaluator selection</w:t>
              <w:br/>
              <w:t>• judge prompts</w:t>
              <w:br/>
              <w:t>• criteria</w:t>
              <w:br/>
              <w:t>• thresholds</w:t>
              <w:br/>
              <w:t>• model/use-case configuration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Reusable evaluation capabilities</w:t>
              <w:br/>
              <w:t>• deterministic evaluation</w:t>
              <w:br/>
              <w:t>• LLM-as-a-Judge</w:t>
              <w:br/>
              <w:t>• guardrails</w:t>
              <w:br/>
              <w:t>• robustness</w:t>
              <w:br/>
              <w:t>• RAG</w:t>
              <w:br/>
              <w:t>• Agentic AI</w:t>
              <w:br/>
              <w:t>• trace/trajectory evaluation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Results and evidence</w:t>
              <w:br/>
              <w:t>• metrics</w:t>
              <w:br/>
              <w:t>• scenario outcomes</w:t>
              <w:br/>
              <w:t>• traces</w:t>
              <w:br/>
              <w:t>• execution metadata</w:t>
              <w:br/>
              <w:t>• configuration</w:t>
              <w:br/>
              <w:t>• supporting artefacts</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Independent validator review and interpretation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Validation report / conclusion</w:t>
            </w:r>
          </w:p>
        </w:tc>
      </w:tr>
    </w:tbl>
    <w:p/>
    <w:p>
      <w:r>
        <w:rPr>
          <w:rFonts w:ascii="Aptos" w:hAnsi="Aptos"/>
          <w:sz w:val="18"/>
        </w:rPr>
        <w:t>The architecture separates reusable technical evaluation patterns from validation-specific configuration. This enables consistent execution while allowing independent validators to tailor validation activity to individual model risks and use cases.</w:t>
      </w:r>
    </w:p>
    <w:p>
      <w:pPr>
        <w:pStyle w:val="Heading1"/>
        <w:keepNext/>
        <w:shd w:fill="007A3D"/>
        <w:spacing w:before="180" w:after="100"/>
        <w:ind w:left="58" w:right="58"/>
      </w:pPr>
      <w:r>
        <w:rPr>
          <w:b/>
          <w:color w:val="FFFFFF"/>
          <w:sz w:val="25"/>
        </w:rPr>
        <w:t>11. Configurability and Extensibility</w:t>
      </w:r>
    </w:p>
    <w:p>
      <w:r>
        <w:rPr>
          <w:rFonts w:ascii="Aptos" w:hAnsi="Aptos"/>
          <w:sz w:val="18"/>
        </w:rPr>
        <w:t>Given the rapidly evolving nature of GenAI and Agentic AI, MRO does not assume that a fixed catalogue of tests developed today will cover all future AI architectures and risks.</w:t>
      </w:r>
    </w:p>
    <w:p>
      <w:r>
        <w:rPr>
          <w:rFonts w:ascii="Aptos" w:hAnsi="Aptos"/>
          <w:sz w:val="18"/>
        </w:rPr>
        <w:t>The capability is therefore designed around reusable and configurable evaluation patterns.</w:t>
      </w:r>
    </w:p>
    <w:p>
      <w:pPr>
        <w:pStyle w:val="ListBullet"/>
      </w:pPr>
      <w:r>
        <w:rPr>
          <w:rFonts w:ascii="Aptos" w:hAnsi="Aptos"/>
          <w:sz w:val="18"/>
        </w:rPr>
        <w:t>test scenarios;</w:t>
      </w:r>
    </w:p>
    <w:p>
      <w:pPr>
        <w:pStyle w:val="ListBullet"/>
      </w:pPr>
      <w:r>
        <w:rPr>
          <w:rFonts w:ascii="Aptos" w:hAnsi="Aptos"/>
          <w:sz w:val="18"/>
        </w:rPr>
        <w:t>evaluation criteria;</w:t>
      </w:r>
    </w:p>
    <w:p>
      <w:pPr>
        <w:pStyle w:val="ListBullet"/>
      </w:pPr>
      <w:r>
        <w:rPr>
          <w:rFonts w:ascii="Aptos" w:hAnsi="Aptos"/>
          <w:sz w:val="18"/>
        </w:rPr>
        <w:t>LLM judge prompts;</w:t>
      </w:r>
    </w:p>
    <w:p>
      <w:pPr>
        <w:pStyle w:val="ListBullet"/>
      </w:pPr>
      <w:r>
        <w:rPr>
          <w:rFonts w:ascii="Aptos" w:hAnsi="Aptos"/>
          <w:sz w:val="18"/>
        </w:rPr>
        <w:t>expected behaviours;</w:t>
      </w:r>
    </w:p>
    <w:p>
      <w:pPr>
        <w:pStyle w:val="ListBullet"/>
      </w:pPr>
      <w:r>
        <w:rPr>
          <w:rFonts w:ascii="Aptos" w:hAnsi="Aptos"/>
          <w:sz w:val="18"/>
        </w:rPr>
        <w:t>thresholds;</w:t>
      </w:r>
    </w:p>
    <w:p>
      <w:pPr>
        <w:pStyle w:val="ListBullet"/>
      </w:pPr>
      <w:r>
        <w:rPr>
          <w:rFonts w:ascii="Aptos" w:hAnsi="Aptos"/>
          <w:sz w:val="18"/>
        </w:rPr>
        <w:t>benchmark datasets;</w:t>
      </w:r>
    </w:p>
    <w:p>
      <w:pPr>
        <w:pStyle w:val="ListBullet"/>
      </w:pPr>
      <w:r>
        <w:rPr>
          <w:rFonts w:ascii="Aptos" w:hAnsi="Aptos"/>
          <w:sz w:val="18"/>
        </w:rPr>
        <w:t>model-specific configuration;</w:t>
      </w:r>
    </w:p>
    <w:p>
      <w:pPr>
        <w:pStyle w:val="ListBullet"/>
      </w:pPr>
      <w:r>
        <w:rPr>
          <w:rFonts w:ascii="Aptos" w:hAnsi="Aptos"/>
          <w:sz w:val="18"/>
        </w:rPr>
        <w:t>risk-specific rules;</w:t>
      </w:r>
    </w:p>
    <w:p>
      <w:pPr>
        <w:pStyle w:val="ListBullet"/>
      </w:pPr>
      <w:r>
        <w:rPr>
          <w:rFonts w:ascii="Aptos" w:hAnsi="Aptos"/>
          <w:sz w:val="18"/>
        </w:rPr>
        <w:t>specialised evaluators.</w:t>
      </w:r>
    </w:p>
    <w:p>
      <w:r>
        <w:rPr>
          <w:rFonts w:ascii="Aptos" w:hAnsi="Aptos"/>
          <w:sz w:val="18"/>
        </w:rPr>
        <w:t>Where an incoming AI model introduces a genuinely new risk or architecture, additional evaluation components can be developed and incorporated into the common validation workflow and evidence framework.</w:t>
      </w:r>
    </w:p>
    <w:tbl>
      <w:tblPr>
        <w:tblStyle w:val="TableGrid"/>
        <w:tblW w:type="auto" w:w="0"/>
        <w:jc w:val="center"/>
        <w:tblLook w:firstColumn="1" w:firstRow="1" w:lastColumn="0" w:lastRow="0" w:noHBand="0" w:noVBand="1" w:val="04A0"/>
      </w:tblPr>
      <w:tblGrid>
        <w:gridCol w:w="10080"/>
      </w:tblGrid>
      <w:tr>
        <w:tc>
          <w:tcPr>
            <w:tcW w:type="dxa" w:w="10080"/>
            <w:shd w:fill="EAF4EE"/>
            <w:tcMar>
              <w:top w:w="120" w:type="dxa"/>
              <w:start w:w="120" w:type="dxa"/>
              <w:bottom w:w="120" w:type="dxa"/>
              <w:end w:w="120" w:type="dxa"/>
            </w:tcMar>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pPr>
            <w:r>
              <w:rPr>
                <w:rFonts w:ascii="Aptos" w:hAnsi="Aptos"/>
                <w:b/>
                <w:color w:val="005A32"/>
                <w:sz w:val="16"/>
              </w:rPr>
              <w:t xml:space="preserve">Key Audit message: </w:t>
            </w:r>
            <w:r>
              <w:rPr>
                <w:rFonts w:ascii="Aptos" w:hAnsi="Aptos"/>
                <w:color w:val="202020"/>
                <w:sz w:val="16"/>
              </w:rPr>
              <w:t>The future-capability proposition is based on reusable architecture and extensibility, rather than a claim that every possible future Agentic AI test has already been built.</w:t>
            </w:r>
          </w:p>
        </w:tc>
      </w:tr>
    </w:tbl>
    <w:p/>
    <w:p>
      <w:pPr>
        <w:pStyle w:val="Heading1"/>
        <w:keepNext/>
        <w:shd w:fill="007A3D"/>
        <w:spacing w:before="180" w:after="100"/>
        <w:ind w:left="58" w:right="58"/>
      </w:pPr>
      <w:r>
        <w:rPr>
          <w:b/>
          <w:color w:val="FFFFFF"/>
          <w:sz w:val="25"/>
        </w:rPr>
        <w:t>12. Current Agentic AI Validation Capability</w:t>
      </w:r>
    </w:p>
    <w:p>
      <w:r>
        <w:rPr>
          <w:rFonts w:ascii="Aptos" w:hAnsi="Aptos"/>
          <w:sz w:val="18"/>
        </w:rPr>
        <w:t>Technical capability is being extended beyond final-output testing to support systems that make decisions, call tools and execute multi-step workflows.</w:t>
      </w:r>
    </w:p>
    <w:p>
      <w:pPr>
        <w:pStyle w:val="ListBullet"/>
      </w:pPr>
      <w:r>
        <w:rPr>
          <w:rFonts w:ascii="Aptos" w:hAnsi="Aptos"/>
          <w:sz w:val="18"/>
        </w:rPr>
        <w:t>decision appropriateness;</w:t>
      </w:r>
    </w:p>
    <w:p>
      <w:pPr>
        <w:pStyle w:val="ListBullet"/>
      </w:pPr>
      <w:r>
        <w:rPr>
          <w:rFonts w:ascii="Aptos" w:hAnsi="Aptos"/>
          <w:sz w:val="18"/>
        </w:rPr>
        <w:t>routing decisions;</w:t>
      </w:r>
    </w:p>
    <w:p>
      <w:pPr>
        <w:pStyle w:val="ListBullet"/>
      </w:pPr>
      <w:r>
        <w:rPr>
          <w:rFonts w:ascii="Aptos" w:hAnsi="Aptos"/>
          <w:sz w:val="18"/>
        </w:rPr>
        <w:t>tool selection;</w:t>
      </w:r>
    </w:p>
    <w:p>
      <w:pPr>
        <w:pStyle w:val="ListBullet"/>
      </w:pPr>
      <w:r>
        <w:rPr>
          <w:rFonts w:ascii="Aptos" w:hAnsi="Aptos"/>
          <w:sz w:val="18"/>
        </w:rPr>
        <w:t>tool arguments;</w:t>
      </w:r>
    </w:p>
    <w:p>
      <w:pPr>
        <w:pStyle w:val="ListBullet"/>
      </w:pPr>
      <w:r>
        <w:rPr>
          <w:rFonts w:ascii="Aptos" w:hAnsi="Aptos"/>
          <w:sz w:val="18"/>
        </w:rPr>
        <w:t>permitted and prohibited actions;</w:t>
      </w:r>
    </w:p>
    <w:p>
      <w:pPr>
        <w:pStyle w:val="ListBullet"/>
      </w:pPr>
      <w:r>
        <w:rPr>
          <w:rFonts w:ascii="Aptos" w:hAnsi="Aptos"/>
          <w:sz w:val="18"/>
        </w:rPr>
        <w:t>workflow / trajectory;</w:t>
      </w:r>
    </w:p>
    <w:p>
      <w:pPr>
        <w:pStyle w:val="ListBullet"/>
      </w:pPr>
      <w:r>
        <w:rPr>
          <w:rFonts w:ascii="Aptos" w:hAnsi="Aptos"/>
          <w:sz w:val="18"/>
        </w:rPr>
        <w:t>intermediate outputs;</w:t>
      </w:r>
    </w:p>
    <w:p>
      <w:pPr>
        <w:pStyle w:val="ListBullet"/>
      </w:pPr>
      <w:r>
        <w:rPr>
          <w:rFonts w:ascii="Aptos" w:hAnsi="Aptos"/>
          <w:sz w:val="18"/>
        </w:rPr>
        <w:t>response to tool failure;</w:t>
      </w:r>
    </w:p>
    <w:p>
      <w:pPr>
        <w:pStyle w:val="ListBullet"/>
      </w:pPr>
      <w:r>
        <w:rPr>
          <w:rFonts w:ascii="Aptos" w:hAnsi="Aptos"/>
          <w:sz w:val="18"/>
        </w:rPr>
        <w:t>fallback behaviour;</w:t>
      </w:r>
    </w:p>
    <w:p>
      <w:pPr>
        <w:pStyle w:val="ListBullet"/>
      </w:pPr>
      <w:r>
        <w:rPr>
          <w:rFonts w:ascii="Aptos" w:hAnsi="Aptos"/>
          <w:sz w:val="18"/>
        </w:rPr>
        <w:t>guardrail adherence;</w:t>
      </w:r>
    </w:p>
    <w:p>
      <w:pPr>
        <w:pStyle w:val="ListBullet"/>
      </w:pPr>
      <w:r>
        <w:rPr>
          <w:rFonts w:ascii="Aptos" w:hAnsi="Aptos"/>
          <w:sz w:val="18"/>
        </w:rPr>
        <w:t>final outcome quality;</w:t>
      </w:r>
    </w:p>
    <w:p>
      <w:pPr>
        <w:pStyle w:val="ListBullet"/>
      </w:pPr>
      <w:r>
        <w:rPr>
          <w:rFonts w:ascii="Aptos" w:hAnsi="Aptos"/>
          <w:sz w:val="18"/>
        </w:rPr>
        <w:t>traceability and evidence.</w:t>
      </w:r>
    </w:p>
    <w:tbl>
      <w:tblPr>
        <w:tblStyle w:val="TableGrid"/>
        <w:tblW w:type="auto" w:w="0"/>
        <w:jc w:val="center"/>
        <w:tblLook w:firstColumn="1" w:firstRow="1" w:lastColumn="0" w:lastRow="0" w:noHBand="0" w:noVBand="1" w:val="04A0"/>
      </w:tblPr>
      <w:tblGrid>
        <w:gridCol w:w="10080"/>
      </w:tblGrid>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Scenario</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Agent decision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Tool selection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Arguments</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Execution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Observation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Subsequent decision</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Final outcome</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Evaluation against expected behaviour</w:t>
            </w:r>
          </w:p>
        </w:tc>
      </w:tr>
    </w:tbl>
    <w:p/>
    <w:p>
      <w:r>
        <w:rPr>
          <w:rFonts w:ascii="Aptos" w:hAnsi="Aptos"/>
          <w:sz w:val="18"/>
        </w:rPr>
        <w:t>Agentic AI validation capability is under active development. Controlled illustrative examples are used to develop and test reusable evaluation approaches covering decision-making, tool usage, trajectory and component-level behaviour.</w:t>
      </w:r>
    </w:p>
    <w:p>
      <w:r>
        <w:rPr>
          <w:rFonts w:ascii="Aptos" w:hAnsi="Aptos"/>
          <w:sz w:val="18"/>
        </w:rPr>
        <w:t>These examples demonstrate current technical direction and extensibility and should not be interpreted as evidence that every potential Agentic AI architecture is already supported.</w:t>
      </w:r>
    </w:p>
    <w:p>
      <w:pPr>
        <w:pStyle w:val="Heading1"/>
        <w:keepNext/>
        <w:shd w:fill="007A3D"/>
        <w:spacing w:before="180" w:after="100"/>
        <w:ind w:left="58" w:right="58"/>
      </w:pPr>
      <w:r>
        <w:rPr>
          <w:b/>
          <w:color w:val="FFFFFF"/>
          <w:sz w:val="25"/>
        </w:rPr>
        <w:t>13. Tool Adequacy and Fitness-for-Purpose Approach</w:t>
      </w:r>
    </w:p>
    <w:p>
      <w:r>
        <w:rPr>
          <w:rFonts w:ascii="Aptos" w:hAnsi="Aptos"/>
          <w:sz w:val="18"/>
        </w:rPr>
        <w:t>Fitness for purpose is considered in the context of the specific validation objective and risk being assessed.</w:t>
      </w:r>
    </w:p>
    <w:p>
      <w:r>
        <w:rPr>
          <w:rFonts w:ascii="Aptos" w:hAnsi="Aptos"/>
          <w:sz w:val="18"/>
        </w:rPr>
        <w:t>Current capabilities provide configurable and repeatable evaluation approaches, with relevant inputs, configuration and outputs available for independent validator review and interpretation.</w:t>
      </w:r>
    </w:p>
    <w:p>
      <w:r>
        <w:rPr>
          <w:rFonts w:ascii="Aptos" w:hAnsi="Aptos"/>
          <w:sz w:val="18"/>
        </w:rPr>
        <w:t>The tools are used as supporting technical capabilities rather than standalone decision-making controls.</w:t>
      </w:r>
    </w:p>
    <w:p>
      <w:r>
        <w:rPr>
          <w:rFonts w:ascii="Aptos" w:hAnsi="Aptos"/>
          <w:sz w:val="18"/>
        </w:rPr>
        <w:t>The validator remains responsible for determining relevant testing, reviewing methodology and limitations, assessing testing evidence, and determining how results contribute to the validation conclusion.</w:t>
      </w:r>
    </w:p>
    <w:p>
      <w:r>
        <w:rPr>
          <w:rFonts w:ascii="Aptos" w:hAnsi="Aptos"/>
          <w:sz w:val="18"/>
        </w:rPr>
        <w:t>MRO is also working with PwC to further formalise and enhance evaluation methodology benchmarking and fitness-for-purpose assessment.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Consideration</w:t>
            </w:r>
          </w:p>
        </w:tc>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Current approach</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Relevance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Evaluation approach aligned to identified risk / validation objective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Repeatability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Testing can be rerun using defined inputs and configuration</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Transparency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Inputs, criteria, configuration and outputs can be reviewed</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Evidence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Relevant results and artefacts can be retained</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Configurability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Evaluation can be tailored to validation-specific risks</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Extensibility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New evaluation methods can be incorporated</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Human oversight</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Validator reviews and interprets results</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Limitations</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Technical and methodological limitations are considered</w:t>
            </w:r>
          </w:p>
        </w:tc>
      </w:tr>
    </w:tbl>
    <w:p>
      <w:pPr>
        <w:pStyle w:val="Heading1"/>
        <w:keepNext/>
        <w:shd w:fill="007A3D"/>
        <w:spacing w:before="180" w:after="100"/>
        <w:ind w:left="58" w:right="58"/>
      </w:pPr>
      <w:r>
        <w:rPr>
          <w:b/>
          <w:color w:val="FFFFFF"/>
          <w:sz w:val="25"/>
        </w:rPr>
        <w:t>14. Capability Verification Summary</w:t>
      </w:r>
    </w:p>
    <w:p>
      <w:r>
        <w:rPr>
          <w:rFonts w:ascii="Aptos" w:hAnsi="Aptos"/>
          <w:sz w:val="18"/>
        </w:rPr>
        <w:t>This concise summary provides evidence that pilot/developing capabilities are subject to technical verification without creating a separate Audit pack for every implementation.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Capability category</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Verification approach</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Current status</w:t>
            </w:r>
          </w:p>
        </w:tc>
        <w:tc>
          <w:tcPr>
            <w:tcW w:type="dxa" w:w="252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Representative evidence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Output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Controlled inputs and expected outputs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[reference]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LLM-as-a-Judge</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Known examples and review of outputs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[reference]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Guardrail testing</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Positive / negative scenarios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[reference]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RAG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Controlled retrieval / generation examples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[reference]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Scenario generation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Sample review / controlled scenarios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[reference]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Agent decision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Controlled synthetic scenarios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[reference]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Tool-call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Expected vs observed calls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6"/>
              </w:rPr>
              <w:t>[reference]</w:t>
            </w:r>
          </w:p>
        </w:tc>
      </w:tr>
      <w:tr>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Trace / trajectory evaluation</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Controlled trace examples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[status]</w:t>
            </w:r>
          </w:p>
        </w:tc>
        <w:tc>
          <w:tcPr>
            <w:tcW w:type="dxa" w:w="252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6"/>
              </w:rPr>
              <w:t>[reference]</w:t>
            </w:r>
          </w:p>
        </w:tc>
      </w:tr>
    </w:tbl>
    <w:tbl>
      <w:tblPr>
        <w:tblStyle w:val="TableGrid"/>
        <w:tblW w:type="auto" w:w="0"/>
        <w:jc w:val="center"/>
        <w:tblLook w:firstColumn="1" w:firstRow="1" w:lastColumn="0" w:lastRow="0" w:noHBand="0" w:noVBand="1" w:val="04A0"/>
      </w:tblPr>
      <w:tblGrid>
        <w:gridCol w:w="10080"/>
      </w:tblGrid>
      <w:tr>
        <w:tc>
          <w:tcPr>
            <w:tcW w:type="dxa" w:w="10080"/>
            <w:shd w:fill="EAF4EE"/>
            <w:tcMar>
              <w:top w:w="120" w:type="dxa"/>
              <w:start w:w="120" w:type="dxa"/>
              <w:bottom w:w="120" w:type="dxa"/>
              <w:end w:w="120" w:type="dxa"/>
            </w:tcMar>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pPr>
            <w:r>
              <w:rPr>
                <w:rFonts w:ascii="Aptos" w:hAnsi="Aptos"/>
                <w:b/>
                <w:color w:val="005A32"/>
                <w:sz w:val="16"/>
              </w:rPr>
              <w:t xml:space="preserve">Completion control: </w:t>
            </w:r>
            <w:r>
              <w:rPr>
                <w:rFonts w:ascii="Aptos" w:hAnsi="Aptos"/>
                <w:color w:val="202020"/>
                <w:sz w:val="16"/>
              </w:rPr>
              <w:t>Only include verification that can be evidenced.</w:t>
            </w:r>
          </w:p>
        </w:tc>
      </w:tr>
    </w:tbl>
    <w:p/>
    <w:p>
      <w:pPr>
        <w:pStyle w:val="Heading1"/>
        <w:keepNext/>
        <w:shd w:fill="007A3D"/>
        <w:spacing w:before="180" w:after="100"/>
        <w:ind w:left="58" w:right="58"/>
      </w:pPr>
      <w:r>
        <w:rPr>
          <w:b/>
          <w:color w:val="FFFFFF"/>
          <w:sz w:val="25"/>
        </w:rPr>
        <w:t>15. Representative Executable Audit Evidence</w:t>
      </w:r>
    </w:p>
    <w:p>
      <w:r>
        <w:rPr>
          <w:rFonts w:ascii="Aptos" w:hAnsi="Aptos"/>
          <w:sz w:val="18"/>
        </w:rPr>
        <w:t>To support Audit Data Science re-performance, MRO can prepare a standalone technical demonstration pack covering representative evaluation patterns. This demonstrates technical depth and reproducibility without providing every experimental implementation.</w:t>
      </w:r>
    </w:p>
    <w:p>
      <w:pPr>
        <w:pStyle w:val="Heading2"/>
        <w:keepNext/>
        <w:pBdr>
          <w:bottom w:val="single" w:sz="8" w:space="0" w:color="007A3D"/>
        </w:pBdr>
      </w:pPr>
      <w:r>
        <w:rPr>
          <w:b/>
          <w:color w:val="005A32"/>
        </w:rPr>
        <w:t>15.1 Example 1 – GenAI output evaluation</w:t>
      </w:r>
    </w:p>
    <w:p>
      <w:r>
        <w:rPr>
          <w:rFonts w:ascii="Aptos" w:hAnsi="Aptos"/>
          <w:sz w:val="18"/>
        </w:rPr>
        <w:t>Test data → evaluator configuration → execution → result → expected outcome</w:t>
      </w:r>
    </w:p>
    <w:p>
      <w:pPr>
        <w:pStyle w:val="Heading2"/>
        <w:keepNext/>
        <w:pBdr>
          <w:bottom w:val="single" w:sz="8" w:space="0" w:color="007A3D"/>
        </w:pBdr>
      </w:pPr>
      <w:r>
        <w:rPr>
          <w:b/>
          <w:color w:val="005A32"/>
        </w:rPr>
        <w:t>15.2 Example 2 – Guardrail / robustness evaluation</w:t>
      </w:r>
    </w:p>
    <w:p>
      <w:r>
        <w:rPr>
          <w:rFonts w:ascii="Aptos" w:hAnsi="Aptos"/>
          <w:sz w:val="18"/>
        </w:rPr>
        <w:t>Controlled safe / unsafe scenarios → execution → classification / result</w:t>
      </w:r>
    </w:p>
    <w:p>
      <w:pPr>
        <w:pStyle w:val="Heading2"/>
        <w:keepNext/>
        <w:pBdr>
          <w:bottom w:val="single" w:sz="8" w:space="0" w:color="007A3D"/>
        </w:pBdr>
      </w:pPr>
      <w:r>
        <w:rPr>
          <w:b/>
          <w:color w:val="005A32"/>
        </w:rPr>
        <w:t>15.3 Example 3 – RAG evaluation</w:t>
      </w:r>
    </w:p>
    <w:p>
      <w:r>
        <w:rPr>
          <w:rFonts w:ascii="Aptos" w:hAnsi="Aptos"/>
          <w:sz w:val="18"/>
        </w:rPr>
        <w:t>Question → retrieved context → generated answer → retrieval / groundedness evaluation</w:t>
      </w:r>
    </w:p>
    <w:p>
      <w:pPr>
        <w:pStyle w:val="Heading2"/>
        <w:keepNext/>
        <w:pBdr>
          <w:bottom w:val="single" w:sz="8" w:space="0" w:color="007A3D"/>
        </w:pBdr>
      </w:pPr>
      <w:r>
        <w:rPr>
          <w:b/>
          <w:color w:val="005A32"/>
        </w:rPr>
        <w:t>15.4 Example 4 – Agentic AI evaluation</w:t>
      </w:r>
    </w:p>
    <w:p>
      <w:r>
        <w:rPr>
          <w:rFonts w:ascii="Aptos" w:hAnsi="Aptos"/>
          <w:sz w:val="18"/>
        </w:rPr>
        <w:t>Scenario → decision / trace → tool selection → action → expected behaviour → evaluation</w:t>
      </w:r>
    </w:p>
    <w:p>
      <w:pPr>
        <w:pStyle w:val="Heading2"/>
        <w:keepNext/>
        <w:pBdr>
          <w:bottom w:val="single" w:sz="8" w:space="0" w:color="007A3D"/>
        </w:pBdr>
      </w:pPr>
      <w:r>
        <w:rPr>
          <w:b/>
          <w:color w:val="005A32"/>
        </w:rPr>
        <w:t>15.5 Suggested pack contents</w:t>
      </w:r>
    </w:p>
    <w:p>
      <w:pPr>
        <w:pStyle w:val="ListBullet"/>
      </w:pPr>
      <w:r>
        <w:rPr>
          <w:rFonts w:ascii="Aptos" w:hAnsi="Aptos"/>
          <w:sz w:val="18"/>
        </w:rPr>
        <w:t>README;</w:t>
      </w:r>
    </w:p>
    <w:p>
      <w:pPr>
        <w:pStyle w:val="ListBullet"/>
      </w:pPr>
      <w:r>
        <w:rPr>
          <w:rFonts w:ascii="Aptos" w:hAnsi="Aptos"/>
          <w:sz w:val="18"/>
        </w:rPr>
        <w:t>representative datasets;</w:t>
      </w:r>
    </w:p>
    <w:p>
      <w:pPr>
        <w:pStyle w:val="ListBullet"/>
      </w:pPr>
      <w:r>
        <w:rPr>
          <w:rFonts w:ascii="Aptos" w:hAnsi="Aptos"/>
          <w:sz w:val="18"/>
        </w:rPr>
        <w:t>notebooks / scripts;</w:t>
      </w:r>
    </w:p>
    <w:p>
      <w:pPr>
        <w:pStyle w:val="ListBullet"/>
      </w:pPr>
      <w:r>
        <w:rPr>
          <w:rFonts w:ascii="Aptos" w:hAnsi="Aptos"/>
          <w:sz w:val="18"/>
        </w:rPr>
        <w:t>configurations;</w:t>
      </w:r>
    </w:p>
    <w:p>
      <w:pPr>
        <w:pStyle w:val="ListBullet"/>
      </w:pPr>
      <w:r>
        <w:rPr>
          <w:rFonts w:ascii="Aptos" w:hAnsi="Aptos"/>
          <w:sz w:val="18"/>
        </w:rPr>
        <w:t>relevant prompts;</w:t>
      </w:r>
    </w:p>
    <w:p>
      <w:pPr>
        <w:pStyle w:val="ListBullet"/>
      </w:pPr>
      <w:r>
        <w:rPr>
          <w:rFonts w:ascii="Aptos" w:hAnsi="Aptos"/>
          <w:sz w:val="18"/>
        </w:rPr>
        <w:t>dependency/version information;</w:t>
      </w:r>
    </w:p>
    <w:p>
      <w:pPr>
        <w:pStyle w:val="ListBullet"/>
      </w:pPr>
      <w:r>
        <w:rPr>
          <w:rFonts w:ascii="Aptos" w:hAnsi="Aptos"/>
          <w:sz w:val="18"/>
        </w:rPr>
        <w:t>expected results;</w:t>
      </w:r>
    </w:p>
    <w:p>
      <w:pPr>
        <w:pStyle w:val="ListBullet"/>
      </w:pPr>
      <w:r>
        <w:rPr>
          <w:rFonts w:ascii="Aptos" w:hAnsi="Aptos"/>
          <w:sz w:val="18"/>
        </w:rPr>
        <w:t>short methodology descriptions.</w:t>
      </w:r>
    </w:p>
    <w:p>
      <w:pPr>
        <w:pStyle w:val="Heading1"/>
        <w:keepNext/>
        <w:shd w:fill="007A3D"/>
        <w:spacing w:before="180" w:after="100"/>
        <w:ind w:left="58" w:right="58"/>
      </w:pPr>
      <w:r>
        <w:rPr>
          <w:b/>
          <w:color w:val="FFFFFF"/>
          <w:sz w:val="25"/>
        </w:rPr>
        <w:t>16. Evidence from Completed Independent Validation</w:t>
      </w:r>
    </w:p>
    <w:p>
      <w:r>
        <w:rPr>
          <w:rFonts w:ascii="Aptos" w:hAnsi="Aptos"/>
          <w:sz w:val="18"/>
        </w:rPr>
        <w:t>Where requested by Audit, MRO can provide targeted evidence from selected completed validations to demonstrate how technical testing supported independent validation in practice.</w:t>
      </w:r>
    </w:p>
    <w:tbl>
      <w:tblPr>
        <w:tblStyle w:val="TableGrid"/>
        <w:tblW w:type="auto" w:w="0"/>
        <w:jc w:val="center"/>
        <w:tblLook w:firstColumn="1" w:firstRow="1" w:lastColumn="0" w:lastRow="0" w:noHBand="0" w:noVBand="1" w:val="04A0"/>
      </w:tblPr>
      <w:tblGrid>
        <w:gridCol w:w="10080"/>
      </w:tblGrid>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Validation report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Test scenarios / data</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Captured model outputs</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Evaluation methodology</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Relevant code / notebook</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Testing result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6"/>
              </w:rPr>
              <w:t>↓</w:t>
            </w:r>
          </w:p>
        </w:tc>
      </w:tr>
      <w:tr>
        <w:tc>
          <w:tcPr>
            <w:tcW w:type="dxa" w:w="10080"/>
            <w:tcMar>
              <w:top w:w="70" w:type="dxa"/>
              <w:start w:w="100" w:type="dxa"/>
              <w:bottom w:w="70" w:type="dxa"/>
              <w:end w:w="100" w:type="dxa"/>
            </w:tcMar>
            <w:shd w:fill="EAF4EE"/>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jc w:val="center"/>
            </w:pPr>
            <w:r>
              <w:rPr>
                <w:rFonts w:ascii="Aptos" w:hAnsi="Aptos"/>
                <w:b/>
                <w:color w:val="005A32"/>
                <w:sz w:val="18"/>
              </w:rPr>
              <w:t>Validation assessment</w:t>
            </w:r>
          </w:p>
        </w:tc>
      </w:tr>
    </w:tbl>
    <w:p/>
    <w:tbl>
      <w:tblPr>
        <w:tblStyle w:val="TableGrid"/>
        <w:tblW w:type="auto" w:w="0"/>
        <w:jc w:val="center"/>
        <w:tblLook w:firstColumn="1" w:firstRow="1" w:lastColumn="0" w:lastRow="0" w:noHBand="0" w:noVBand="1" w:val="04A0"/>
      </w:tblPr>
      <w:tblGrid>
        <w:gridCol w:w="10080"/>
      </w:tblGrid>
      <w:tr>
        <w:tc>
          <w:tcPr>
            <w:tcW w:type="dxa" w:w="10080"/>
            <w:shd w:fill="EAF4EE"/>
            <w:tcMar>
              <w:top w:w="120" w:type="dxa"/>
              <w:start w:w="120" w:type="dxa"/>
              <w:bottom w:w="120" w:type="dxa"/>
              <w:end w:w="120" w:type="dxa"/>
            </w:tcMar>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pPr>
            <w:r>
              <w:rPr>
                <w:rFonts w:ascii="Aptos" w:hAnsi="Aptos"/>
                <w:b/>
                <w:color w:val="005A32"/>
                <w:sz w:val="16"/>
              </w:rPr>
              <w:t xml:space="preserve">Important principle: </w:t>
            </w:r>
            <w:r>
              <w:rPr>
                <w:rFonts w:ascii="Aptos" w:hAnsi="Aptos"/>
                <w:color w:val="202020"/>
                <w:sz w:val="16"/>
              </w:rPr>
              <w:t>Completed-validation evidence should reflect the approach actually used at the time. Current or newly developed tooling should not be presented retrospectively as having supported a historical validation where it did not.</w:t>
            </w:r>
          </w:p>
        </w:tc>
      </w:tr>
    </w:tbl>
    <w:p/>
    <w:p>
      <w:pPr>
        <w:pStyle w:val="Heading1"/>
        <w:keepNext/>
        <w:shd w:fill="007A3D"/>
        <w:spacing w:before="180" w:after="100"/>
        <w:ind w:left="58" w:right="58"/>
      </w:pPr>
      <w:r>
        <w:rPr>
          <w:b/>
          <w:color w:val="FFFFFF"/>
          <w:sz w:val="25"/>
        </w:rPr>
        <w:t>17. Benchmarking and Industry Alignment</w:t>
      </w:r>
    </w:p>
    <w:p>
      <w:r>
        <w:rPr>
          <w:rFonts w:ascii="Aptos" w:hAnsi="Aptos"/>
          <w:sz w:val="18"/>
        </w:rPr>
        <w:t>MRO's technical validation capability is informed by independent validation experience, relevant external methodologies, evolving industry practice, and internal testing and verification.</w:t>
      </w:r>
    </w:p>
    <w:p>
      <w:r>
        <w:rPr>
          <w:rFonts w:ascii="Aptos" w:hAnsi="Aptos"/>
          <w:sz w:val="18"/>
        </w:rPr>
        <w:t>MRO is currently working with PwC to further develop:</w:t>
      </w:r>
    </w:p>
    <w:p>
      <w:pPr>
        <w:pStyle w:val="ListBullet"/>
      </w:pPr>
      <w:r>
        <w:rPr>
          <w:rFonts w:ascii="Aptos" w:hAnsi="Aptos"/>
          <w:sz w:val="18"/>
        </w:rPr>
        <w:t>evaluation methodology benchmarking;</w:t>
      </w:r>
    </w:p>
    <w:p>
      <w:pPr>
        <w:pStyle w:val="ListBullet"/>
      </w:pPr>
      <w:r>
        <w:rPr>
          <w:rFonts w:ascii="Aptos" w:hAnsi="Aptos"/>
          <w:sz w:val="18"/>
        </w:rPr>
        <w:t>alternative-method comparison;</w:t>
      </w:r>
    </w:p>
    <w:p>
      <w:pPr>
        <w:pStyle w:val="ListBullet"/>
      </w:pPr>
      <w:r>
        <w:rPr>
          <w:rFonts w:ascii="Aptos" w:hAnsi="Aptos"/>
          <w:sz w:val="18"/>
        </w:rPr>
        <w:t>fitness-for-purpose assessment;</w:t>
      </w:r>
    </w:p>
    <w:p>
      <w:pPr>
        <w:pStyle w:val="ListBullet"/>
      </w:pPr>
      <w:r>
        <w:rPr>
          <w:rFonts w:ascii="Aptos" w:hAnsi="Aptos"/>
          <w:sz w:val="18"/>
        </w:rPr>
        <w:t>identification of technical coverage gaps;</w:t>
      </w:r>
    </w:p>
    <w:p>
      <w:pPr>
        <w:pStyle w:val="ListBullet"/>
      </w:pPr>
      <w:r>
        <w:rPr>
          <w:rFonts w:ascii="Aptos" w:hAnsi="Aptos"/>
          <w:sz w:val="18"/>
        </w:rPr>
        <w:t>emerging Agentic AI testing approaches.</w:t>
      </w:r>
    </w:p>
    <w:p>
      <w:r>
        <w:rPr>
          <w:rFonts w:ascii="Aptos" w:hAnsi="Aptos"/>
          <w:sz w:val="18"/>
        </w:rPr>
        <w:t>This work is ongoing and is intended to enhance and formalise the existing assurance approach.</w:t>
      </w:r>
    </w:p>
    <w:tbl>
      <w:tblPr>
        <w:tblStyle w:val="TableGrid"/>
        <w:tblW w:type="auto" w:w="0"/>
        <w:jc w:val="center"/>
        <w:tblLook w:firstColumn="1" w:firstRow="1" w:lastColumn="0" w:lastRow="0" w:noHBand="0" w:noVBand="1" w:val="04A0"/>
      </w:tblPr>
      <w:tblGrid>
        <w:gridCol w:w="10080"/>
      </w:tblGrid>
      <w:tr>
        <w:tc>
          <w:tcPr>
            <w:tcW w:type="dxa" w:w="10080"/>
            <w:shd w:fill="EAF4EE"/>
            <w:tcMar>
              <w:top w:w="120" w:type="dxa"/>
              <w:start w:w="120" w:type="dxa"/>
              <w:bottom w:w="120" w:type="dxa"/>
              <w:end w:w="120" w:type="dxa"/>
            </w:tcMar>
            <w:vAlign w:val="top"/>
            <w:tcBorders>
              <w:top w:val="single" w:sz="6" w:color="007A3D"/>
              <w:left w:val="single" w:sz="6" w:color="007A3D"/>
              <w:bottom w:val="single" w:sz="6" w:color="007A3D"/>
              <w:right w:val="single" w:sz="6" w:color="007A3D"/>
              <w:insideH w:val="single" w:sz="6" w:color="007A3D"/>
              <w:insideV w:val="single" w:sz="6" w:color="007A3D"/>
            </w:tcBorders>
          </w:tcPr>
          <w:p>
            <w:pPr>
              <w:spacing w:after="30" w:line="240" w:lineRule="auto"/>
            </w:pPr>
            <w:r>
              <w:rPr>
                <w:rFonts w:ascii="Aptos" w:hAnsi="Aptos"/>
                <w:b/>
                <w:color w:val="005A32"/>
                <w:sz w:val="16"/>
              </w:rPr>
              <w:t xml:space="preserve">Key Audit message: </w:t>
            </w:r>
            <w:r>
              <w:rPr>
                <w:rFonts w:ascii="Aptos" w:hAnsi="Aptos"/>
                <w:color w:val="202020"/>
                <w:sz w:val="16"/>
              </w:rPr>
              <w:t>The PwC work should be presented as an enhancement, rather than as the sole basis for current technical assurance.</w:t>
            </w:r>
          </w:p>
        </w:tc>
      </w:tr>
    </w:tbl>
    <w:p/>
    <w:p>
      <w:pPr>
        <w:pStyle w:val="Heading1"/>
        <w:keepNext/>
        <w:shd w:fill="007A3D"/>
        <w:spacing w:before="180" w:after="100"/>
        <w:ind w:left="58" w:right="58"/>
      </w:pPr>
      <w:r>
        <w:rPr>
          <w:b/>
          <w:color w:val="FFFFFF"/>
          <w:sz w:val="25"/>
        </w:rPr>
        <w:t>18. Governance and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Area</w:t>
            </w:r>
          </w:p>
        </w:tc>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Primary responsibility</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Validation methodology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AI IVT / MRO</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Validation scope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Independent validator</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Test selection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Independent validator</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Tool / platform development</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AI Tech &amp; Tooling</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Tool configuration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Validator with tooling support</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Technical support</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AI Tech &amp; Tooling</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Result interpretation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Independent validator</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Validation conclusion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AI IVT</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Tool enhancement / backlog</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AI Tech &amp; Tooling with IVT feedback</w:t>
            </w:r>
          </w:p>
        </w:tc>
      </w:tr>
    </w:tbl>
    <w:p>
      <w:r>
        <w:rPr>
          <w:rFonts w:ascii="Aptos" w:hAnsi="Aptos"/>
          <w:sz w:val="18"/>
        </w:rPr>
        <w:t>The operating model maintains a clear distinction between technical enablement and independent validation judgement. AI Tech &amp; Tooling develops and supports technical capability. AI IVT remains accountable for validation methodology, interpretation and conclusions.</w:t>
      </w:r>
    </w:p>
    <w:p>
      <w:pPr>
        <w:pStyle w:val="Heading1"/>
        <w:keepNext/>
        <w:shd w:fill="007A3D"/>
        <w:spacing w:before="180" w:after="100"/>
        <w:ind w:left="58" w:right="58"/>
      </w:pPr>
      <w:r>
        <w:rPr>
          <w:b/>
          <w:color w:val="FFFFFF"/>
          <w:sz w:val="25"/>
        </w:rPr>
        <w:t>19. Change and Enhancement Approach</w:t>
      </w:r>
    </w:p>
    <w:p>
      <w:r>
        <w:rPr>
          <w:rFonts w:ascii="Aptos" w:hAnsi="Aptos"/>
          <w:sz w:val="18"/>
        </w:rPr>
        <w:t>AI validation capability is expected to evolve as:</w:t>
      </w:r>
    </w:p>
    <w:p>
      <w:pPr>
        <w:pStyle w:val="ListBullet"/>
      </w:pPr>
      <w:r>
        <w:rPr>
          <w:rFonts w:ascii="Aptos" w:hAnsi="Aptos"/>
          <w:sz w:val="18"/>
        </w:rPr>
        <w:t>AI architectures change;</w:t>
      </w:r>
    </w:p>
    <w:p>
      <w:pPr>
        <w:pStyle w:val="ListBullet"/>
      </w:pPr>
      <w:r>
        <w:rPr>
          <w:rFonts w:ascii="Aptos" w:hAnsi="Aptos"/>
          <w:sz w:val="18"/>
        </w:rPr>
        <w:t>new validation risks emerge;</w:t>
      </w:r>
    </w:p>
    <w:p>
      <w:pPr>
        <w:pStyle w:val="ListBullet"/>
      </w:pPr>
      <w:r>
        <w:rPr>
          <w:rFonts w:ascii="Aptos" w:hAnsi="Aptos"/>
          <w:sz w:val="18"/>
        </w:rPr>
        <w:t>validation experience increases;</w:t>
      </w:r>
    </w:p>
    <w:p>
      <w:pPr>
        <w:pStyle w:val="ListBullet"/>
      </w:pPr>
      <w:r>
        <w:rPr>
          <w:rFonts w:ascii="Aptos" w:hAnsi="Aptos"/>
          <w:sz w:val="18"/>
        </w:rPr>
        <w:t>industry methodologies develop;</w:t>
      </w:r>
    </w:p>
    <w:p>
      <w:pPr>
        <w:pStyle w:val="ListBullet"/>
      </w:pPr>
      <w:r>
        <w:rPr>
          <w:rFonts w:ascii="Aptos" w:hAnsi="Aptos"/>
          <w:sz w:val="18"/>
        </w:rPr>
        <w:t>PwC work identifies relevant enhancements;</w:t>
      </w:r>
    </w:p>
    <w:p>
      <w:pPr>
        <w:pStyle w:val="ListBullet"/>
      </w:pPr>
      <w:r>
        <w:rPr>
          <w:rFonts w:ascii="Aptos" w:hAnsi="Aptos"/>
          <w:sz w:val="18"/>
        </w:rPr>
        <w:t>Audit or assurance activity identifies legitimate improvement opportunities.</w:t>
      </w:r>
    </w:p>
    <w:p>
      <w:r>
        <w:rPr>
          <w:rFonts w:ascii="Aptos" w:hAnsi="Aptos"/>
          <w:sz w:val="18"/>
        </w:rPr>
        <w:t>Enhancements are prioritised through the normal AI Tech &amp; Tooling backlog and engagement with AI IVT.</w:t>
      </w:r>
    </w:p>
    <w:p>
      <w:r>
        <w:rPr>
          <w:rFonts w:ascii="Aptos" w:hAnsi="Aptos"/>
          <w:sz w:val="18"/>
        </w:rPr>
        <w:t>The architecture is intended to allow additional evaluation components to be incorporated without redesigning the overall validation workflow.</w:t>
      </w:r>
    </w:p>
    <w:p>
      <w:pPr>
        <w:pStyle w:val="Heading1"/>
        <w:keepNext/>
        <w:shd w:fill="007A3D"/>
        <w:spacing w:before="180" w:after="100"/>
        <w:ind w:left="58" w:right="58"/>
      </w:pPr>
      <w:r>
        <w:rPr>
          <w:b/>
          <w:color w:val="FFFFFF"/>
          <w:sz w:val="25"/>
        </w:rPr>
        <w:t>20. Current Limitations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Current limitation</w:t>
            </w:r>
          </w:p>
        </w:tc>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Current treatment / mitigation</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Agentic AI evaluation methodologies continue to emerge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Controlled illustrative scenarios and active development</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Capability maturity differs across evaluation categories</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Explicit maturity classification</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Some testing requires validator configuration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Intentional risk-based configuration and independent judgement</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Automated scores may vary by model, prompt or methodology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Validator interpretation remains mandatory</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Benchmarking methodology is being further formalised</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PwC-supported enhancement</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Wider engineering platform continues to evolve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Validation capability assessed separately from supporting engineering</w:t>
            </w:r>
          </w:p>
        </w:tc>
      </w:tr>
    </w:tbl>
    <w:p>
      <w:r>
        <w:rPr>
          <w:rFonts w:ascii="Aptos" w:hAnsi="Aptos"/>
          <w:sz w:val="18"/>
        </w:rPr>
        <w:t>These limitations reflect the evolving nature of AI validation and the current pilot operating model. They are considered as part of capability development and do not remove the requirement for independent validator judgement.</w:t>
      </w:r>
    </w:p>
    <w:p>
      <w:pPr>
        <w:pStyle w:val="Heading1"/>
        <w:keepNext/>
        <w:shd w:fill="007A3D"/>
        <w:spacing w:before="180" w:after="100"/>
        <w:ind w:left="58" w:right="58"/>
      </w:pPr>
      <w:r>
        <w:rPr>
          <w:b/>
          <w:color w:val="FFFFFF"/>
          <w:sz w:val="25"/>
        </w:rPr>
        <w:t>21. Capability Roadmap</w:t>
      </w:r>
    </w:p>
    <w:p>
      <w:pPr>
        <w:pStyle w:val="Heading2"/>
        <w:keepNext/>
        <w:pBdr>
          <w:bottom w:val="single" w:sz="8" w:space="0" w:color="007A3D"/>
        </w:pBdr>
      </w:pPr>
      <w:r>
        <w:rPr>
          <w:b/>
          <w:color w:val="005A32"/>
        </w:rPr>
        <w:t>21.1 Current / pilot capability</w:t>
      </w:r>
    </w:p>
    <w:p>
      <w:pPr>
        <w:pStyle w:val="ListBullet"/>
      </w:pPr>
      <w:r>
        <w:rPr>
          <w:rFonts w:ascii="Aptos" w:hAnsi="Aptos"/>
          <w:sz w:val="18"/>
        </w:rPr>
        <w:t>GenAI output evaluation;</w:t>
      </w:r>
    </w:p>
    <w:p>
      <w:pPr>
        <w:pStyle w:val="ListBullet"/>
      </w:pPr>
      <w:r>
        <w:rPr>
          <w:rFonts w:ascii="Aptos" w:hAnsi="Aptos"/>
          <w:sz w:val="18"/>
        </w:rPr>
        <w:t>LLM-as-a-Judge;</w:t>
      </w:r>
    </w:p>
    <w:p>
      <w:pPr>
        <w:pStyle w:val="ListBullet"/>
      </w:pPr>
      <w:r>
        <w:rPr>
          <w:rFonts w:ascii="Aptos" w:hAnsi="Aptos"/>
          <w:sz w:val="18"/>
        </w:rPr>
        <w:t>guardrail testing;</w:t>
      </w:r>
    </w:p>
    <w:p>
      <w:pPr>
        <w:pStyle w:val="ListBullet"/>
      </w:pPr>
      <w:r>
        <w:rPr>
          <w:rFonts w:ascii="Aptos" w:hAnsi="Aptos"/>
          <w:sz w:val="18"/>
        </w:rPr>
        <w:t>scenario / synthetic-data capability;</w:t>
      </w:r>
    </w:p>
    <w:p>
      <w:pPr>
        <w:pStyle w:val="ListBullet"/>
      </w:pPr>
      <w:r>
        <w:rPr>
          <w:rFonts w:ascii="Aptos" w:hAnsi="Aptos"/>
          <w:sz w:val="18"/>
        </w:rPr>
        <w:t>RAG evaluation;</w:t>
      </w:r>
    </w:p>
    <w:p>
      <w:pPr>
        <w:pStyle w:val="ListBullet"/>
      </w:pPr>
      <w:r>
        <w:rPr>
          <w:rFonts w:ascii="Aptos" w:hAnsi="Aptos"/>
          <w:sz w:val="18"/>
        </w:rPr>
        <w:t>reusable testing and evidence generation.</w:t>
      </w:r>
    </w:p>
    <w:p>
      <w:pPr>
        <w:pStyle w:val="Heading2"/>
        <w:keepNext/>
        <w:pBdr>
          <w:bottom w:val="single" w:sz="8" w:space="0" w:color="007A3D"/>
        </w:pBdr>
      </w:pPr>
      <w:r>
        <w:rPr>
          <w:b/>
          <w:color w:val="005A32"/>
        </w:rPr>
        <w:t>21.2 Near-term development</w:t>
      </w:r>
    </w:p>
    <w:p>
      <w:pPr>
        <w:pStyle w:val="ListBullet"/>
      </w:pPr>
      <w:r>
        <w:rPr>
          <w:rFonts w:ascii="Aptos" w:hAnsi="Aptos"/>
          <w:sz w:val="18"/>
        </w:rPr>
        <w:t>strengthened Agentic AI evaluation;</w:t>
      </w:r>
    </w:p>
    <w:p>
      <w:pPr>
        <w:pStyle w:val="ListBullet"/>
      </w:pPr>
      <w:r>
        <w:rPr>
          <w:rFonts w:ascii="Aptos" w:hAnsi="Aptos"/>
          <w:sz w:val="18"/>
        </w:rPr>
        <w:t>decision and tool-call evaluation;</w:t>
      </w:r>
    </w:p>
    <w:p>
      <w:pPr>
        <w:pStyle w:val="ListBullet"/>
      </w:pPr>
      <w:r>
        <w:rPr>
          <w:rFonts w:ascii="Aptos" w:hAnsi="Aptos"/>
          <w:sz w:val="18"/>
        </w:rPr>
        <w:t>trajectory / trace evaluation;</w:t>
      </w:r>
    </w:p>
    <w:p>
      <w:pPr>
        <w:pStyle w:val="ListBullet"/>
      </w:pPr>
      <w:r>
        <w:rPr>
          <w:rFonts w:ascii="Aptos" w:hAnsi="Aptos"/>
          <w:sz w:val="18"/>
        </w:rPr>
        <w:t>expanded benchmarking / adequacy approach;</w:t>
      </w:r>
    </w:p>
    <w:p>
      <w:pPr>
        <w:pStyle w:val="ListBullet"/>
      </w:pPr>
      <w:r>
        <w:rPr>
          <w:rFonts w:ascii="Aptos" w:hAnsi="Aptos"/>
          <w:sz w:val="18"/>
        </w:rPr>
        <w:t>increased reusable evaluation components.</w:t>
      </w:r>
    </w:p>
    <w:p>
      <w:pPr>
        <w:pStyle w:val="Heading2"/>
        <w:keepNext/>
        <w:pBdr>
          <w:bottom w:val="single" w:sz="8" w:space="0" w:color="007A3D"/>
        </w:pBdr>
      </w:pPr>
      <w:r>
        <w:rPr>
          <w:b/>
          <w:color w:val="005A32"/>
        </w:rPr>
        <w:t>21.3 Longer-term direction</w:t>
      </w:r>
    </w:p>
    <w:p>
      <w:pPr>
        <w:pStyle w:val="ListBullet"/>
      </w:pPr>
      <w:r>
        <w:rPr>
          <w:rFonts w:ascii="Aptos" w:hAnsi="Aptos"/>
          <w:sz w:val="18"/>
        </w:rPr>
        <w:t>broader reusable evaluation patterns;</w:t>
      </w:r>
    </w:p>
    <w:p>
      <w:pPr>
        <w:pStyle w:val="ListBullet"/>
      </w:pPr>
      <w:r>
        <w:rPr>
          <w:rFonts w:ascii="Aptos" w:hAnsi="Aptos"/>
          <w:sz w:val="18"/>
        </w:rPr>
        <w:t>enhanced evidence management;</w:t>
      </w:r>
    </w:p>
    <w:p>
      <w:pPr>
        <w:pStyle w:val="ListBullet"/>
      </w:pPr>
      <w:r>
        <w:rPr>
          <w:rFonts w:ascii="Aptos" w:hAnsi="Aptos"/>
          <w:sz w:val="18"/>
        </w:rPr>
        <w:t>increased configuration-driven validation;</w:t>
      </w:r>
    </w:p>
    <w:p>
      <w:pPr>
        <w:pStyle w:val="ListBullet"/>
      </w:pPr>
      <w:r>
        <w:rPr>
          <w:rFonts w:ascii="Aptos" w:hAnsi="Aptos"/>
          <w:sz w:val="18"/>
        </w:rPr>
        <w:t>support for emerging AI architectures;</w:t>
      </w:r>
    </w:p>
    <w:p>
      <w:pPr>
        <w:pStyle w:val="ListBullet"/>
      </w:pPr>
      <w:r>
        <w:rPr>
          <w:rFonts w:ascii="Aptos" w:hAnsi="Aptos"/>
          <w:sz w:val="18"/>
        </w:rPr>
        <w:t>increased workflow integration across independent validation.</w:t>
      </w:r>
    </w:p>
    <w:p>
      <w:r>
        <w:rPr>
          <w:rFonts w:ascii="Aptos" w:hAnsi="Aptos"/>
          <w:sz w:val="18"/>
        </w:rPr>
        <w:t>The roadmap illustrates capability direction rather than committing MRO to a fixed future tool catalogue. Priorities will continue to evolve based on incoming validations, emerging AI risks and MRO requirements.</w:t>
      </w:r>
    </w:p>
    <w:p>
      <w:pPr>
        <w:pStyle w:val="Heading1"/>
        <w:keepNext/>
        <w:shd w:fill="007A3D"/>
        <w:spacing w:before="180" w:after="100"/>
        <w:ind w:left="58" w:right="58"/>
      </w:pPr>
      <w:r>
        <w:rPr>
          <w:b/>
          <w:color w:val="FFFFFF"/>
          <w:sz w:val="25"/>
        </w:rPr>
        <w:t>22. Audit Evidence Model</w:t>
      </w:r>
    </w:p>
    <w:p>
      <w:pPr>
        <w:pStyle w:val="Heading2"/>
        <w:keepNext/>
        <w:pBdr>
          <w:bottom w:val="single" w:sz="8" w:space="0" w:color="007A3D"/>
        </w:pBdr>
      </w:pPr>
      <w:r>
        <w:rPr>
          <w:b/>
          <w:color w:val="005A32"/>
        </w:rPr>
        <w:t>22.1 Level 1 – Capability and coverage</w:t>
      </w:r>
    </w:p>
    <w:p>
      <w:pPr>
        <w:pStyle w:val="ListBullet"/>
      </w:pPr>
      <w:r>
        <w:rPr>
          <w:rFonts w:ascii="Aptos" w:hAnsi="Aptos"/>
          <w:sz w:val="18"/>
        </w:rPr>
        <w:t>Capability Pack;</w:t>
      </w:r>
    </w:p>
    <w:p>
      <w:pPr>
        <w:pStyle w:val="ListBullet"/>
      </w:pPr>
      <w:r>
        <w:rPr>
          <w:rFonts w:ascii="Aptos" w:hAnsi="Aptos"/>
          <w:sz w:val="18"/>
        </w:rPr>
        <w:t>simplified Capability Catalogue;</w:t>
      </w:r>
    </w:p>
    <w:p>
      <w:pPr>
        <w:pStyle w:val="ListBullet"/>
      </w:pPr>
      <w:r>
        <w:rPr>
          <w:rFonts w:ascii="Aptos" w:hAnsi="Aptos"/>
          <w:sz w:val="18"/>
        </w:rPr>
        <w:t>model-type coverage summary;</w:t>
      </w:r>
    </w:p>
    <w:p>
      <w:pPr>
        <w:pStyle w:val="ListBullet"/>
      </w:pPr>
      <w:r>
        <w:rPr>
          <w:rFonts w:ascii="Aptos" w:hAnsi="Aptos"/>
          <w:sz w:val="18"/>
        </w:rPr>
        <w:t>validation architecture;</w:t>
      </w:r>
    </w:p>
    <w:p>
      <w:pPr>
        <w:pStyle w:val="ListBullet"/>
      </w:pPr>
      <w:r>
        <w:rPr>
          <w:rFonts w:ascii="Aptos" w:hAnsi="Aptos"/>
          <w:sz w:val="18"/>
        </w:rPr>
        <w:t>maturity assessment.</w:t>
      </w:r>
    </w:p>
    <w:p>
      <w:r>
        <w:rPr>
          <w:rFonts w:ascii="Aptos" w:hAnsi="Aptos"/>
          <w:sz w:val="18"/>
        </w:rPr>
        <w:t>Purpose: demonstrate breadth, governance and operating model.</w:t>
      </w:r>
    </w:p>
    <w:p>
      <w:pPr>
        <w:pStyle w:val="Heading2"/>
        <w:keepNext/>
        <w:pBdr>
          <w:bottom w:val="single" w:sz="8" w:space="0" w:color="007A3D"/>
        </w:pBdr>
      </w:pPr>
      <w:r>
        <w:rPr>
          <w:b/>
          <w:color w:val="005A32"/>
        </w:rPr>
        <w:t>22.2 Level 2 – Representative executable evidence</w:t>
      </w:r>
    </w:p>
    <w:p>
      <w:pPr>
        <w:pStyle w:val="ListBullet"/>
      </w:pPr>
      <w:r>
        <w:rPr>
          <w:rFonts w:ascii="Aptos" w:hAnsi="Aptos"/>
          <w:sz w:val="18"/>
        </w:rPr>
        <w:t>standalone technical demonstration pack;</w:t>
      </w:r>
    </w:p>
    <w:p>
      <w:pPr>
        <w:pStyle w:val="ListBullet"/>
      </w:pPr>
      <w:r>
        <w:rPr>
          <w:rFonts w:ascii="Aptos" w:hAnsi="Aptos"/>
          <w:sz w:val="18"/>
        </w:rPr>
        <w:t>representative GenAI / RAG / Agentic examples;</w:t>
      </w:r>
    </w:p>
    <w:p>
      <w:pPr>
        <w:pStyle w:val="ListBullet"/>
      </w:pPr>
      <w:r>
        <w:rPr>
          <w:rFonts w:ascii="Aptos" w:hAnsi="Aptos"/>
          <w:sz w:val="18"/>
        </w:rPr>
        <w:t>test data;</w:t>
      </w:r>
    </w:p>
    <w:p>
      <w:pPr>
        <w:pStyle w:val="ListBullet"/>
      </w:pPr>
      <w:r>
        <w:rPr>
          <w:rFonts w:ascii="Aptos" w:hAnsi="Aptos"/>
          <w:sz w:val="18"/>
        </w:rPr>
        <w:t>configuration;</w:t>
      </w:r>
    </w:p>
    <w:p>
      <w:pPr>
        <w:pStyle w:val="ListBullet"/>
      </w:pPr>
      <w:r>
        <w:rPr>
          <w:rFonts w:ascii="Aptos" w:hAnsi="Aptos"/>
          <w:sz w:val="18"/>
        </w:rPr>
        <w:t>code;</w:t>
      </w:r>
    </w:p>
    <w:p>
      <w:pPr>
        <w:pStyle w:val="ListBullet"/>
      </w:pPr>
      <w:r>
        <w:rPr>
          <w:rFonts w:ascii="Aptos" w:hAnsi="Aptos"/>
          <w:sz w:val="18"/>
        </w:rPr>
        <w:t>expected results.</w:t>
      </w:r>
    </w:p>
    <w:p>
      <w:r>
        <w:rPr>
          <w:rFonts w:ascii="Aptos" w:hAnsi="Aptos"/>
          <w:sz w:val="18"/>
        </w:rPr>
        <w:t>Purpose: demonstrate technical operation and reproducibility.</w:t>
      </w:r>
    </w:p>
    <w:p>
      <w:pPr>
        <w:pStyle w:val="Heading2"/>
        <w:keepNext/>
        <w:pBdr>
          <w:bottom w:val="single" w:sz="8" w:space="0" w:color="007A3D"/>
        </w:pBdr>
      </w:pPr>
      <w:r>
        <w:rPr>
          <w:b/>
          <w:color w:val="005A32"/>
        </w:rPr>
        <w:t>22.3 Level 3 – Targeted technical deep dive</w:t>
      </w:r>
    </w:p>
    <w:p>
      <w:pPr>
        <w:pStyle w:val="ListBullet"/>
      </w:pPr>
      <w:r>
        <w:rPr>
          <w:rFonts w:ascii="Aptos" w:hAnsi="Aptos"/>
          <w:sz w:val="18"/>
        </w:rPr>
        <w:t>relevant implementation;</w:t>
      </w:r>
    </w:p>
    <w:p>
      <w:pPr>
        <w:pStyle w:val="ListBullet"/>
      </w:pPr>
      <w:r>
        <w:rPr>
          <w:rFonts w:ascii="Aptos" w:hAnsi="Aptos"/>
          <w:sz w:val="18"/>
        </w:rPr>
        <w:t>configuration;</w:t>
      </w:r>
    </w:p>
    <w:p>
      <w:pPr>
        <w:pStyle w:val="ListBullet"/>
      </w:pPr>
      <w:r>
        <w:rPr>
          <w:rFonts w:ascii="Aptos" w:hAnsi="Aptos"/>
          <w:sz w:val="18"/>
        </w:rPr>
        <w:t>test data;</w:t>
      </w:r>
    </w:p>
    <w:p>
      <w:pPr>
        <w:pStyle w:val="ListBullet"/>
      </w:pPr>
      <w:r>
        <w:rPr>
          <w:rFonts w:ascii="Aptos" w:hAnsi="Aptos"/>
          <w:sz w:val="18"/>
        </w:rPr>
        <w:t>dependencies;</w:t>
      </w:r>
    </w:p>
    <w:p>
      <w:pPr>
        <w:pStyle w:val="ListBullet"/>
      </w:pPr>
      <w:r>
        <w:rPr>
          <w:rFonts w:ascii="Aptos" w:hAnsi="Aptos"/>
          <w:sz w:val="18"/>
        </w:rPr>
        <w:t>methodology;</w:t>
      </w:r>
    </w:p>
    <w:p>
      <w:pPr>
        <w:pStyle w:val="ListBullet"/>
      </w:pPr>
      <w:r>
        <w:rPr>
          <w:rFonts w:ascii="Aptos" w:hAnsi="Aptos"/>
          <w:sz w:val="18"/>
        </w:rPr>
        <w:t>expected results;</w:t>
      </w:r>
    </w:p>
    <w:p>
      <w:pPr>
        <w:pStyle w:val="ListBullet"/>
      </w:pPr>
      <w:r>
        <w:rPr>
          <w:rFonts w:ascii="Aptos" w:hAnsi="Aptos"/>
          <w:sz w:val="18"/>
        </w:rPr>
        <w:t>supporting evidence.</w:t>
      </w:r>
    </w:p>
    <w:p>
      <w:r>
        <w:rPr>
          <w:rFonts w:ascii="Aptos" w:hAnsi="Aptos"/>
          <w:sz w:val="18"/>
        </w:rPr>
        <w:t>Purpose: enable detailed independent challenge without treating every prototype, library component or engineering module as a separate validation tool.</w:t>
      </w:r>
    </w:p>
    <w:p>
      <w:pPr>
        <w:pStyle w:val="Heading1"/>
        <w:keepNext/>
        <w:shd w:fill="007A3D"/>
        <w:spacing w:before="180" w:after="100"/>
        <w:ind w:left="58" w:right="58"/>
      </w:pPr>
      <w:r>
        <w:rPr>
          <w:b/>
          <w:color w:val="FFFFFF"/>
          <w:sz w:val="25"/>
        </w:rPr>
        <w:t>23. Audit Requirement Mapping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Likely Audit question</w:t>
            </w:r>
          </w:p>
        </w:tc>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Capability Pack response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Does MRO have technical capability to validate GenAI?</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Sections 7–10</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Does MRO cover RAG risks?</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Sections 7–8 and 10</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Is MRO preparing for Agentic AI validation?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Sections 11–12</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Are tools adequate / fit for purpose?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Sections 13–14</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Can testing be reproduced?</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Sections 14–16</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Have capabilities supported completed validation activity?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Section 16</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Is capability governed?</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Sections 5, 18–19</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Is tooling replacing independent judgement?</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Sections 5–6 and 18</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How does capability evolve?</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Sections 11, 19–21</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Can Audit technically test the capability?</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Sections 15 and 22</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How has overall coverage been assessed?</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Sections 3, 7 and 8</w:t>
            </w:r>
          </w:p>
        </w:tc>
      </w:tr>
    </w:tbl>
    <w:p>
      <w:pPr>
        <w:pStyle w:val="Heading1"/>
        <w:keepNext/>
        <w:shd w:fill="007A3D"/>
        <w:spacing w:before="180" w:after="100"/>
        <w:ind w:left="58" w:right="58"/>
      </w:pPr>
      <w:r>
        <w:rPr>
          <w:b/>
          <w:color w:val="FFFFFF"/>
          <w:sz w:val="25"/>
        </w:rPr>
        <w:t>24. Key Conclusions</w:t>
      </w:r>
    </w:p>
    <w:p>
      <w:r>
        <w:rPr>
          <w:rFonts w:ascii="Aptos" w:hAnsi="Aptos"/>
          <w:sz w:val="18"/>
        </w:rPr>
        <w:t>MRO has established a substantive and growing technical capability supporting independent validation of GenAI and RAG models and the development of future Agentic AI validation capability.</w:t>
      </w:r>
    </w:p>
    <w:p>
      <w:pPr>
        <w:pStyle w:val="ListBullet"/>
      </w:pPr>
      <w:r>
        <w:rPr>
          <w:rFonts w:ascii="Aptos" w:hAnsi="Aptos"/>
          <w:sz w:val="18"/>
        </w:rPr>
        <w:t>is informed by the detailed AI / Agentic AI Platform Testing Gap Analysis;</w:t>
      </w:r>
    </w:p>
    <w:p>
      <w:pPr>
        <w:pStyle w:val="ListBullet"/>
      </w:pPr>
      <w:r>
        <w:rPr>
          <w:rFonts w:ascii="Aptos" w:hAnsi="Aptos"/>
          <w:sz w:val="18"/>
        </w:rPr>
        <w:t>is organised around validation risks and capability categories rather than individual software tools;</w:t>
      </w:r>
    </w:p>
    <w:p>
      <w:pPr>
        <w:pStyle w:val="ListBullet"/>
      </w:pPr>
      <w:r>
        <w:rPr>
          <w:rFonts w:ascii="Aptos" w:hAnsi="Aptos"/>
          <w:sz w:val="18"/>
        </w:rPr>
        <w:t>supports reusable and configurable evaluation approaches;</w:t>
      </w:r>
    </w:p>
    <w:p>
      <w:pPr>
        <w:pStyle w:val="ListBullet"/>
      </w:pPr>
      <w:r>
        <w:rPr>
          <w:rFonts w:ascii="Aptos" w:hAnsi="Aptos"/>
          <w:sz w:val="18"/>
        </w:rPr>
        <w:t>is being iteratively piloted with AI IVT;</w:t>
      </w:r>
    </w:p>
    <w:p>
      <w:pPr>
        <w:pStyle w:val="ListBullet"/>
      </w:pPr>
      <w:r>
        <w:rPr>
          <w:rFonts w:ascii="Aptos" w:hAnsi="Aptos"/>
          <w:sz w:val="18"/>
        </w:rPr>
        <w:t>retains independent validator judgement and accountability;</w:t>
      </w:r>
    </w:p>
    <w:p>
      <w:pPr>
        <w:pStyle w:val="ListBullet"/>
      </w:pPr>
      <w:r>
        <w:rPr>
          <w:rFonts w:ascii="Aptos" w:hAnsi="Aptos"/>
          <w:sz w:val="18"/>
        </w:rPr>
        <w:t>supports repeatable and evidence-based testing;</w:t>
      </w:r>
    </w:p>
    <w:p>
      <w:pPr>
        <w:pStyle w:val="ListBullet"/>
      </w:pPr>
      <w:r>
        <w:rPr>
          <w:rFonts w:ascii="Aptos" w:hAnsi="Aptos"/>
          <w:sz w:val="18"/>
        </w:rPr>
        <w:t>distinguishes clearly between pilot, developing, exploratory and planned capability;</w:t>
      </w:r>
    </w:p>
    <w:p>
      <w:pPr>
        <w:pStyle w:val="ListBullet"/>
      </w:pPr>
      <w:r>
        <w:rPr>
          <w:rFonts w:ascii="Aptos" w:hAnsi="Aptos"/>
          <w:sz w:val="18"/>
        </w:rPr>
        <w:t>is designed to accommodate new evaluation requirements as AI architectures evolve;</w:t>
      </w:r>
    </w:p>
    <w:p>
      <w:pPr>
        <w:pStyle w:val="ListBullet"/>
      </w:pPr>
      <w:r>
        <w:rPr>
          <w:rFonts w:ascii="Aptos" w:hAnsi="Aptos"/>
          <w:sz w:val="18"/>
        </w:rPr>
        <w:t>is being further strengthened through ongoing benchmarking and methodology work.</w:t>
      </w:r>
    </w:p>
    <w:p>
      <w:r>
        <w:rPr>
          <w:rFonts w:ascii="Aptos" w:hAnsi="Aptos"/>
          <w:sz w:val="18"/>
        </w:rPr>
        <w:t>MRO does not assume that a fixed set of technical tools developed today will address every future AI model or risk.</w:t>
      </w:r>
    </w:p>
    <w:p>
      <w:r>
        <w:rPr>
          <w:rFonts w:ascii="Aptos" w:hAnsi="Aptos"/>
          <w:sz w:val="18"/>
        </w:rPr>
        <w:t>Instead, the technical architecture provides a common and extensible validation framework into which new testing approaches can be incorporated where required.</w:t>
      </w:r>
    </w:p>
    <w:p>
      <w:r>
        <w:rPr>
          <w:rFonts w:ascii="Aptos" w:hAnsi="Aptos"/>
          <w:sz w:val="18"/>
        </w:rPr>
        <w:br w:type="page"/>
      </w:r>
    </w:p>
    <w:p>
      <w:pPr>
        <w:pStyle w:val="Heading1"/>
        <w:keepNext/>
        <w:shd w:fill="007A3D"/>
        <w:spacing w:before="180" w:after="100"/>
        <w:ind w:left="58" w:right="58"/>
      </w:pPr>
      <w:r>
        <w:rPr>
          <w:b/>
          <w:color w:val="FFFFFF"/>
          <w:sz w:val="25"/>
        </w:rPr>
        <w:t>Appendix A – Platform Testing Gap Analysis</w:t>
      </w:r>
    </w:p>
    <w:p>
      <w:r>
        <w:rPr>
          <w:rFonts w:ascii="Aptos" w:hAnsi="Aptos"/>
          <w:sz w:val="18"/>
        </w:rPr>
        <w:t>Internal detailed supporting analysis.</w:t>
      </w:r>
    </w:p>
    <w:p>
      <w:r>
        <w:rPr>
          <w:rFonts w:ascii="Aptos" w:hAnsi="Aptos"/>
          <w:sz w:val="18"/>
        </w:rPr>
        <w:t>Use Gery's existing Platform Testing Gap Analysis as the source analysis. It should not need to be recreated.</w:t>
      </w:r>
    </w:p>
    <w:p>
      <w:r>
        <w:rPr>
          <w:rFonts w:ascii="Aptos" w:hAnsi="Aptos"/>
          <w:sz w:val="18"/>
        </w:rPr>
        <w:t>If shared with Audit, it should be clearly positioned as detailed supporting analysis rather than the primary capability catalogue.</w:t>
      </w:r>
    </w:p>
    <w:p>
      <w:pPr>
        <w:pStyle w:val="Heading1"/>
        <w:keepNext/>
        <w:shd w:fill="007A3D"/>
        <w:spacing w:before="180" w:after="100"/>
        <w:ind w:left="58" w:right="58"/>
      </w:pPr>
      <w:r>
        <w:rPr>
          <w:b/>
          <w:color w:val="FFFFFF"/>
          <w:sz w:val="25"/>
        </w:rPr>
        <w:t>Appendix B – Detailed Capability Catalogue</w:t>
      </w:r>
    </w:p>
    <w:p>
      <w:pPr>
        <w:pStyle w:val="ListBullet"/>
      </w:pPr>
      <w:r>
        <w:rPr>
          <w:rFonts w:ascii="Aptos" w:hAnsi="Aptos"/>
          <w:sz w:val="18"/>
        </w:rPr>
        <w:t>capability category;</w:t>
      </w:r>
    </w:p>
    <w:p>
      <w:pPr>
        <w:pStyle w:val="ListBullet"/>
      </w:pPr>
      <w:r>
        <w:rPr>
          <w:rFonts w:ascii="Aptos" w:hAnsi="Aptos"/>
          <w:sz w:val="18"/>
        </w:rPr>
        <w:t>validation objective;</w:t>
      </w:r>
    </w:p>
    <w:p>
      <w:pPr>
        <w:pStyle w:val="ListBullet"/>
      </w:pPr>
      <w:r>
        <w:rPr>
          <w:rFonts w:ascii="Aptos" w:hAnsi="Aptos"/>
          <w:sz w:val="18"/>
        </w:rPr>
        <w:t>risks addressed;</w:t>
      </w:r>
    </w:p>
    <w:p>
      <w:pPr>
        <w:pStyle w:val="ListBullet"/>
      </w:pPr>
      <w:r>
        <w:rPr>
          <w:rFonts w:ascii="Aptos" w:hAnsi="Aptos"/>
          <w:sz w:val="18"/>
        </w:rPr>
        <w:t>applicable AI type;</w:t>
      </w:r>
    </w:p>
    <w:p>
      <w:pPr>
        <w:pStyle w:val="ListBullet"/>
      </w:pPr>
      <w:r>
        <w:rPr>
          <w:rFonts w:ascii="Aptos" w:hAnsi="Aptos"/>
          <w:sz w:val="18"/>
        </w:rPr>
        <w:t>maturity;</w:t>
      </w:r>
    </w:p>
    <w:p>
      <w:pPr>
        <w:pStyle w:val="ListBullet"/>
      </w:pPr>
      <w:r>
        <w:rPr>
          <w:rFonts w:ascii="Aptos" w:hAnsi="Aptos"/>
          <w:sz w:val="18"/>
        </w:rPr>
        <w:t>implementation approach;</w:t>
      </w:r>
    </w:p>
    <w:p>
      <w:pPr>
        <w:pStyle w:val="ListBullet"/>
      </w:pPr>
      <w:r>
        <w:rPr>
          <w:rFonts w:ascii="Aptos" w:hAnsi="Aptos"/>
          <w:sz w:val="18"/>
        </w:rPr>
        <w:t>configurability;</w:t>
      </w:r>
    </w:p>
    <w:p>
      <w:pPr>
        <w:pStyle w:val="ListBullet"/>
      </w:pPr>
      <w:r>
        <w:rPr>
          <w:rFonts w:ascii="Aptos" w:hAnsi="Aptos"/>
          <w:sz w:val="18"/>
        </w:rPr>
        <w:t>representative evidence;</w:t>
      </w:r>
    </w:p>
    <w:p>
      <w:pPr>
        <w:pStyle w:val="ListBullet"/>
      </w:pPr>
      <w:r>
        <w:rPr>
          <w:rFonts w:ascii="Aptos" w:hAnsi="Aptos"/>
          <w:sz w:val="18"/>
        </w:rPr>
        <w:t>owner;</w:t>
      </w:r>
    </w:p>
    <w:p>
      <w:pPr>
        <w:pStyle w:val="ListBullet"/>
      </w:pPr>
      <w:r>
        <w:rPr>
          <w:rFonts w:ascii="Aptos" w:hAnsi="Aptos"/>
          <w:sz w:val="18"/>
        </w:rPr>
        <w:t>current limitations.</w:t>
      </w:r>
    </w:p>
    <w:p>
      <w:r>
        <w:rPr>
          <w:rFonts w:ascii="Aptos" w:hAnsi="Aptos"/>
          <w:sz w:val="18"/>
        </w:rPr>
        <w:t>Avoid listing every underlying Python function as an independent validation tool.</w:t>
      </w:r>
    </w:p>
    <w:p>
      <w:pPr>
        <w:pStyle w:val="Heading1"/>
        <w:keepNext/>
        <w:shd w:fill="007A3D"/>
        <w:spacing w:before="180" w:after="100"/>
        <w:ind w:left="58" w:right="58"/>
      </w:pPr>
      <w:r>
        <w:rPr>
          <w:b/>
          <w:color w:val="FFFFFF"/>
          <w:sz w:val="25"/>
        </w:rPr>
        <w:t>Appendix C – Representative Evidence Mapping</w:t>
      </w:r>
    </w:p>
    <w:p>
      <w:pPr>
        <w:pStyle w:val="ListBullet"/>
      </w:pPr>
      <w:r>
        <w:rPr>
          <w:rFonts w:ascii="Aptos" w:hAnsi="Aptos"/>
          <w:sz w:val="18"/>
        </w:rPr>
        <w:t>representative evidence route;</w:t>
      </w:r>
    </w:p>
    <w:p>
      <w:pPr>
        <w:pStyle w:val="ListBullet"/>
      </w:pPr>
      <w:r>
        <w:rPr>
          <w:rFonts w:ascii="Aptos" w:hAnsi="Aptos"/>
          <w:sz w:val="18"/>
        </w:rPr>
        <w:t>whether evidence relates to completed validation or illustrative capability;</w:t>
      </w:r>
    </w:p>
    <w:p>
      <w:pPr>
        <w:pStyle w:val="ListBullet"/>
      </w:pPr>
      <w:r>
        <w:rPr>
          <w:rFonts w:ascii="Aptos" w:hAnsi="Aptos"/>
          <w:sz w:val="18"/>
        </w:rPr>
        <w:t>executable example available;</w:t>
      </w:r>
    </w:p>
    <w:p>
      <w:pPr>
        <w:pStyle w:val="ListBullet"/>
      </w:pPr>
      <w:r>
        <w:rPr>
          <w:rFonts w:ascii="Aptos" w:hAnsi="Aptos"/>
          <w:sz w:val="18"/>
        </w:rPr>
        <w:t>maturity;</w:t>
      </w:r>
    </w:p>
    <w:p>
      <w:pPr>
        <w:pStyle w:val="ListBullet"/>
      </w:pPr>
      <w:r>
        <w:rPr>
          <w:rFonts w:ascii="Aptos" w:hAnsi="Aptos"/>
          <w:sz w:val="18"/>
        </w:rPr>
        <w:t>relevant reference.</w:t>
      </w:r>
    </w:p>
    <w:p>
      <w:pPr>
        <w:pStyle w:val="Heading1"/>
        <w:keepNext/>
        <w:shd w:fill="007A3D"/>
        <w:spacing w:before="180" w:after="100"/>
        <w:ind w:left="58" w:right="58"/>
      </w:pPr>
      <w:r>
        <w:rPr>
          <w:b/>
          <w:color w:val="FFFFFF"/>
          <w:sz w:val="25"/>
        </w:rPr>
        <w:t>Appendix D – Representative Audit Technical Pack</w:t>
      </w:r>
    </w:p>
    <w:p>
      <w:pPr>
        <w:pStyle w:val="ListBullet"/>
      </w:pPr>
      <w:r>
        <w:rPr>
          <w:rFonts w:ascii="Aptos" w:hAnsi="Aptos"/>
          <w:sz w:val="18"/>
        </w:rPr>
        <w:t>validation objective;</w:t>
      </w:r>
    </w:p>
    <w:p>
      <w:pPr>
        <w:pStyle w:val="ListBullet"/>
      </w:pPr>
      <w:r>
        <w:rPr>
          <w:rFonts w:ascii="Aptos" w:hAnsi="Aptos"/>
          <w:sz w:val="18"/>
        </w:rPr>
        <w:t>representative data;</w:t>
      </w:r>
    </w:p>
    <w:p>
      <w:pPr>
        <w:pStyle w:val="ListBullet"/>
      </w:pPr>
      <w:r>
        <w:rPr>
          <w:rFonts w:ascii="Aptos" w:hAnsi="Aptos"/>
          <w:sz w:val="18"/>
        </w:rPr>
        <w:t>methodology;</w:t>
      </w:r>
    </w:p>
    <w:p>
      <w:pPr>
        <w:pStyle w:val="ListBullet"/>
      </w:pPr>
      <w:r>
        <w:rPr>
          <w:rFonts w:ascii="Aptos" w:hAnsi="Aptos"/>
          <w:sz w:val="18"/>
        </w:rPr>
        <w:t>configuration;</w:t>
      </w:r>
    </w:p>
    <w:p>
      <w:pPr>
        <w:pStyle w:val="ListBullet"/>
      </w:pPr>
      <w:r>
        <w:rPr>
          <w:rFonts w:ascii="Aptos" w:hAnsi="Aptos"/>
          <w:sz w:val="18"/>
        </w:rPr>
        <w:t>executable code;</w:t>
      </w:r>
    </w:p>
    <w:p>
      <w:pPr>
        <w:pStyle w:val="ListBullet"/>
      </w:pPr>
      <w:r>
        <w:rPr>
          <w:rFonts w:ascii="Aptos" w:hAnsi="Aptos"/>
          <w:sz w:val="18"/>
        </w:rPr>
        <w:t>expected outcome;</w:t>
      </w:r>
    </w:p>
    <w:p>
      <w:pPr>
        <w:pStyle w:val="ListBullet"/>
      </w:pPr>
      <w:r>
        <w:rPr>
          <w:rFonts w:ascii="Aptos" w:hAnsi="Aptos"/>
          <w:sz w:val="18"/>
        </w:rPr>
        <w:t>relevant limitations.</w:t>
      </w:r>
    </w:p>
    <w:p>
      <w:pPr>
        <w:pStyle w:val="Heading1"/>
        <w:keepNext/>
        <w:shd w:fill="007A3D"/>
        <w:spacing w:before="180" w:after="100"/>
        <w:ind w:left="58" w:right="58"/>
      </w:pPr>
      <w:r>
        <w:rPr>
          <w:b/>
          <w:color w:val="FFFFFF"/>
          <w:sz w:val="25"/>
        </w:rPr>
        <w:t>Appendix E – Completed Validation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Evidence item</w:t>
            </w:r>
          </w:p>
        </w:tc>
        <w:tc>
          <w:tcPr>
            <w:tcW w:type="dxa" w:w="5040"/>
            <w:shd w:fill="007A3D"/>
            <w:vAlign w:val="top"/>
            <w:tcBorders>
              <w:top w:val="single" w:sz="4" w:color="007A3D"/>
              <w:left w:val="single" w:sz="4" w:color="007A3D"/>
              <w:bottom w:val="single" w:sz="4" w:color="007A3D"/>
              <w:right w:val="single" w:sz="4" w:color="007A3D"/>
              <w:insideH w:val="single" w:sz="4" w:color="007A3D"/>
              <w:insideV w:val="single" w:sz="4" w:color="007A3D"/>
            </w:tcBorders>
          </w:tcPr>
          <w:p>
            <w:pPr>
              <w:spacing w:after="30" w:line="240" w:lineRule="auto"/>
            </w:pPr>
            <w:r>
              <w:rPr>
                <w:rFonts w:ascii="Aptos" w:hAnsi="Aptos"/>
                <w:b/>
                <w:color w:val="FFFFFF"/>
                <w:sz w:val="16"/>
              </w:rPr>
              <w:t>Reference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Validation report</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[reference]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Relevant testing section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[reference]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Dataset / scenario</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[reference]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Model output used for evaluation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[reference]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Testing code / notebook</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[reference]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Result</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shd w:fill="F5F5F5"/>
          </w:tcPr>
          <w:p>
            <w:pPr>
              <w:spacing w:after="30" w:line="240" w:lineRule="auto"/>
            </w:pPr>
            <w:r>
              <w:rPr>
                <w:rFonts w:ascii="Aptos" w:hAnsi="Aptos"/>
                <w:sz w:val="17"/>
              </w:rPr>
              <w:t>[reference]</w:t>
            </w:r>
          </w:p>
        </w:tc>
      </w:tr>
      <w:tr>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Validation conclusion</w:t>
            </w:r>
          </w:p>
        </w:tc>
        <w:tc>
          <w:tcPr>
            <w:tcW w:type="dxa" w:w="5040"/>
            <w:vAlign w:val="top"/>
            <w:tcMar>
              <w:top w:w="70" w:type="dxa"/>
              <w:start w:w="80" w:type="dxa"/>
              <w:bottom w:w="70" w:type="dxa"/>
              <w:end w:w="80" w:type="dxa"/>
            </w:tcMar>
            <w:tcBorders>
              <w:top w:val="single" w:sz="4" w:color="8A8A8A"/>
              <w:left w:val="single" w:sz="4" w:color="8A8A8A"/>
              <w:bottom w:val="single" w:sz="4" w:color="8A8A8A"/>
              <w:right w:val="single" w:sz="4" w:color="8A8A8A"/>
              <w:insideH w:val="single" w:sz="4" w:color="8A8A8A"/>
              <w:insideV w:val="single" w:sz="4" w:color="8A8A8A"/>
            </w:tcBorders>
          </w:tcPr>
          <w:p>
            <w:pPr>
              <w:spacing w:after="30" w:line="240" w:lineRule="auto"/>
            </w:pPr>
            <w:r>
              <w:rPr>
                <w:rFonts w:ascii="Aptos" w:hAnsi="Aptos"/>
                <w:sz w:val="17"/>
              </w:rPr>
              <w:t>[reference]</w:t>
            </w:r>
          </w:p>
        </w:tc>
      </w:tr>
    </w:tbl>
    <w:p>
      <w:pPr>
        <w:pStyle w:val="Heading1"/>
        <w:keepNext/>
        <w:shd w:fill="007A3D"/>
        <w:spacing w:before="180" w:after="100"/>
        <w:ind w:left="58" w:right="58"/>
      </w:pPr>
      <w:r>
        <w:rPr>
          <w:b/>
          <w:color w:val="FFFFFF"/>
          <w:sz w:val="25"/>
        </w:rPr>
        <w:t>Appendix F – Capability Verification Summary</w:t>
      </w:r>
    </w:p>
    <w:p>
      <w:r>
        <w:rPr>
          <w:rFonts w:ascii="Aptos" w:hAnsi="Aptos"/>
          <w:sz w:val="18"/>
        </w:rPr>
        <w:t>Maintain a concise record of verification performed for capabilities classified as Pilot / Available.</w:t>
      </w:r>
    </w:p>
    <w:p>
      <w:pPr>
        <w:pStyle w:val="Heading1"/>
        <w:keepNext/>
        <w:shd w:fill="007A3D"/>
        <w:spacing w:before="180" w:after="100"/>
        <w:ind w:left="58" w:right="58"/>
      </w:pPr>
      <w:r>
        <w:rPr>
          <w:b/>
          <w:color w:val="FFFFFF"/>
          <w:sz w:val="25"/>
        </w:rPr>
        <w:t>Appendix G – Supporting Architecture</w:t>
      </w:r>
    </w:p>
    <w:p>
      <w:pPr>
        <w:pStyle w:val="ListBullet"/>
      </w:pPr>
      <w:r>
        <w:rPr>
          <w:rFonts w:ascii="Aptos" w:hAnsi="Aptos"/>
          <w:sz w:val="18"/>
        </w:rPr>
        <w:t>model access / integration;</w:t>
      </w:r>
    </w:p>
    <w:p>
      <w:pPr>
        <w:pStyle w:val="ListBullet"/>
      </w:pPr>
      <w:r>
        <w:rPr>
          <w:rFonts w:ascii="Aptos" w:hAnsi="Aptos"/>
          <w:sz w:val="18"/>
        </w:rPr>
        <w:t>evaluation framework;</w:t>
      </w:r>
    </w:p>
    <w:p>
      <w:pPr>
        <w:pStyle w:val="ListBullet"/>
      </w:pPr>
      <w:r>
        <w:rPr>
          <w:rFonts w:ascii="Aptos" w:hAnsi="Aptos"/>
          <w:sz w:val="18"/>
        </w:rPr>
        <w:t>evidence management;</w:t>
      </w:r>
    </w:p>
    <w:p>
      <w:pPr>
        <w:pStyle w:val="ListBullet"/>
      </w:pPr>
      <w:r>
        <w:rPr>
          <w:rFonts w:ascii="Aptos" w:hAnsi="Aptos"/>
          <w:sz w:val="18"/>
        </w:rPr>
        <w:t>tracing support;</w:t>
      </w:r>
    </w:p>
    <w:p>
      <w:pPr>
        <w:pStyle w:val="ListBullet"/>
      </w:pPr>
      <w:r>
        <w:rPr>
          <w:rFonts w:ascii="Aptos" w:hAnsi="Aptos"/>
          <w:sz w:val="18"/>
        </w:rPr>
        <w:t>reporting;</w:t>
      </w:r>
    </w:p>
    <w:p>
      <w:pPr>
        <w:pStyle w:val="ListBullet"/>
      </w:pPr>
      <w:r>
        <w:rPr>
          <w:rFonts w:ascii="Aptos" w:hAnsi="Aptos"/>
          <w:sz w:val="18"/>
        </w:rPr>
        <w:t>user interaction.</w:t>
      </w:r>
    </w:p>
    <w:p>
      <w:r>
        <w:rPr>
          <w:rFonts w:ascii="Aptos" w:hAnsi="Aptos"/>
          <w:sz w:val="18"/>
        </w:rPr>
        <w:t>Detailed GUI, deployment, infrastructure and supporting engineering implementation should be provided separately where specifically relevant to an agreed Audit test.</w:t>
      </w:r>
    </w:p>
    <w:p>
      <w:r>
        <w:rPr>
          <w:rFonts w:ascii="Aptos" w:hAnsi="Aptos"/>
          <w:sz w:val="18"/>
        </w:rPr>
        <w:br w:type="page"/>
      </w:r>
    </w:p>
    <w:p>
      <w:pPr>
        <w:pStyle w:val="Heading1"/>
        <w:keepNext/>
        <w:shd w:fill="007A3D"/>
        <w:spacing w:before="180" w:after="100"/>
        <w:ind w:left="58" w:right="58"/>
      </w:pPr>
      <w:r>
        <w:rPr>
          <w:b/>
          <w:color w:val="FFFFFF"/>
          <w:sz w:val="25"/>
        </w:rPr>
        <w:t>Guidance to the Document Author</w:t>
      </w:r>
    </w:p>
    <w:p>
      <w:pPr>
        <w:pStyle w:val="ListNumber"/>
      </w:pPr>
      <w:r>
        <w:rPr>
          <w:rFonts w:ascii="Aptos" w:hAnsi="Aptos"/>
          <w:sz w:val="18"/>
        </w:rPr>
        <w:t>Start from Gery's existing Platform Testing Gap Analysis. Do not recreate the detailed analysis.</w:t>
      </w:r>
    </w:p>
    <w:p>
      <w:pPr>
        <w:pStyle w:val="ListNumber"/>
      </w:pPr>
      <w:r>
        <w:rPr>
          <w:rFonts w:ascii="Aptos" w:hAnsi="Aptos"/>
          <w:sz w:val="18"/>
        </w:rPr>
        <w:t>Consolidate detailed Gap Analysis rows into higher-level validation capability categories.</w:t>
      </w:r>
    </w:p>
    <w:p>
      <w:pPr>
        <w:pStyle w:val="ListNumber"/>
      </w:pPr>
      <w:r>
        <w:rPr>
          <w:rFonts w:ascii="Aptos" w:hAnsi="Aptos"/>
          <w:sz w:val="18"/>
        </w:rPr>
        <w:t>Use the Capability Catalogue to demonstrate breadth.</w:t>
      </w:r>
    </w:p>
    <w:p>
      <w:pPr>
        <w:pStyle w:val="ListNumber"/>
      </w:pPr>
      <w:r>
        <w:rPr>
          <w:rFonts w:ascii="Aptos" w:hAnsi="Aptos"/>
          <w:sz w:val="18"/>
        </w:rPr>
        <w:t>Use the Coverage Summary by AI Type as a simple executive summary; do not create another detailed risk matrix.</w:t>
      </w:r>
    </w:p>
    <w:p>
      <w:pPr>
        <w:pStyle w:val="ListNumber"/>
      </w:pPr>
      <w:r>
        <w:rPr>
          <w:rFonts w:ascii="Aptos" w:hAnsi="Aptos"/>
          <w:sz w:val="18"/>
        </w:rPr>
        <w:t>Use the Representative Evidence Mapping to demonstrate how breadth links to targeted technical evidence.</w:t>
      </w:r>
    </w:p>
    <w:p>
      <w:pPr>
        <w:pStyle w:val="ListNumber"/>
      </w:pPr>
      <w:r>
        <w:rPr>
          <w:rFonts w:ascii="Aptos" w:hAnsi="Aptos"/>
          <w:sz w:val="18"/>
        </w:rPr>
        <w:t>Describe capabilities rather than every Python package/function.</w:t>
      </w:r>
    </w:p>
    <w:p>
      <w:pPr>
        <w:pStyle w:val="ListNumber"/>
      </w:pPr>
      <w:r>
        <w:rPr>
          <w:rFonts w:ascii="Aptos" w:hAnsi="Aptos"/>
          <w:sz w:val="18"/>
        </w:rPr>
        <w:t>Do not describe prototypes as established validation controls.</w:t>
      </w:r>
    </w:p>
    <w:p>
      <w:pPr>
        <w:pStyle w:val="ListNumber"/>
      </w:pPr>
      <w:r>
        <w:rPr>
          <w:rFonts w:ascii="Aptos" w:hAnsi="Aptos"/>
          <w:sz w:val="18"/>
        </w:rPr>
        <w:t>Clearly separate completed-validation use, current pilot capability, developing capability, and exploratory/future capability.</w:t>
      </w:r>
    </w:p>
    <w:p>
      <w:pPr>
        <w:pStyle w:val="ListNumber"/>
      </w:pPr>
      <w:r>
        <w:rPr>
          <w:rFonts w:ascii="Aptos" w:hAnsi="Aptos"/>
          <w:sz w:val="18"/>
        </w:rPr>
        <w:t>Do not claim complete future Agentic AI coverage; demonstrate extensibility instead.</w:t>
      </w:r>
    </w:p>
    <w:p>
      <w:pPr>
        <w:pStyle w:val="ListNumber"/>
      </w:pPr>
      <w:r>
        <w:rPr>
          <w:rFonts w:ascii="Aptos" w:hAnsi="Aptos"/>
          <w:sz w:val="18"/>
        </w:rPr>
        <w:t>Only state verification that can be evidenced.</w:t>
      </w:r>
    </w:p>
    <w:p>
      <w:pPr>
        <w:pStyle w:val="ListNumber"/>
      </w:pPr>
      <w:r>
        <w:rPr>
          <w:rFonts w:ascii="Aptos" w:hAnsi="Aptos"/>
          <w:sz w:val="18"/>
        </w:rPr>
        <w:t>Keep independent validator judgement central throughout.</w:t>
      </w:r>
    </w:p>
    <w:p>
      <w:pPr>
        <w:pStyle w:val="ListNumber"/>
      </w:pPr>
      <w:r>
        <w:rPr>
          <w:rFonts w:ascii="Aptos" w:hAnsi="Aptos"/>
          <w:sz w:val="18"/>
        </w:rPr>
        <w:t>Use representative executable examples to demonstrate technical depth.</w:t>
      </w:r>
    </w:p>
    <w:p>
      <w:pPr>
        <w:pStyle w:val="ListNumber"/>
      </w:pPr>
      <w:r>
        <w:rPr>
          <w:rFonts w:ascii="Aptos" w:hAnsi="Aptos"/>
          <w:sz w:val="18"/>
        </w:rPr>
        <w:t>Keep supporting engineering architecture separate from evaluation capability unless directly relevant to an agreed Audit test.</w:t>
      </w:r>
    </w:p>
    <w:p>
      <w:pPr>
        <w:pStyle w:val="ListNumber"/>
      </w:pPr>
      <w:r>
        <w:rPr>
          <w:rFonts w:ascii="Aptos" w:hAnsi="Aptos"/>
          <w:sz w:val="18"/>
        </w:rPr>
        <w:t>Ensure statements remain consistent with MRM Independent Validation Standards, MRM GenAI guidance, current AI IVT validation practice, and relevant PwC work where applicable.</w:t>
      </w:r>
    </w:p>
    <w:p>
      <w:pPr>
        <w:pStyle w:val="ListNumber"/>
      </w:pPr>
      <w:r>
        <w:rPr>
          <w:rFonts w:ascii="Aptos" w:hAnsi="Aptos"/>
          <w:sz w:val="18"/>
        </w:rPr>
        <w:t>Do not automatically include detailed first-line comparison, internal comments or enhancement ideas from the Gap Analysis in the Audit-facing pack.</w:t>
      </w:r>
    </w:p>
    <w:sectPr w:rsidR="00FC693F" w:rsidRPr="0006063C" w:rsidSect="00034616">
      <w:footerReference w:type="default" r:id="rId9"/>
      <w:headerReference w:type="default" r:id="rId10"/>
      <w:pgSz w:w="12240" w:h="15840"/>
      <w:pgMar w:top="893"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A4A4A"/>
        <w:sz w:val="14"/>
      </w:rPr>
      <w:t xml:space="preserve">MRO AI Validation Capability Pack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0" w:color="007A3D"/>
      </w:pBdr>
    </w:pPr>
    <w:r>
      <w:rPr>
        <w:rFonts w:ascii="Aptos" w:hAnsi="Aptos"/>
        <w:color w:val="005A32"/>
        <w:sz w:val="15"/>
      </w:rPr>
      <w:t>MRO | AI Validation Capability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FFFFFF"/>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5A32"/>
      <w:sz w:val="21"/>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005A3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7A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