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jc w:val="start"/>
      </w:pPr>
      <w:r>
        <w:rPr>
          <w:rFonts w:ascii="Arial" w:cs="Arial" w:eastAsia="Arial" w:hAnsi="Arial"/>
          <w:b/>
          <w:bCs/>
          <w:color w:val="C8632A"/>
          <w:sz w:val="22"/>
          <w:szCs w:val="22"/>
          <w:rtl/>
        </w:rPr>
        <w:t xml:space="preserve">جامعة أم القرى · عمادة القبول والتسجيل — وكالة العمادة للتطوير</w:t>
      </w:r>
    </w:p>
    <w:p>
      <w:pPr>
        <w:bidi/>
        <w:spacing w:after="60" w:before="0" w:line="300"/>
        <w:jc w:val="start"/>
      </w:pPr>
      <w:r>
        <w:rPr>
          <w:rFonts w:ascii="Arial" w:cs="Arial" w:eastAsia="Arial" w:hAnsi="Arial"/>
          <w:b/>
          <w:bCs/>
          <w:color w:val="1A3A2E"/>
          <w:sz w:val="40"/>
          <w:szCs w:val="40"/>
          <w:rtl/>
        </w:rPr>
        <w:t xml:space="preserve">ميثاق المشروع</w:t>
      </w:r>
    </w:p>
    <w:p>
      <w:pPr>
        <w:bidi/>
        <w:spacing w:after="240" w:before="0" w:line="300"/>
        <w:jc w:val="start"/>
      </w:pPr>
      <w:r>
        <w:rPr>
          <w:rFonts w:ascii="Arial" w:cs="Arial" w:eastAsia="Arial" w:hAnsi="Arial"/>
          <w:b w:val="false"/>
          <w:bCs w:val="false"/>
          <w:color w:val="1A3A2E"/>
          <w:sz w:val="26"/>
          <w:szCs w:val="26"/>
          <w:rtl/>
        </w:rPr>
        <w:t xml:space="preserve">توثيق إجراءات قسم الطلبة الدوليين — المشروع الإرشادي لمبادرة إجراءات التشغيل القياسية (</w:t>
      </w:r>
      <w:r>
        <w:rPr>
          <w:rFonts w:ascii="Arial" w:cs="Arial" w:eastAsia="Arial" w:hAnsi="Arial"/>
          <w:b w:val="false"/>
          <w:bCs w:val="false"/>
          <w:color w:val="1A3A2E"/>
          <w:sz w:val="26"/>
          <w:szCs w:val="26"/>
        </w:rPr>
        <w:t xml:space="preserve">SOP</w:t>
      </w:r>
      <w:r>
        <w:rPr>
          <w:rFonts w:ascii="Arial" w:cs="Arial" w:eastAsia="Arial" w:hAnsi="Arial"/>
          <w:b w:val="false"/>
          <w:bCs w:val="false"/>
          <w:color w:val="1A3A2E"/>
          <w:sz w:val="26"/>
          <w:szCs w:val="26"/>
          <w:rtl/>
        </w:rPr>
        <w:t xml:space="preserve">)</w:t>
      </w:r>
    </w:p>
    <w:tbl>
      <w:tblPr>
        <w:bidiVisual/>
        <w:tblW w:type="pct" w:w="100%"/>
        <w:tblBorders>
          <w:top w:val="single" w:color="D4A958" w:sz="4"/>
          <w:left w:val="single" w:color="D4A958" w:sz="4"/>
          <w:bottom w:val="single" w:color="D4A958" w:sz="4"/>
          <w:right w:val="single" w:color="D4A958" w:sz="4"/>
          <w:insideH w:val="single" w:color="D4A958" w:sz="2"/>
          <w:insideV w:val="single" w:color="D4A958" w:sz="2"/>
        </w:tblBorders>
      </w:tblPr>
      <w:tblGrid>
        <w:gridCol w:w="100"/>
        <w:gridCol w:w="100"/>
      </w:tblGrid>
      <w:tr>
        <w:trPr>
          <w:tblHeader/>
        </w:trPr>
        <w:tc>
          <w:tcPr>
            <w:tcW w:type="pct" w:w="24%"/>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البند</w:t>
            </w:r>
          </w:p>
        </w:tc>
        <w:tc>
          <w:tcPr>
            <w:tcW w:type="pct" w:w="76%"/>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البيان</w:t>
            </w:r>
          </w:p>
        </w:tc>
      </w:tr>
      <w:tr>
        <w:trPr>
          <w:tblHeader w:val="false"/>
        </w:trPr>
        <w:tc>
          <w:tcPr>
            <w:tcW w:type="pct" w:w="24%"/>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اسم المشروع</w:t>
            </w:r>
          </w:p>
        </w:tc>
        <w:tc>
          <w:tcPr>
            <w:tcW w:type="pct" w:w="7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توثيق إجراءات قسم الطلبة الدوليين — المشروع الإرشادي لمبادرة </w:t>
            </w:r>
            <w:r>
              <w:rPr>
                <w:rFonts w:ascii="Arial" w:cs="Arial" w:eastAsia="Arial" w:hAnsi="Arial"/>
                <w:b w:val="false"/>
                <w:bCs w:val="false"/>
                <w:sz w:val="22"/>
                <w:szCs w:val="22"/>
              </w:rPr>
              <w:t xml:space="preserve">SOP</w:t>
            </w:r>
          </w:p>
        </w:tc>
      </w:tr>
      <w:tr>
        <w:trPr>
          <w:tblHeader w:val="false"/>
        </w:trPr>
        <w:tc>
          <w:tcPr>
            <w:tcW w:type="pct" w:w="24%"/>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رمز القسم</w:t>
            </w:r>
          </w:p>
        </w:tc>
        <w:tc>
          <w:tcPr>
            <w:tcW w:type="pct" w:w="7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Pr>
              <w:t xml:space="preserve">INT</w:t>
            </w:r>
            <w:r>
              <w:rPr>
                <w:rFonts w:ascii="Arial" w:cs="Arial" w:eastAsia="Arial" w:hAnsi="Arial"/>
                <w:b w:val="false"/>
                <w:bCs w:val="false"/>
                <w:sz w:val="22"/>
                <w:szCs w:val="22"/>
                <w:rtl/>
              </w:rPr>
              <w:t xml:space="preserve">، والإجراءات مرمّزة من </w:t>
            </w:r>
            <w:r>
              <w:rPr>
                <w:rFonts w:ascii="Arial" w:cs="Arial" w:eastAsia="Arial" w:hAnsi="Arial"/>
                <w:b w:val="false"/>
                <w:bCs w:val="false"/>
                <w:sz w:val="22"/>
                <w:szCs w:val="22"/>
              </w:rPr>
              <w:t xml:space="preserve">DAR-INT-001</w:t>
            </w:r>
            <w:r>
              <w:rPr>
                <w:rFonts w:ascii="Arial" w:cs="Arial" w:eastAsia="Arial" w:hAnsi="Arial"/>
                <w:b w:val="false"/>
                <w:bCs w:val="false"/>
                <w:sz w:val="22"/>
                <w:szCs w:val="22"/>
                <w:rtl/>
              </w:rPr>
              <w:t xml:space="preserve"> إلى </w:t>
            </w:r>
            <w:r>
              <w:rPr>
                <w:rFonts w:ascii="Arial" w:cs="Arial" w:eastAsia="Arial" w:hAnsi="Arial"/>
                <w:b w:val="false"/>
                <w:bCs w:val="false"/>
                <w:sz w:val="22"/>
                <w:szCs w:val="22"/>
              </w:rPr>
              <w:t xml:space="preserve">DAR-INT-011</w:t>
            </w:r>
          </w:p>
        </w:tc>
      </w:tr>
      <w:tr>
        <w:trPr>
          <w:tblHeader w:val="false"/>
        </w:trPr>
        <w:tc>
          <w:tcPr>
            <w:tcW w:type="pct" w:w="24%"/>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راعي المشروع</w:t>
            </w:r>
          </w:p>
        </w:tc>
        <w:tc>
          <w:tcPr>
            <w:tcW w:type="pct" w:w="7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عميد القبول والتسجيل</w:t>
            </w:r>
          </w:p>
        </w:tc>
      </w:tr>
      <w:tr>
        <w:trPr>
          <w:tblHeader w:val="false"/>
        </w:trPr>
        <w:tc>
          <w:tcPr>
            <w:tcW w:type="pct" w:w="24%"/>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مدير المشروع</w:t>
            </w:r>
          </w:p>
        </w:tc>
        <w:tc>
          <w:tcPr>
            <w:tcW w:type="pct" w:w="7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وكيل عمادة القبول والتسجيل للتطوير</w:t>
            </w:r>
          </w:p>
        </w:tc>
      </w:tr>
      <w:tr>
        <w:trPr>
          <w:tblHeader w:val="false"/>
        </w:trPr>
        <w:tc>
          <w:tcPr>
            <w:tcW w:type="pct" w:w="24%"/>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فريق العمل</w:t>
            </w:r>
          </w:p>
        </w:tc>
        <w:tc>
          <w:tcPr>
            <w:tcW w:type="pct" w:w="7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رئيس قسم الطلبة الدوليين · صاحب العملية (يُسمى بترشيح رئيس القسم)</w:t>
            </w:r>
          </w:p>
        </w:tc>
      </w:tr>
      <w:tr>
        <w:trPr>
          <w:tblHeader w:val="false"/>
        </w:trPr>
        <w:tc>
          <w:tcPr>
            <w:tcW w:type="pct" w:w="24%"/>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مسار التوثيق</w:t>
            </w:r>
          </w:p>
        </w:tc>
        <w:tc>
          <w:tcPr>
            <w:tcW w:type="pct" w:w="7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المسار (أ): ترقية دليل إجرائي قائم</w:t>
            </w:r>
          </w:p>
        </w:tc>
      </w:tr>
      <w:tr>
        <w:trPr>
          <w:tblHeader w:val="false"/>
        </w:trPr>
        <w:tc>
          <w:tcPr>
            <w:tcW w:type="pct" w:w="24%"/>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إصدار الميثاق</w:t>
            </w:r>
          </w:p>
        </w:tc>
        <w:tc>
          <w:tcPr>
            <w:tcW w:type="pct" w:w="7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الإصدار </w:t>
            </w:r>
            <w:r>
              <w:rPr>
                <w:rFonts w:ascii="Arial" w:cs="Arial" w:eastAsia="Arial" w:hAnsi="Arial"/>
                <w:b w:val="false"/>
                <w:bCs w:val="false"/>
                <w:sz w:val="22"/>
                <w:szCs w:val="22"/>
              </w:rPr>
              <w:t xml:space="preserve">1.0</w:t>
            </w:r>
            <w:r>
              <w:rPr>
                <w:rFonts w:ascii="Arial" w:cs="Arial" w:eastAsia="Arial" w:hAnsi="Arial"/>
                <w:b w:val="false"/>
                <w:bCs w:val="false"/>
                <w:sz w:val="22"/>
                <w:szCs w:val="22"/>
                <w:rtl/>
              </w:rPr>
              <w:t xml:space="preserve"> بتاريخ </w:t>
            </w:r>
            <w:r>
              <w:rPr>
                <w:rFonts w:ascii="Arial" w:cs="Arial" w:eastAsia="Arial" w:hAnsi="Arial"/>
                <w:b w:val="false"/>
                <w:bCs w:val="false"/>
                <w:sz w:val="22"/>
                <w:szCs w:val="22"/>
              </w:rPr>
              <w:t xml:space="preserve">21</w:t>
            </w:r>
            <w:r>
              <w:rPr>
                <w:rFonts w:ascii="Arial" w:cs="Arial" w:eastAsia="Arial" w:hAnsi="Arial"/>
                <w:b w:val="false"/>
                <w:bCs w:val="false"/>
                <w:sz w:val="22"/>
                <w:szCs w:val="22"/>
                <w:rtl/>
              </w:rPr>
              <w:t xml:space="preserve"> سبتمبر </w:t>
            </w:r>
            <w:r>
              <w:rPr>
                <w:rFonts w:ascii="Arial" w:cs="Arial" w:eastAsia="Arial" w:hAnsi="Arial"/>
                <w:b w:val="false"/>
                <w:bCs w:val="false"/>
                <w:sz w:val="22"/>
                <w:szCs w:val="22"/>
              </w:rPr>
              <w:t xml:space="preserve">2026</w:t>
            </w:r>
          </w:p>
        </w:tc>
      </w:tr>
    </w:tbl>
    <w:p>
      <w:pPr>
        <w:spacing w:after="240"/>
      </w:pPr>
    </w:p>
    <w:p>
      <w:pPr>
        <w:pBdr>
          <w:bottom w:val="single" w:color="D4A958" w:sz="12" w:space="4"/>
        </w:pBdr>
        <w:bidi/>
        <w:spacing w:after="160" w:before="280"/>
        <w:jc w:val="start"/>
      </w:pPr>
      <w:r>
        <w:rPr>
          <w:rFonts w:ascii="Arial" w:cs="Arial" w:eastAsia="Arial" w:hAnsi="Arial"/>
          <w:b/>
          <w:bCs/>
          <w:color w:val="1A3A2E"/>
          <w:sz w:val="28"/>
          <w:szCs w:val="28"/>
          <w:rtl/>
        </w:rPr>
        <w:t xml:space="preserve">أولاً: خلفية المشروع ومبرره</w:t>
      </w:r>
    </w:p>
    <w:p>
      <w:pPr>
        <w:bidi/>
        <w:spacing w:after="120" w:before="0" w:line="300"/>
        <w:jc w:val="both"/>
      </w:pPr>
      <w:r>
        <w:rPr>
          <w:rFonts w:ascii="Arial" w:cs="Arial" w:eastAsia="Arial" w:hAnsi="Arial"/>
          <w:b w:val="false"/>
          <w:bCs w:val="false"/>
          <w:sz w:val="24"/>
          <w:szCs w:val="24"/>
          <w:rtl/>
        </w:rPr>
        <w:t xml:space="preserve">تنطلق مبادرة توثيق إجراءات التشغيل القياسية في عمادة القبول والتسجيل من حاجة مؤسسية إلى تحويل المعرفة التشغيلية من معرفة شخصية لدى الموظفين إلى أصل موثّق يُورَّث ويُقاس ويُبنى عليه. وقد اختير قسم الطلبة الدوليين ليكون المشروع الإرشادي الأول للمبادرة لسببين: امتلاكه دليلاً إجرائياً قائماً يخفض كلفة التوثيق زمناً وجهداً، ووضوح خدماته وتكرارها بما يجعلها نموذجاً قابلاً للقياس.</w:t>
      </w:r>
    </w:p>
    <w:p>
      <w:pPr>
        <w:bidi/>
        <w:spacing w:after="120" w:before="0" w:line="300"/>
        <w:jc w:val="both"/>
      </w:pPr>
      <w:r>
        <w:rPr>
          <w:rFonts w:ascii="Arial" w:cs="Arial" w:eastAsia="Arial" w:hAnsi="Arial"/>
          <w:b w:val="false"/>
          <w:bCs w:val="false"/>
          <w:sz w:val="24"/>
          <w:szCs w:val="24"/>
          <w:rtl/>
        </w:rPr>
        <w:t xml:space="preserve">والغاية من حصر العمل في قسم واحد أولاً هي إكماله من أوله إلى آخره ليكون قصة نجاح ملموسة ونموذج عمل مجرَّب يُعرض على بقية رؤساء الأقسام، بدل إطلاق ثمانية مسارات متوازية تنضج جميعها متأخرة.</w:t>
      </w:r>
    </w:p>
    <w:p>
      <w:pPr>
        <w:pBdr>
          <w:bottom w:val="single" w:color="D4A958" w:sz="12" w:space="4"/>
        </w:pBdr>
        <w:bidi/>
        <w:spacing w:after="160" w:before="280"/>
        <w:jc w:val="start"/>
      </w:pPr>
      <w:r>
        <w:rPr>
          <w:rFonts w:ascii="Arial" w:cs="Arial" w:eastAsia="Arial" w:hAnsi="Arial"/>
          <w:b/>
          <w:bCs/>
          <w:color w:val="1A3A2E"/>
          <w:sz w:val="28"/>
          <w:szCs w:val="28"/>
          <w:rtl/>
        </w:rPr>
        <w:t xml:space="preserve">ثانياً: هدف المشروع</w:t>
      </w:r>
    </w:p>
    <w:p>
      <w:pPr>
        <w:bidi/>
        <w:spacing w:after="120" w:before="0" w:line="300"/>
        <w:jc w:val="both"/>
      </w:pPr>
      <w:r>
        <w:rPr>
          <w:rFonts w:ascii="Arial" w:cs="Arial" w:eastAsia="Arial" w:hAnsi="Arial"/>
          <w:b w:val="false"/>
          <w:bCs w:val="false"/>
          <w:sz w:val="24"/>
          <w:szCs w:val="24"/>
          <w:rtl/>
        </w:rPr>
        <w:t xml:space="preserve">إنتاج أحد عشر إجراءً معتمداً بالإصدار </w:t>
      </w:r>
      <w:r>
        <w:rPr>
          <w:rFonts w:ascii="Arial" w:cs="Arial" w:eastAsia="Arial" w:hAnsi="Arial"/>
          <w:b w:val="false"/>
          <w:bCs w:val="false"/>
          <w:sz w:val="24"/>
          <w:szCs w:val="24"/>
        </w:rPr>
        <w:t xml:space="preserve">1.0</w:t>
      </w:r>
      <w:r>
        <w:rPr>
          <w:rFonts w:ascii="Arial" w:cs="Arial" w:eastAsia="Arial" w:hAnsi="Arial"/>
          <w:b w:val="false"/>
          <w:bCs w:val="false"/>
          <w:sz w:val="24"/>
          <w:szCs w:val="24"/>
          <w:rtl/>
        </w:rPr>
        <w:t xml:space="preserve"> لقسم الطلبة الدوليين، موثّقة بالقالب الموحد وبطبقتين: الإجراء الخدمي في الطبقة الأولى، وتعليمات الشاشات في ملحق مستقل بالطبقة الثانية — إضافةً إلى بناء نموذج عمل مرجعي موثّق بالدروس المستفادة والمدد الفعلية، يُعتمد أساساً للتوسّع إلى بقية أقسام العمادة.</w:t>
      </w:r>
    </w:p>
    <w:p>
      <w:pPr>
        <w:pBdr>
          <w:bottom w:val="single" w:color="D4A958" w:sz="12" w:space="4"/>
        </w:pBdr>
        <w:bidi/>
        <w:spacing w:after="160" w:before="280"/>
        <w:jc w:val="start"/>
      </w:pPr>
      <w:r>
        <w:rPr>
          <w:rFonts w:ascii="Arial" w:cs="Arial" w:eastAsia="Arial" w:hAnsi="Arial"/>
          <w:b/>
          <w:bCs/>
          <w:color w:val="1A3A2E"/>
          <w:sz w:val="28"/>
          <w:szCs w:val="28"/>
          <w:rtl/>
        </w:rPr>
        <w:t xml:space="preserve">ثالثاً: النطاق</w:t>
      </w:r>
    </w:p>
    <w:p>
      <w:pPr>
        <w:bidi/>
        <w:spacing w:after="80" w:before="0" w:line="300"/>
        <w:jc w:val="start"/>
      </w:pPr>
      <w:r>
        <w:rPr>
          <w:rFonts w:ascii="Arial" w:cs="Arial" w:eastAsia="Arial" w:hAnsi="Arial"/>
          <w:b/>
          <w:bCs/>
          <w:color w:val="1A3A2E"/>
          <w:sz w:val="24"/>
          <w:szCs w:val="24"/>
          <w:rtl/>
        </w:rPr>
        <w:t xml:space="preserve">داخل النطاق:</w:t>
      </w:r>
    </w:p>
    <w:p>
      <w:pPr>
        <w:pStyle w:val="ListParagraph"/>
        <w:numPr>
          <w:ilvl w:val="0"/>
          <w:numId w:val="2"/>
        </w:numPr>
        <w:bidi/>
        <w:spacing w:after="60" w:before="0" w:line="300"/>
        <w:jc w:val="start"/>
      </w:pPr>
      <w:r>
        <w:rPr>
          <w:rFonts w:ascii="Arial" w:cs="Arial" w:eastAsia="Arial" w:hAnsi="Arial"/>
          <w:b w:val="false"/>
          <w:bCs w:val="false"/>
          <w:sz w:val="24"/>
          <w:szCs w:val="24"/>
          <w:rtl/>
        </w:rPr>
        <w:t xml:space="preserve">قسم الطلبة الدوليين وحده، بكامل إجراءاته الأحد عشر من </w:t>
      </w:r>
      <w:r>
        <w:rPr>
          <w:rFonts w:ascii="Arial" w:cs="Arial" w:eastAsia="Arial" w:hAnsi="Arial"/>
          <w:b w:val="false"/>
          <w:bCs w:val="false"/>
          <w:sz w:val="24"/>
          <w:szCs w:val="24"/>
        </w:rPr>
        <w:t xml:space="preserve">DAR-INT-001</w:t>
      </w:r>
      <w:r>
        <w:rPr>
          <w:rFonts w:ascii="Arial" w:cs="Arial" w:eastAsia="Arial" w:hAnsi="Arial"/>
          <w:b w:val="false"/>
          <w:bCs w:val="false"/>
          <w:sz w:val="24"/>
          <w:szCs w:val="24"/>
          <w:rtl/>
        </w:rPr>
        <w:t xml:space="preserve"> إلى </w:t>
      </w:r>
      <w:r>
        <w:rPr>
          <w:rFonts w:ascii="Arial" w:cs="Arial" w:eastAsia="Arial" w:hAnsi="Arial"/>
          <w:b w:val="false"/>
          <w:bCs w:val="false"/>
          <w:sz w:val="24"/>
          <w:szCs w:val="24"/>
        </w:rPr>
        <w:t xml:space="preserve">DAR-INT-011.</w:t>
      </w:r>
    </w:p>
    <w:p>
      <w:pPr>
        <w:pStyle w:val="ListParagraph"/>
        <w:numPr>
          <w:ilvl w:val="0"/>
          <w:numId w:val="2"/>
        </w:numPr>
        <w:bidi/>
        <w:spacing w:after="60" w:before="0" w:line="300"/>
        <w:jc w:val="start"/>
      </w:pPr>
      <w:r>
        <w:rPr>
          <w:rFonts w:ascii="Arial" w:cs="Arial" w:eastAsia="Arial" w:hAnsi="Arial"/>
          <w:b w:val="false"/>
          <w:bCs w:val="false"/>
          <w:sz w:val="24"/>
          <w:szCs w:val="24"/>
          <w:rtl/>
        </w:rPr>
        <w:t xml:space="preserve">ترقية الدليل الإجرائي القائم للقسم وإعادة تجميعه إلى إجراءات خدمية بطبقتين.</w:t>
      </w:r>
    </w:p>
    <w:p>
      <w:pPr>
        <w:pStyle w:val="ListParagraph"/>
        <w:numPr>
          <w:ilvl w:val="0"/>
          <w:numId w:val="2"/>
        </w:numPr>
        <w:bidi/>
        <w:spacing w:after="60" w:before="0" w:line="300"/>
        <w:jc w:val="start"/>
      </w:pPr>
      <w:r>
        <w:rPr>
          <w:rFonts w:ascii="Arial" w:cs="Arial" w:eastAsia="Arial" w:hAnsi="Arial"/>
          <w:b w:val="false"/>
          <w:bCs w:val="false"/>
          <w:sz w:val="24"/>
          <w:szCs w:val="24"/>
          <w:rtl/>
        </w:rPr>
        <w:t xml:space="preserve">جلسة واحدة لاستكمال الفجوات: المدد، والاستثناءات والتصعيد، والمؤشرات.</w:t>
      </w:r>
    </w:p>
    <w:p>
      <w:pPr>
        <w:pStyle w:val="ListParagraph"/>
        <w:numPr>
          <w:ilvl w:val="0"/>
          <w:numId w:val="2"/>
        </w:numPr>
        <w:bidi/>
        <w:spacing w:after="60" w:before="0" w:line="300"/>
        <w:jc w:val="start"/>
      </w:pPr>
      <w:r>
        <w:rPr>
          <w:rFonts w:ascii="Arial" w:cs="Arial" w:eastAsia="Arial" w:hAnsi="Arial"/>
          <w:b w:val="false"/>
          <w:bCs w:val="false"/>
          <w:sz w:val="24"/>
          <w:szCs w:val="24"/>
          <w:rtl/>
        </w:rPr>
        <w:t xml:space="preserve">سجل الحصر وفهرس الإجراءات ووثائق حوكمة المشروع في المستودع.</w:t>
      </w:r>
    </w:p>
    <w:p>
      <w:pPr>
        <w:spacing w:after="100"/>
      </w:pPr>
    </w:p>
    <w:p>
      <w:pPr>
        <w:bidi/>
        <w:spacing w:after="80" w:before="0" w:line="300"/>
        <w:jc w:val="start"/>
      </w:pPr>
      <w:r>
        <w:rPr>
          <w:rFonts w:ascii="Arial" w:cs="Arial" w:eastAsia="Arial" w:hAnsi="Arial"/>
          <w:b/>
          <w:bCs/>
          <w:color w:val="C8632A"/>
          <w:sz w:val="24"/>
          <w:szCs w:val="24"/>
          <w:rtl/>
        </w:rPr>
        <w:t xml:space="preserve">خارج النطاق صراحةً:</w:t>
      </w:r>
    </w:p>
    <w:p>
      <w:pPr>
        <w:pStyle w:val="ListParagraph"/>
        <w:numPr>
          <w:ilvl w:val="0"/>
          <w:numId w:val="3"/>
        </w:numPr>
        <w:bidi/>
        <w:spacing w:after="60" w:before="0" w:line="300"/>
        <w:jc w:val="start"/>
      </w:pPr>
      <w:r>
        <w:rPr>
          <w:rFonts w:ascii="Arial" w:cs="Arial" w:eastAsia="Arial" w:hAnsi="Arial"/>
          <w:b w:val="false"/>
          <w:bCs w:val="false"/>
          <w:sz w:val="24"/>
          <w:szCs w:val="24"/>
          <w:rtl/>
        </w:rPr>
        <w:t xml:space="preserve">بقية أقسام العمادة ووحدة السجلات الأكاديمية والتحقق — لا يبدأ العمل عليها حتى اكتمال هذه التجربة وتقييمها.</w:t>
      </w:r>
    </w:p>
    <w:p>
      <w:pPr>
        <w:pStyle w:val="ListParagraph"/>
        <w:numPr>
          <w:ilvl w:val="0"/>
          <w:numId w:val="3"/>
        </w:numPr>
        <w:bidi/>
        <w:spacing w:after="60" w:before="0" w:line="300"/>
        <w:jc w:val="start"/>
      </w:pPr>
      <w:r>
        <w:rPr>
          <w:rFonts w:ascii="Arial" w:cs="Arial" w:eastAsia="Arial" w:hAnsi="Arial"/>
          <w:b w:val="false"/>
          <w:bCs w:val="false"/>
          <w:sz w:val="24"/>
          <w:szCs w:val="24"/>
          <w:rtl/>
        </w:rPr>
        <w:t xml:space="preserve">أي تحسين أو إعادة هندسة للإجراءات: التوثيق هنا للواقع كما يُنفَّذ اليوم لا كما ينبغي أن يكون. وأي مقترح تحسين يُسجَّل في سجل منفصل ويُعالج بعد الاعتماد.</w:t>
      </w:r>
    </w:p>
    <w:p>
      <w:pPr>
        <w:pStyle w:val="ListParagraph"/>
        <w:numPr>
          <w:ilvl w:val="0"/>
          <w:numId w:val="3"/>
        </w:numPr>
        <w:bidi/>
        <w:spacing w:after="60" w:before="0" w:line="300"/>
        <w:jc w:val="start"/>
      </w:pPr>
      <w:r>
        <w:rPr>
          <w:rFonts w:ascii="Arial" w:cs="Arial" w:eastAsia="Arial" w:hAnsi="Arial"/>
          <w:b w:val="false"/>
          <w:bCs w:val="false"/>
          <w:sz w:val="24"/>
          <w:szCs w:val="24"/>
          <w:rtl/>
        </w:rPr>
        <w:t xml:space="preserve">أتمتة الإجراءات أو تطوير أنظمتها — مرحلة لاحقة يبني عليها التوثيق.</w:t>
      </w:r>
    </w:p>
    <w:p>
      <w:pPr>
        <w:pBdr>
          <w:bottom w:val="single" w:color="D4A958" w:sz="12" w:space="4"/>
        </w:pBdr>
        <w:bidi/>
        <w:spacing w:after="160" w:before="280"/>
        <w:jc w:val="start"/>
      </w:pPr>
      <w:r>
        <w:rPr>
          <w:rFonts w:ascii="Arial" w:cs="Arial" w:eastAsia="Arial" w:hAnsi="Arial"/>
          <w:b/>
          <w:bCs/>
          <w:color w:val="1A3A2E"/>
          <w:sz w:val="28"/>
          <w:szCs w:val="28"/>
          <w:rtl/>
        </w:rPr>
        <w:t xml:space="preserve">رابعاً: مخرجات المشروع</w:t>
      </w:r>
    </w:p>
    <w:p>
      <w:pPr>
        <w:pStyle w:val="ListParagraph"/>
        <w:numPr>
          <w:ilvl w:val="0"/>
          <w:numId w:val="4"/>
        </w:numPr>
        <w:bidi/>
        <w:spacing w:after="60" w:before="0" w:line="300"/>
        <w:jc w:val="start"/>
      </w:pPr>
      <w:r>
        <w:rPr>
          <w:rFonts w:ascii="Arial" w:cs="Arial" w:eastAsia="Arial" w:hAnsi="Arial"/>
          <w:b w:val="false"/>
          <w:bCs w:val="false"/>
          <w:sz w:val="24"/>
          <w:szCs w:val="24"/>
          <w:rtl/>
        </w:rPr>
        <w:t xml:space="preserve">أحد عشر ملف إجراء بالإصدار </w:t>
      </w:r>
      <w:r>
        <w:rPr>
          <w:rFonts w:ascii="Arial" w:cs="Arial" w:eastAsia="Arial" w:hAnsi="Arial"/>
          <w:b w:val="false"/>
          <w:bCs w:val="false"/>
          <w:sz w:val="24"/>
          <w:szCs w:val="24"/>
        </w:rPr>
        <w:t xml:space="preserve">1.0</w:t>
      </w:r>
      <w:r>
        <w:rPr>
          <w:rFonts w:ascii="Arial" w:cs="Arial" w:eastAsia="Arial" w:hAnsi="Arial"/>
          <w:b w:val="false"/>
          <w:bCs w:val="false"/>
          <w:sz w:val="24"/>
          <w:szCs w:val="24"/>
          <w:rtl/>
        </w:rPr>
        <w:t xml:space="preserve">، كلٌّ منها بطبقتيه، في مجلده داخل المستودع.</w:t>
      </w:r>
    </w:p>
    <w:p>
      <w:pPr>
        <w:pStyle w:val="ListParagraph"/>
        <w:numPr>
          <w:ilvl w:val="0"/>
          <w:numId w:val="4"/>
        </w:numPr>
        <w:bidi/>
        <w:spacing w:after="60" w:before="0" w:line="300"/>
        <w:jc w:val="start"/>
      </w:pPr>
      <w:r>
        <w:rPr>
          <w:rFonts w:ascii="Arial" w:cs="Arial" w:eastAsia="Arial" w:hAnsi="Arial"/>
          <w:b w:val="false"/>
          <w:bCs w:val="false"/>
          <w:sz w:val="24"/>
          <w:szCs w:val="24"/>
          <w:rtl/>
        </w:rPr>
        <w:t xml:space="preserve">سجل حصر العمليات المعتمد للقسم.</w:t>
      </w:r>
    </w:p>
    <w:p>
      <w:pPr>
        <w:pStyle w:val="ListParagraph"/>
        <w:numPr>
          <w:ilvl w:val="0"/>
          <w:numId w:val="4"/>
        </w:numPr>
        <w:bidi/>
        <w:spacing w:after="60" w:before="0" w:line="300"/>
        <w:jc w:val="start"/>
      </w:pPr>
      <w:r>
        <w:rPr>
          <w:rFonts w:ascii="Arial" w:cs="Arial" w:eastAsia="Arial" w:hAnsi="Arial"/>
          <w:b w:val="false"/>
          <w:bCs w:val="false"/>
          <w:sz w:val="24"/>
          <w:szCs w:val="24"/>
          <w:rtl/>
        </w:rPr>
        <w:t xml:space="preserve">ورقة جلسة الفجوات ومحضرها.</w:t>
      </w:r>
    </w:p>
    <w:p>
      <w:pPr>
        <w:pStyle w:val="ListParagraph"/>
        <w:numPr>
          <w:ilvl w:val="0"/>
          <w:numId w:val="4"/>
        </w:numPr>
        <w:bidi/>
        <w:spacing w:after="60" w:before="0" w:line="300"/>
        <w:jc w:val="start"/>
      </w:pPr>
      <w:r>
        <w:rPr>
          <w:rFonts w:ascii="Arial" w:cs="Arial" w:eastAsia="Arial" w:hAnsi="Arial"/>
          <w:b w:val="false"/>
          <w:bCs w:val="false"/>
          <w:sz w:val="24"/>
          <w:szCs w:val="24"/>
          <w:rtl/>
        </w:rPr>
        <w:t xml:space="preserve">فهرس إجراءات القسم وحالاتها، محدّثاً حتى الاعتماد.</w:t>
      </w:r>
    </w:p>
    <w:p>
      <w:pPr>
        <w:pStyle w:val="ListParagraph"/>
        <w:numPr>
          <w:ilvl w:val="0"/>
          <w:numId w:val="4"/>
        </w:numPr>
        <w:bidi/>
        <w:spacing w:after="60" w:before="0" w:line="300"/>
        <w:jc w:val="start"/>
      </w:pPr>
      <w:r>
        <w:rPr>
          <w:rFonts w:ascii="Arial" w:cs="Arial" w:eastAsia="Arial" w:hAnsi="Arial"/>
          <w:b w:val="false"/>
          <w:bCs w:val="false"/>
          <w:sz w:val="24"/>
          <w:szCs w:val="24"/>
          <w:rtl/>
        </w:rPr>
        <w:t xml:space="preserve">سجل الدروس المستفادة كمدخل مباشر لخطة التوسّع.</w:t>
      </w:r>
    </w:p>
    <w:p>
      <w:pPr>
        <w:pBdr>
          <w:bottom w:val="single" w:color="D4A958" w:sz="12" w:space="4"/>
        </w:pBdr>
        <w:bidi/>
        <w:spacing w:after="160" w:before="280"/>
        <w:jc w:val="start"/>
      </w:pPr>
      <w:r>
        <w:rPr>
          <w:rFonts w:ascii="Arial" w:cs="Arial" w:eastAsia="Arial" w:hAnsi="Arial"/>
          <w:b/>
          <w:bCs/>
          <w:color w:val="1A3A2E"/>
          <w:sz w:val="28"/>
          <w:szCs w:val="28"/>
          <w:rtl/>
        </w:rPr>
        <w:t xml:space="preserve">خامساً: الجدول الزمني</w:t>
      </w:r>
    </w:p>
    <w:p>
      <w:pPr>
        <w:bidi/>
        <w:spacing w:after="120" w:before="0" w:line="300"/>
        <w:jc w:val="both"/>
      </w:pPr>
      <w:r>
        <w:rPr>
          <w:rFonts w:ascii="Arial" w:cs="Arial" w:eastAsia="Arial" w:hAnsi="Arial"/>
          <w:b w:val="false"/>
          <w:bCs w:val="false"/>
          <w:sz w:val="24"/>
          <w:szCs w:val="24"/>
          <w:rtl/>
        </w:rPr>
        <w:t xml:space="preserve">ثمانية أسابيع، من الأحد </w:t>
      </w:r>
      <w:r>
        <w:rPr>
          <w:rFonts w:ascii="Arial" w:cs="Arial" w:eastAsia="Arial" w:hAnsi="Arial"/>
          <w:b w:val="false"/>
          <w:bCs w:val="false"/>
          <w:sz w:val="24"/>
          <w:szCs w:val="24"/>
        </w:rPr>
        <w:t xml:space="preserve">27</w:t>
      </w:r>
      <w:r>
        <w:rPr>
          <w:rFonts w:ascii="Arial" w:cs="Arial" w:eastAsia="Arial" w:hAnsi="Arial"/>
          <w:b w:val="false"/>
          <w:bCs w:val="false"/>
          <w:sz w:val="24"/>
          <w:szCs w:val="24"/>
          <w:rtl/>
        </w:rPr>
        <w:t xml:space="preserve"> سبتمبر </w:t>
      </w:r>
      <w:r>
        <w:rPr>
          <w:rFonts w:ascii="Arial" w:cs="Arial" w:eastAsia="Arial" w:hAnsi="Arial"/>
          <w:b w:val="false"/>
          <w:bCs w:val="false"/>
          <w:sz w:val="24"/>
          <w:szCs w:val="24"/>
        </w:rPr>
        <w:t xml:space="preserve">2026</w:t>
      </w:r>
      <w:r>
        <w:rPr>
          <w:rFonts w:ascii="Arial" w:cs="Arial" w:eastAsia="Arial" w:hAnsi="Arial"/>
          <w:b w:val="false"/>
          <w:bCs w:val="false"/>
          <w:sz w:val="24"/>
          <w:szCs w:val="24"/>
          <w:rtl/>
        </w:rPr>
        <w:t xml:space="preserve"> إلى الخميس </w:t>
      </w:r>
      <w:r>
        <w:rPr>
          <w:rFonts w:ascii="Arial" w:cs="Arial" w:eastAsia="Arial" w:hAnsi="Arial"/>
          <w:b w:val="false"/>
          <w:bCs w:val="false"/>
          <w:sz w:val="24"/>
          <w:szCs w:val="24"/>
        </w:rPr>
        <w:t xml:space="preserve">19</w:t>
      </w:r>
      <w:r>
        <w:rPr>
          <w:rFonts w:ascii="Arial" w:cs="Arial" w:eastAsia="Arial" w:hAnsi="Arial"/>
          <w:b w:val="false"/>
          <w:bCs w:val="false"/>
          <w:sz w:val="24"/>
          <w:szCs w:val="24"/>
          <w:rtl/>
        </w:rPr>
        <w:t xml:space="preserve"> نوفمبر </w:t>
      </w:r>
      <w:r>
        <w:rPr>
          <w:rFonts w:ascii="Arial" w:cs="Arial" w:eastAsia="Arial" w:hAnsi="Arial"/>
          <w:b w:val="false"/>
          <w:bCs w:val="false"/>
          <w:sz w:val="24"/>
          <w:szCs w:val="24"/>
        </w:rPr>
        <w:t xml:space="preserve">2026</w:t>
      </w:r>
      <w:r>
        <w:rPr>
          <w:rFonts w:ascii="Arial" w:cs="Arial" w:eastAsia="Arial" w:hAnsi="Arial"/>
          <w:b w:val="false"/>
          <w:bCs w:val="false"/>
          <w:sz w:val="24"/>
          <w:szCs w:val="24"/>
          <w:rtl/>
        </w:rPr>
        <w:t xml:space="preserve">، على دفعتين:</w:t>
      </w:r>
    </w:p>
    <w:tbl>
      <w:tblPr>
        <w:bidiVisual/>
        <w:tblW w:type="pct" w:w="100%"/>
        <w:tblBorders>
          <w:top w:val="single" w:color="D4A958" w:sz="4"/>
          <w:left w:val="single" w:color="D4A958" w:sz="4"/>
          <w:bottom w:val="single" w:color="D4A958" w:sz="4"/>
          <w:right w:val="single" w:color="D4A958" w:sz="4"/>
          <w:insideH w:val="single" w:color="D4A958" w:sz="2"/>
          <w:insideV w:val="single" w:color="D4A958" w:sz="2"/>
        </w:tblBorders>
      </w:tblPr>
      <w:tblGrid>
        <w:gridCol w:w="100"/>
        <w:gridCol w:w="100"/>
        <w:gridCol w:w="100"/>
      </w:tblGrid>
      <w:tr>
        <w:trPr>
          <w:tblHeader/>
        </w:trPr>
        <w:tc>
          <w:tcPr>
            <w:tcW w:type="pct" w:w="26%"/>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المرحلة</w:t>
            </w:r>
          </w:p>
        </w:tc>
        <w:tc>
          <w:tcPr>
            <w:tcW w:type="pct" w:w="18%"/>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المدة</w:t>
            </w:r>
          </w:p>
        </w:tc>
        <w:tc>
          <w:tcPr>
            <w:tcW w:type="pct" w:w="56%"/>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المحتوى</w:t>
            </w:r>
          </w:p>
        </w:tc>
      </w:tr>
      <w:tr>
        <w:trPr>
          <w:tblHeader w:val="false"/>
        </w:trPr>
        <w:tc>
          <w:tcPr>
            <w:tcW w:type="pct" w:w="26%"/>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التهيئة وجلسة الفجوات</w:t>
            </w:r>
          </w:p>
        </w:tc>
        <w:tc>
          <w:tcPr>
            <w:tcW w:type="pct" w:w="18%"/>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الأسبوعان </w:t>
            </w:r>
            <w:r>
              <w:rPr>
                <w:rFonts w:ascii="Arial" w:cs="Arial" w:eastAsia="Arial" w:hAnsi="Arial"/>
                <w:b w:val="false"/>
                <w:bCs w:val="false"/>
                <w:sz w:val="22"/>
                <w:szCs w:val="22"/>
              </w:rPr>
              <w:t xml:space="preserve">1-2</w:t>
            </w:r>
          </w:p>
        </w:tc>
        <w:tc>
          <w:tcPr>
            <w:tcW w:type="pct" w:w="5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خطاب الإطلاق، تسمية صاحب العملية، جلسة الفجوات (</w:t>
            </w:r>
            <w:r>
              <w:rPr>
                <w:rFonts w:ascii="Arial" w:cs="Arial" w:eastAsia="Arial" w:hAnsi="Arial"/>
                <w:b w:val="false"/>
                <w:bCs w:val="false"/>
                <w:sz w:val="22"/>
                <w:szCs w:val="22"/>
              </w:rPr>
              <w:t xml:space="preserve">60</w:t>
            </w:r>
            <w:r>
              <w:rPr>
                <w:rFonts w:ascii="Arial" w:cs="Arial" w:eastAsia="Arial" w:hAnsi="Arial"/>
                <w:b w:val="false"/>
                <w:bCs w:val="false"/>
                <w:sz w:val="22"/>
                <w:szCs w:val="22"/>
                <w:rtl/>
              </w:rPr>
              <w:t xml:space="preserve"> دقيقة)</w:t>
            </w:r>
          </w:p>
        </w:tc>
      </w:tr>
      <w:tr>
        <w:trPr>
          <w:tblHeader w:val="false"/>
        </w:trPr>
        <w:tc>
          <w:tcPr>
            <w:tcW w:type="pct" w:w="2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الدفعة الأولى</w:t>
            </w:r>
          </w:p>
        </w:tc>
        <w:tc>
          <w:tcPr>
            <w:tcW w:type="pct" w:w="18%"/>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الأسابيع </w:t>
            </w:r>
            <w:r>
              <w:rPr>
                <w:rFonts w:ascii="Arial" w:cs="Arial" w:eastAsia="Arial" w:hAnsi="Arial"/>
                <w:b w:val="false"/>
                <w:bCs w:val="false"/>
                <w:sz w:val="22"/>
                <w:szCs w:val="22"/>
              </w:rPr>
              <w:t xml:space="preserve">3-5</w:t>
            </w:r>
          </w:p>
        </w:tc>
        <w:tc>
          <w:tcPr>
            <w:tcW w:type="pct" w:w="5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مسودة </w:t>
            </w:r>
            <w:r>
              <w:rPr>
                <w:rFonts w:ascii="Arial" w:cs="Arial" w:eastAsia="Arial" w:hAnsi="Arial"/>
                <w:b w:val="false"/>
                <w:bCs w:val="false"/>
                <w:sz w:val="22"/>
                <w:szCs w:val="22"/>
              </w:rPr>
              <w:t xml:space="preserve">0.9</w:t>
            </w:r>
            <w:r>
              <w:rPr>
                <w:rFonts w:ascii="Arial" w:cs="Arial" w:eastAsia="Arial" w:hAnsi="Arial"/>
                <w:b w:val="false"/>
                <w:bCs w:val="false"/>
                <w:sz w:val="22"/>
                <w:szCs w:val="22"/>
                <w:rtl/>
              </w:rPr>
              <w:t xml:space="preserve"> لخمسة إجراءات: </w:t>
            </w:r>
            <w:r>
              <w:rPr>
                <w:rFonts w:ascii="Arial" w:cs="Arial" w:eastAsia="Arial" w:hAnsi="Arial"/>
                <w:b w:val="false"/>
                <w:bCs w:val="false"/>
                <w:sz w:val="22"/>
                <w:szCs w:val="22"/>
              </w:rPr>
              <w:t xml:space="preserve">DAR-INT-003, 004, 005, 001, 008</w:t>
            </w:r>
            <w:r>
              <w:rPr>
                <w:rFonts w:ascii="Arial" w:cs="Arial" w:eastAsia="Arial" w:hAnsi="Arial"/>
                <w:b w:val="false"/>
                <w:bCs w:val="false"/>
                <w:sz w:val="22"/>
                <w:szCs w:val="22"/>
                <w:rtl/>
              </w:rPr>
              <w:t xml:space="preserve"> ثم مراجعة القسم</w:t>
            </w:r>
          </w:p>
        </w:tc>
      </w:tr>
      <w:tr>
        <w:trPr>
          <w:tblHeader w:val="false"/>
        </w:trPr>
        <w:tc>
          <w:tcPr>
            <w:tcW w:type="pct" w:w="26%"/>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الدفعة الثانية</w:t>
            </w:r>
          </w:p>
        </w:tc>
        <w:tc>
          <w:tcPr>
            <w:tcW w:type="pct" w:w="18%"/>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الأسابيع </w:t>
            </w:r>
            <w:r>
              <w:rPr>
                <w:rFonts w:ascii="Arial" w:cs="Arial" w:eastAsia="Arial" w:hAnsi="Arial"/>
                <w:b w:val="false"/>
                <w:bCs w:val="false"/>
                <w:sz w:val="22"/>
                <w:szCs w:val="22"/>
              </w:rPr>
              <w:t xml:space="preserve">6-8</w:t>
            </w:r>
          </w:p>
        </w:tc>
        <w:tc>
          <w:tcPr>
            <w:tcW w:type="pct" w:w="56%"/>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توثيق الإجراءات الستة المتبقية، واعتماد الإصدار </w:t>
            </w:r>
            <w:r>
              <w:rPr>
                <w:rFonts w:ascii="Arial" w:cs="Arial" w:eastAsia="Arial" w:hAnsi="Arial"/>
                <w:b w:val="false"/>
                <w:bCs w:val="false"/>
                <w:sz w:val="22"/>
                <w:szCs w:val="22"/>
              </w:rPr>
              <w:t xml:space="preserve">1.0</w:t>
            </w:r>
            <w:r>
              <w:rPr>
                <w:rFonts w:ascii="Arial" w:cs="Arial" w:eastAsia="Arial" w:hAnsi="Arial"/>
                <w:b w:val="false"/>
                <w:bCs w:val="false"/>
                <w:sz w:val="22"/>
                <w:szCs w:val="22"/>
                <w:rtl/>
              </w:rPr>
              <w:t xml:space="preserve">، وإقفال المشروع بتقرير الدروس</w:t>
            </w:r>
          </w:p>
        </w:tc>
      </w:tr>
    </w:tbl>
    <w:p>
      <w:pPr>
        <w:spacing w:after="140"/>
      </w:pPr>
    </w:p>
    <w:p>
      <w:pPr>
        <w:bidi/>
        <w:spacing w:after="120" w:before="0" w:line="300"/>
        <w:jc w:val="both"/>
      </w:pPr>
      <w:r>
        <w:rPr>
          <w:rFonts w:ascii="Arial" w:cs="Arial" w:eastAsia="Arial" w:hAnsi="Arial"/>
          <w:b w:val="false"/>
          <w:bCs w:val="false"/>
          <w:sz w:val="24"/>
          <w:szCs w:val="24"/>
          <w:rtl/>
        </w:rPr>
        <w:t xml:space="preserve">ملاحظة: اعتماد العميد لحزمة المبادرة تبعية حرجة يجب أن تكتمل قبل الأسبوع السادس.</w:t>
      </w:r>
    </w:p>
    <w:p>
      <w:pPr>
        <w:pBdr>
          <w:bottom w:val="single" w:color="D4A958" w:sz="12" w:space="4"/>
        </w:pBdr>
        <w:bidi/>
        <w:spacing w:after="160" w:before="280"/>
        <w:jc w:val="start"/>
      </w:pPr>
      <w:r>
        <w:rPr>
          <w:rFonts w:ascii="Arial" w:cs="Arial" w:eastAsia="Arial" w:hAnsi="Arial"/>
          <w:b/>
          <w:bCs/>
          <w:color w:val="1A3A2E"/>
          <w:sz w:val="28"/>
          <w:szCs w:val="28"/>
          <w:rtl/>
        </w:rPr>
        <w:t xml:space="preserve">سادساً: معايير النجاح</w:t>
      </w:r>
    </w:p>
    <w:p>
      <w:pPr>
        <w:pStyle w:val="ListParagraph"/>
        <w:numPr>
          <w:ilvl w:val="0"/>
          <w:numId w:val="5"/>
        </w:numPr>
        <w:bidi/>
        <w:spacing w:after="60" w:before="0" w:line="300"/>
        <w:jc w:val="start"/>
      </w:pPr>
      <w:r>
        <w:rPr>
          <w:rFonts w:ascii="Arial" w:cs="Arial" w:eastAsia="Arial" w:hAnsi="Arial"/>
          <w:b w:val="false"/>
          <w:bCs w:val="false"/>
          <w:sz w:val="24"/>
          <w:szCs w:val="24"/>
          <w:rtl/>
        </w:rPr>
        <w:t xml:space="preserve">اعتماد أحد عشر إجراءً بالإصدار </w:t>
      </w:r>
      <w:r>
        <w:rPr>
          <w:rFonts w:ascii="Arial" w:cs="Arial" w:eastAsia="Arial" w:hAnsi="Arial"/>
          <w:b w:val="false"/>
          <w:bCs w:val="false"/>
          <w:sz w:val="24"/>
          <w:szCs w:val="24"/>
        </w:rPr>
        <w:t xml:space="preserve">1.0</w:t>
      </w:r>
      <w:r>
        <w:rPr>
          <w:rFonts w:ascii="Arial" w:cs="Arial" w:eastAsia="Arial" w:hAnsi="Arial"/>
          <w:b w:val="false"/>
          <w:bCs w:val="false"/>
          <w:sz w:val="24"/>
          <w:szCs w:val="24"/>
          <w:rtl/>
        </w:rPr>
        <w:t xml:space="preserve"> قبل نهاية الأسبوع الثامن.</w:t>
      </w:r>
    </w:p>
    <w:p>
      <w:pPr>
        <w:pStyle w:val="ListParagraph"/>
        <w:numPr>
          <w:ilvl w:val="0"/>
          <w:numId w:val="5"/>
        </w:numPr>
        <w:bidi/>
        <w:spacing w:after="60" w:before="0" w:line="300"/>
        <w:jc w:val="start"/>
      </w:pPr>
      <w:r>
        <w:rPr>
          <w:rFonts w:ascii="Arial" w:cs="Arial" w:eastAsia="Arial" w:hAnsi="Arial"/>
          <w:b w:val="false"/>
          <w:bCs w:val="false"/>
          <w:sz w:val="24"/>
          <w:szCs w:val="24"/>
          <w:rtl/>
        </w:rPr>
        <w:t xml:space="preserve">استكمال الفجوات بجلسة واحدة مدتها </w:t>
      </w:r>
      <w:r>
        <w:rPr>
          <w:rFonts w:ascii="Arial" w:cs="Arial" w:eastAsia="Arial" w:hAnsi="Arial"/>
          <w:b w:val="false"/>
          <w:bCs w:val="false"/>
          <w:sz w:val="24"/>
          <w:szCs w:val="24"/>
        </w:rPr>
        <w:t xml:space="preserve">60</w:t>
      </w:r>
      <w:r>
        <w:rPr>
          <w:rFonts w:ascii="Arial" w:cs="Arial" w:eastAsia="Arial" w:hAnsi="Arial"/>
          <w:b w:val="false"/>
          <w:bCs w:val="false"/>
          <w:sz w:val="24"/>
          <w:szCs w:val="24"/>
          <w:rtl/>
        </w:rPr>
        <w:t xml:space="preserve"> دقيقة دون جلسات إضافية.</w:t>
      </w:r>
    </w:p>
    <w:p>
      <w:pPr>
        <w:pStyle w:val="ListParagraph"/>
        <w:numPr>
          <w:ilvl w:val="0"/>
          <w:numId w:val="5"/>
        </w:numPr>
        <w:bidi/>
        <w:spacing w:after="60" w:before="0" w:line="300"/>
        <w:jc w:val="start"/>
      </w:pPr>
      <w:r>
        <w:rPr>
          <w:rFonts w:ascii="Arial" w:cs="Arial" w:eastAsia="Arial" w:hAnsi="Arial"/>
          <w:b w:val="false"/>
          <w:bCs w:val="false"/>
          <w:sz w:val="24"/>
          <w:szCs w:val="24"/>
          <w:rtl/>
        </w:rPr>
        <w:t xml:space="preserve">اعتماد كل دفعة من رئيس القسم خلال </w:t>
      </w:r>
      <w:r>
        <w:rPr>
          <w:rFonts w:ascii="Arial" w:cs="Arial" w:eastAsia="Arial" w:hAnsi="Arial"/>
          <w:b w:val="false"/>
          <w:bCs w:val="false"/>
          <w:sz w:val="24"/>
          <w:szCs w:val="24"/>
        </w:rPr>
        <w:t xml:space="preserve">10</w:t>
      </w:r>
      <w:r>
        <w:rPr>
          <w:rFonts w:ascii="Arial" w:cs="Arial" w:eastAsia="Arial" w:hAnsi="Arial"/>
          <w:b w:val="false"/>
          <w:bCs w:val="false"/>
          <w:sz w:val="24"/>
          <w:szCs w:val="24"/>
          <w:rtl/>
        </w:rPr>
        <w:t xml:space="preserve"> أيام عمل من تسليم مسودتها.</w:t>
      </w:r>
    </w:p>
    <w:p>
      <w:pPr>
        <w:pStyle w:val="ListParagraph"/>
        <w:numPr>
          <w:ilvl w:val="0"/>
          <w:numId w:val="5"/>
        </w:numPr>
        <w:bidi/>
        <w:spacing w:after="60" w:before="0" w:line="300"/>
        <w:jc w:val="start"/>
      </w:pPr>
      <w:r>
        <w:rPr>
          <w:rFonts w:ascii="Arial" w:cs="Arial" w:eastAsia="Arial" w:hAnsi="Arial"/>
          <w:b w:val="false"/>
          <w:bCs w:val="false"/>
          <w:sz w:val="24"/>
          <w:szCs w:val="24"/>
          <w:rtl/>
        </w:rPr>
        <w:t xml:space="preserve">تسمية صاحب عملية مفوّض في القسم يكون نقطة الاتصال الوحيدة طوال المشروع.</w:t>
      </w:r>
    </w:p>
    <w:p>
      <w:pPr>
        <w:pBdr>
          <w:bottom w:val="single" w:color="D4A958" w:sz="12" w:space="4"/>
        </w:pBdr>
        <w:bidi/>
        <w:spacing w:after="160" w:before="280"/>
        <w:jc w:val="start"/>
      </w:pPr>
      <w:r>
        <w:rPr>
          <w:rFonts w:ascii="Arial" w:cs="Arial" w:eastAsia="Arial" w:hAnsi="Arial"/>
          <w:b/>
          <w:bCs/>
          <w:color w:val="1A3A2E"/>
          <w:sz w:val="28"/>
          <w:szCs w:val="28"/>
          <w:rtl/>
        </w:rPr>
        <w:t xml:space="preserve">سابعاً: المخاطر</w:t>
      </w:r>
    </w:p>
    <w:tbl>
      <w:tblPr>
        <w:bidiVisual/>
        <w:tblW w:type="pct" w:w="100%"/>
        <w:tblBorders>
          <w:top w:val="single" w:color="D4A958" w:sz="4"/>
          <w:left w:val="single" w:color="D4A958" w:sz="4"/>
          <w:bottom w:val="single" w:color="D4A958" w:sz="4"/>
          <w:right w:val="single" w:color="D4A958" w:sz="4"/>
          <w:insideH w:val="single" w:color="D4A958" w:sz="2"/>
          <w:insideV w:val="single" w:color="D4A958" w:sz="2"/>
        </w:tblBorders>
      </w:tblPr>
      <w:tblGrid>
        <w:gridCol w:w="100"/>
        <w:gridCol w:w="100"/>
        <w:gridCol w:w="100"/>
      </w:tblGrid>
      <w:tr>
        <w:trPr>
          <w:tblHeader/>
        </w:trPr>
        <w:tc>
          <w:tcPr>
            <w:tcW w:type="pct" w:w="26%"/>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الخطر</w:t>
            </w:r>
          </w:p>
        </w:tc>
        <w:tc>
          <w:tcPr>
            <w:tcW w:type="pct" w:w="24%"/>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الأثر</w:t>
            </w:r>
          </w:p>
        </w:tc>
        <w:tc>
          <w:tcPr>
            <w:tcW w:type="pct" w:w="50%"/>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الاستجابة</w:t>
            </w:r>
          </w:p>
        </w:tc>
      </w:tr>
      <w:tr>
        <w:trPr>
          <w:tblHeader w:val="false"/>
        </w:trPr>
        <w:tc>
          <w:tcPr>
            <w:tcW w:type="pct" w:w="26%"/>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انشغال القسم بموسم بداية الفصل الدراسي</w:t>
            </w:r>
          </w:p>
        </w:tc>
        <w:tc>
          <w:tcPr>
            <w:tcW w:type="pct" w:w="24%"/>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تأخر الجلسة والمراجعات</w:t>
            </w:r>
          </w:p>
        </w:tc>
        <w:tc>
          <w:tcPr>
            <w:tcW w:type="pct" w:w="50%"/>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حجز الجلسة مبكراً بموعد ثابت، وتقصير مدتها إلى </w:t>
            </w:r>
            <w:r>
              <w:rPr>
                <w:rFonts w:ascii="Arial" w:cs="Arial" w:eastAsia="Arial" w:hAnsi="Arial"/>
                <w:b w:val="false"/>
                <w:bCs w:val="false"/>
                <w:sz w:val="22"/>
                <w:szCs w:val="22"/>
              </w:rPr>
              <w:t xml:space="preserve">60</w:t>
            </w:r>
            <w:r>
              <w:rPr>
                <w:rFonts w:ascii="Arial" w:cs="Arial" w:eastAsia="Arial" w:hAnsi="Arial"/>
                <w:b w:val="false"/>
                <w:bCs w:val="false"/>
                <w:sz w:val="22"/>
                <w:szCs w:val="22"/>
                <w:rtl/>
              </w:rPr>
              <w:t xml:space="preserve"> دقيقة بأسئلة معبأة مسبقاً من سجل الحصر</w:t>
            </w:r>
          </w:p>
        </w:tc>
      </w:tr>
      <w:tr>
        <w:trPr>
          <w:tblHeader w:val="false"/>
        </w:trPr>
        <w:tc>
          <w:tcPr>
            <w:tcW w:type="pct" w:w="26%"/>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تأخر اعتماد العميد لحزمة المبادرة إلى ما بعد الأسبوع السادس</w:t>
            </w:r>
          </w:p>
        </w:tc>
        <w:tc>
          <w:tcPr>
            <w:tcW w:type="pct" w:w="24%"/>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توقف اعتماد الإصدار </w:t>
            </w:r>
            <w:r>
              <w:rPr>
                <w:rFonts w:ascii="Arial" w:cs="Arial" w:eastAsia="Arial" w:hAnsi="Arial"/>
                <w:b w:val="false"/>
                <w:bCs w:val="false"/>
                <w:sz w:val="22"/>
                <w:szCs w:val="22"/>
              </w:rPr>
              <w:t xml:space="preserve">1.0</w:t>
            </w:r>
            <w:r>
              <w:rPr>
                <w:rFonts w:ascii="Arial" w:cs="Arial" w:eastAsia="Arial" w:hAnsi="Arial"/>
                <w:b w:val="false"/>
                <w:bCs w:val="false"/>
                <w:sz w:val="22"/>
                <w:szCs w:val="22"/>
                <w:rtl/>
              </w:rPr>
              <w:t xml:space="preserve"> وتعطل التوسّع</w:t>
            </w:r>
          </w:p>
        </w:tc>
        <w:tc>
          <w:tcPr>
            <w:tcW w:type="pct" w:w="50%"/>
            <w:shd w:fill="F4EDE0" w:color="auto" w:val="clear"/>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رفع الحزمة مبكراً ومتابعتها أسبوعياً، مع الاستمرار في إنتاج المسودات </w:t>
            </w:r>
            <w:r>
              <w:rPr>
                <w:rFonts w:ascii="Arial" w:cs="Arial" w:eastAsia="Arial" w:hAnsi="Arial"/>
                <w:b w:val="false"/>
                <w:bCs w:val="false"/>
                <w:sz w:val="22"/>
                <w:szCs w:val="22"/>
              </w:rPr>
              <w:t xml:space="preserve">0.9</w:t>
            </w:r>
            <w:r>
              <w:rPr>
                <w:rFonts w:ascii="Arial" w:cs="Arial" w:eastAsia="Arial" w:hAnsi="Arial"/>
                <w:b w:val="false"/>
                <w:bCs w:val="false"/>
                <w:sz w:val="22"/>
                <w:szCs w:val="22"/>
                <w:rtl/>
              </w:rPr>
              <w:t xml:space="preserve"> بالتوازي</w:t>
            </w:r>
          </w:p>
        </w:tc>
      </w:tr>
      <w:tr>
        <w:trPr>
          <w:tblHeader w:val="false"/>
        </w:trPr>
        <w:tc>
          <w:tcPr>
            <w:tcW w:type="pct" w:w="26%"/>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تقادم مرفقات الدليل الأصلي (نماذج وشاشات تغيّرت)</w:t>
            </w:r>
          </w:p>
        </w:tc>
        <w:tc>
          <w:tcPr>
            <w:tcW w:type="pct" w:w="24%"/>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توثيق لا يطابق الواقع</w:t>
            </w:r>
          </w:p>
        </w:tc>
        <w:tc>
          <w:tcPr>
            <w:tcW w:type="pct" w:w="50%"/>
            <w:tcMar>
              <w:top w:type="dxa" w:w="80"/>
              <w:left w:type="dxa" w:w="120"/>
              <w:bottom w:type="dxa" w:w="80"/>
              <w:right w:type="dxa" w:w="120"/>
            </w:tcMar>
          </w:tcPr>
          <w:p>
            <w:pPr>
              <w:bidi/>
              <w:spacing w:after="0" w:before="0" w:line="300"/>
              <w:jc w:val="start"/>
            </w:pPr>
            <w:r>
              <w:rPr>
                <w:rFonts w:ascii="Arial" w:cs="Arial" w:eastAsia="Arial" w:hAnsi="Arial"/>
                <w:b w:val="false"/>
                <w:bCs w:val="false"/>
                <w:sz w:val="22"/>
                <w:szCs w:val="22"/>
                <w:rtl/>
              </w:rPr>
              <w:t xml:space="preserve">التحقق من كل مرفق مع صاحب العملية أثناء المراجعة، وحصر تعليمات الشاشات في ملحق منفصل يسهل تحديثه دون المساس بالإجراء</w:t>
            </w:r>
          </w:p>
        </w:tc>
      </w:tr>
    </w:tbl>
    <w:p>
      <w:pPr>
        <w:pBdr>
          <w:bottom w:val="single" w:color="D4A958" w:sz="12" w:space="4"/>
        </w:pBdr>
        <w:bidi/>
        <w:spacing w:after="160" w:before="280"/>
        <w:jc w:val="start"/>
      </w:pPr>
      <w:r>
        <w:rPr>
          <w:rFonts w:ascii="Arial" w:cs="Arial" w:eastAsia="Arial" w:hAnsi="Arial"/>
          <w:b/>
          <w:bCs/>
          <w:color w:val="1A3A2E"/>
          <w:sz w:val="28"/>
          <w:szCs w:val="28"/>
          <w:rtl/>
        </w:rPr>
        <w:t xml:space="preserve">ثامناً: الاعتماد</w:t>
      </w:r>
    </w:p>
    <w:p>
      <w:pPr>
        <w:spacing w:after="160"/>
      </w:pPr>
    </w:p>
    <w:tbl>
      <w:tblPr>
        <w:bidiVisual/>
        <w:tblW w:type="pct" w:w="100%"/>
        <w:tblBorders>
          <w:top w:val="single" w:color="D4A958" w:sz="4"/>
          <w:left w:val="single" w:color="D4A958" w:sz="4"/>
          <w:bottom w:val="single" w:color="D4A958" w:sz="4"/>
          <w:right w:val="single" w:color="D4A958" w:sz="4"/>
          <w:insideH w:val="single" w:color="D4A958" w:sz="2"/>
          <w:insideV w:val="single" w:color="D4A958" w:sz="2"/>
        </w:tblBorders>
      </w:tblPr>
      <w:tblGrid>
        <w:gridCol w:w="100"/>
        <w:gridCol w:w="100"/>
        <w:gridCol w:w="100"/>
        <w:gridCol w:w="100"/>
      </w:tblGrid>
      <w:tr>
        <w:trPr>
          <w:tblHeader/>
        </w:trPr>
        <w:tc>
          <w:tcPr>
            <w:tcW w:type="pct" w:w="34%"/>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الصفة</w:t>
            </w:r>
          </w:p>
        </w:tc>
        <w:tc>
          <w:tcPr>
            <w:tcW w:type="pct" w:w="26%"/>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الاسم</w:t>
            </w:r>
          </w:p>
        </w:tc>
        <w:tc>
          <w:tcPr>
            <w:tcW w:type="pct" w:w="22%"/>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التوقيع</w:t>
            </w:r>
          </w:p>
        </w:tc>
        <w:tc>
          <w:tcPr>
            <w:tcW w:type="pct" w:w="18%"/>
            <w:shd w:fill="1A3A2E" w:color="auto" w:val="clear"/>
            <w:tcMar>
              <w:top w:type="dxa" w:w="80"/>
              <w:left w:type="dxa" w:w="120"/>
              <w:bottom w:type="dxa" w:w="80"/>
              <w:right w:type="dxa" w:w="120"/>
            </w:tcMar>
          </w:tcPr>
          <w:p>
            <w:pPr>
              <w:bidi/>
              <w:spacing w:after="0" w:before="0" w:line="300"/>
              <w:jc w:val="start"/>
            </w:pPr>
            <w:r>
              <w:rPr>
                <w:rFonts w:ascii="Arial" w:cs="Arial" w:eastAsia="Arial" w:hAnsi="Arial"/>
                <w:b/>
                <w:bCs/>
                <w:color w:val="FFFFFF"/>
                <w:sz w:val="22"/>
                <w:szCs w:val="22"/>
                <w:rtl/>
              </w:rPr>
              <w:t xml:space="preserve">التاريخ</w:t>
            </w:r>
          </w:p>
        </w:tc>
      </w:tr>
      <w:tr>
        <w:trPr>
          <w:tblHeader w:val="false"/>
        </w:trPr>
        <w:tc>
          <w:tcPr>
            <w:tcW w:type="pct" w:w="34%"/>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مدير المشروع — وكيل العمادة للتطوير</w:t>
            </w:r>
          </w:p>
        </w:tc>
        <w:tc>
          <w:tcPr>
            <w:tcW w:type="pct" w:w="26%"/>
            <w:tcMar>
              <w:top w:type="dxa" w:w="80"/>
              <w:left w:type="dxa" w:w="120"/>
              <w:bottom w:type="dxa" w:w="80"/>
              <w:right w:type="dxa" w:w="120"/>
            </w:tcMar>
          </w:tcPr>
          <w:p>
            <w:pPr>
              <w:bidi/>
              <w:spacing w:after="0" w:before="0" w:line="300"/>
              <w:jc w:val="start"/>
            </w:pPr>
          </w:p>
        </w:tc>
        <w:tc>
          <w:tcPr>
            <w:tcW w:type="pct" w:w="22%"/>
            <w:tcMar>
              <w:top w:type="dxa" w:w="80"/>
              <w:left w:type="dxa" w:w="120"/>
              <w:bottom w:type="dxa" w:w="80"/>
              <w:right w:type="dxa" w:w="120"/>
            </w:tcMar>
          </w:tcPr>
          <w:p>
            <w:pPr>
              <w:bidi/>
              <w:spacing w:after="0" w:before="0" w:line="300"/>
              <w:jc w:val="start"/>
            </w:pPr>
          </w:p>
        </w:tc>
        <w:tc>
          <w:tcPr>
            <w:tcW w:type="pct" w:w="18%"/>
            <w:tcMar>
              <w:top w:type="dxa" w:w="80"/>
              <w:left w:type="dxa" w:w="120"/>
              <w:bottom w:type="dxa" w:w="80"/>
              <w:right w:type="dxa" w:w="120"/>
            </w:tcMar>
          </w:tcPr>
          <w:p>
            <w:pPr>
              <w:bidi/>
              <w:spacing w:after="0" w:before="0" w:line="300"/>
              <w:jc w:val="start"/>
            </w:pPr>
          </w:p>
        </w:tc>
      </w:tr>
      <w:tr>
        <w:trPr>
          <w:tblHeader w:val="false"/>
        </w:trPr>
        <w:tc>
          <w:tcPr>
            <w:tcW w:type="pct" w:w="34%"/>
            <w:shd w:fill="F4EDE0" w:color="auto" w:val="clear"/>
            <w:tcMar>
              <w:top w:type="dxa" w:w="80"/>
              <w:left w:type="dxa" w:w="120"/>
              <w:bottom w:type="dxa" w:w="80"/>
              <w:right w:type="dxa" w:w="120"/>
            </w:tcMar>
          </w:tcPr>
          <w:p>
            <w:pPr>
              <w:bidi/>
              <w:spacing w:after="0" w:before="0" w:line="300"/>
              <w:jc w:val="start"/>
            </w:pPr>
            <w:r>
              <w:rPr>
                <w:rFonts w:ascii="Arial" w:cs="Arial" w:eastAsia="Arial" w:hAnsi="Arial"/>
                <w:b/>
                <w:bCs/>
                <w:sz w:val="22"/>
                <w:szCs w:val="22"/>
                <w:rtl/>
              </w:rPr>
              <w:t xml:space="preserve">راعي المشروع — عميد القبول والتسجيل</w:t>
            </w:r>
          </w:p>
        </w:tc>
        <w:tc>
          <w:tcPr>
            <w:tcW w:type="pct" w:w="26%"/>
            <w:shd w:fill="F4EDE0" w:color="auto" w:val="clear"/>
            <w:tcMar>
              <w:top w:type="dxa" w:w="80"/>
              <w:left w:type="dxa" w:w="120"/>
              <w:bottom w:type="dxa" w:w="80"/>
              <w:right w:type="dxa" w:w="120"/>
            </w:tcMar>
          </w:tcPr>
          <w:p>
            <w:pPr>
              <w:bidi/>
              <w:spacing w:after="0" w:before="0" w:line="300"/>
              <w:jc w:val="start"/>
            </w:pPr>
          </w:p>
        </w:tc>
        <w:tc>
          <w:tcPr>
            <w:tcW w:type="pct" w:w="22%"/>
            <w:shd w:fill="F4EDE0" w:color="auto" w:val="clear"/>
            <w:tcMar>
              <w:top w:type="dxa" w:w="80"/>
              <w:left w:type="dxa" w:w="120"/>
              <w:bottom w:type="dxa" w:w="80"/>
              <w:right w:type="dxa" w:w="120"/>
            </w:tcMar>
          </w:tcPr>
          <w:p>
            <w:pPr>
              <w:bidi/>
              <w:spacing w:after="0" w:before="0" w:line="300"/>
              <w:jc w:val="start"/>
            </w:pPr>
          </w:p>
        </w:tc>
        <w:tc>
          <w:tcPr>
            <w:tcW w:type="pct" w:w="18%"/>
            <w:shd w:fill="F4EDE0" w:color="auto" w:val="clear"/>
            <w:tcMar>
              <w:top w:type="dxa" w:w="80"/>
              <w:left w:type="dxa" w:w="120"/>
              <w:bottom w:type="dxa" w:w="80"/>
              <w:right w:type="dxa" w:w="120"/>
            </w:tcMar>
          </w:tcPr>
          <w:p>
            <w:pPr>
              <w:bidi/>
              <w:spacing w:after="0" w:before="0" w:line="300"/>
              <w:jc w:val="start"/>
            </w:pP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ميثاق المشروع الإرشادي — قسم الطلبة الدوليين · صفحة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tl w:val="0"/>
      </w:rPr>
    </w:lvl>
    <w:lvl w:ilvl="1" w15:tentative="1">
      <w:start w:val="1"/>
      <w:numFmt w:val="bullet"/>
      <w:lvlText w:val="○"/>
      <w:lvlJc w:val="left"/>
      <w:pPr>
        <w:ind w:left="1440" w:hanging="360"/>
      </w:pPr>
      <w:rPr>
        <w:rtl w:val="0"/>
      </w:rPr>
    </w:lvl>
    <w:lvl w:ilvl="2" w15:tentative="1">
      <w:start w:val="1"/>
      <w:numFmt w:val="bullet"/>
      <w:lvlText w:val="■"/>
      <w:lvlJc w:val="left"/>
      <w:pPr>
        <w:ind w:left="2160" w:hanging="360"/>
      </w:pPr>
      <w:rPr>
        <w:rtl w:val="0"/>
      </w:rPr>
    </w:lvl>
    <w:lvl w:ilvl="3" w15:tentative="1">
      <w:start w:val="1"/>
      <w:numFmt w:val="bullet"/>
      <w:lvlText w:val="●"/>
      <w:lvlJc w:val="left"/>
      <w:pPr>
        <w:ind w:left="2880" w:hanging="360"/>
      </w:pPr>
      <w:rPr>
        <w:rtl w:val="0"/>
      </w:rPr>
    </w:lvl>
    <w:lvl w:ilvl="4" w15:tentative="1">
      <w:start w:val="1"/>
      <w:numFmt w:val="bullet"/>
      <w:lvlText w:val="○"/>
      <w:lvlJc w:val="left"/>
      <w:pPr>
        <w:ind w:left="3600" w:hanging="360"/>
      </w:pPr>
      <w:rPr>
        <w:rtl w:val="0"/>
      </w:rPr>
    </w:lvl>
    <w:lvl w:ilvl="5" w15:tentative="1">
      <w:start w:val="1"/>
      <w:numFmt w:val="bullet"/>
      <w:lvlText w:val="■"/>
      <w:lvlJc w:val="left"/>
      <w:pPr>
        <w:ind w:left="4320" w:hanging="360"/>
      </w:pPr>
      <w:rPr>
        <w:rtl w:val="0"/>
      </w:rPr>
    </w:lvl>
    <w:lvl w:ilvl="6" w15:tentative="1">
      <w:start w:val="1"/>
      <w:numFmt w:val="bullet"/>
      <w:lvlText w:val="●"/>
      <w:lvlJc w:val="left"/>
      <w:pPr>
        <w:ind w:left="5040" w:hanging="360"/>
      </w:pPr>
      <w:rPr>
        <w:rtl w:val="0"/>
      </w:rPr>
    </w:lvl>
    <w:lvl w:ilvl="7" w15:tentative="1">
      <w:start w:val="1"/>
      <w:numFmt w:val="bullet"/>
      <w:lvlText w:val="●"/>
      <w:lvlJc w:val="left"/>
      <w:pPr>
        <w:ind w:left="5760" w:hanging="360"/>
      </w:pPr>
      <w:rPr>
        <w:rtl w:val="0"/>
      </w:rPr>
    </w:lvl>
    <w:lvl w:ilvl="8" w15:tentative="1">
      <w:start w:val="1"/>
      <w:numFmt w:val="bullet"/>
      <w:lvlText w:val="●"/>
      <w:lvlJc w:val="left"/>
      <w:pPr>
        <w:ind w:left="6480" w:hanging="360"/>
      </w:pPr>
      <w:rPr>
        <w:rtl w:val="0"/>
      </w:rPr>
    </w:lvl>
  </w:abstractNum>
  <w:abstractNum w:abstractNumId="2" w15:restartNumberingAfterBreak="0">
    <w:multiLevelType w:val="hybridMultilevel"/>
    <w:lvl w:ilvl="0" w15:tentative="1">
      <w:start w:val="1"/>
      <w:numFmt w:val="decimal"/>
      <w:lvlText w:val="%1."/>
      <w:lvlJc w:val="start"/>
      <w:pPr>
        <w:ind w:start="520" w:hanging="260"/>
      </w:pPr>
      <w:rPr>
        <w:rtl w:val="0"/>
      </w:rPr>
    </w:lvl>
  </w:abstractNum>
  <w:abstractNum w:abstractNumId="3" w15:restartNumberingAfterBreak="0">
    <w:multiLevelType w:val="hybridMultilevel"/>
    <w:lvl w:ilvl="0" w15:tentative="1">
      <w:start w:val="1"/>
      <w:numFmt w:val="decimal"/>
      <w:lvlText w:val="%1."/>
      <w:lvlJc w:val="start"/>
      <w:pPr>
        <w:ind w:start="520" w:hanging="260"/>
      </w:pPr>
      <w:rPr>
        <w:rtl w:val="0"/>
      </w:rPr>
    </w:lvl>
  </w:abstractNum>
  <w:abstractNum w:abstractNumId="4" w15:restartNumberingAfterBreak="0">
    <w:multiLevelType w:val="hybridMultilevel"/>
    <w:lvl w:ilvl="0" w15:tentative="1">
      <w:start w:val="1"/>
      <w:numFmt w:val="bullet"/>
      <w:lvlText w:val="•"/>
      <w:lvlJc w:val="start"/>
      <w:pPr>
        <w:ind w:start="520" w:hanging="260"/>
      </w:pPr>
      <w:rPr>
        <w:rtl w:val="0"/>
      </w:rPr>
    </w:lvl>
  </w:abstractNum>
  <w:abstractNum w:abstractNumId="5" w15:restartNumberingAfterBreak="0">
    <w:multiLevelType w:val="hybridMultilevel"/>
    <w:lvl w:ilvl="0" w15:tentative="1">
      <w:start w:val="1"/>
      <w:numFmt w:val="bullet"/>
      <w:lvlText w:val="•"/>
      <w:lvlJc w:val="start"/>
      <w:pPr>
        <w:ind w:start="520" w:hanging="260"/>
      </w:pPr>
      <w:rPr>
        <w:rtl w:val="0"/>
      </w:rPr>
    </w:lvl>
  </w:abstractNum>
  <w:abstractNum w:abstractNumId="6" w15:restartNumberingAfterBreak="0">
    <w:multiLevelType w:val="hybridMultilevel"/>
    <w:lvl w:ilvl="0" w15:tentative="1">
      <w:start w:val="1"/>
      <w:numFmt w:val="bullet"/>
      <w:lvlText w:val="•"/>
      <w:lvlJc w:val="start"/>
      <w:pPr>
        <w:ind w:start="520" w:hanging="260"/>
      </w:pPr>
      <w:rPr>
        <w:rtl w:val="0"/>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2026-09-21T07:35:52.000Z</dcterms:created>
  <dcterms:modified xsi:type="dcterms:W3CDTF">2026-09-21T07:35:52.001Z</dcterms:modified>
</cp:coreProperties>
</file>

<file path=docProps/custom.xml><?xml version="1.0" encoding="utf-8"?>
<Properties xmlns="http://schemas.openxmlformats.org/officeDocument/2006/custom-properties" xmlns:vt="http://schemas.openxmlformats.org/officeDocument/2006/docPropsVTypes"/>
</file>