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Polished manuscript draft for Journal of Cheminformatics</w:t>
      </w:r>
    </w:p>
    <w:p>
      <w:pPr>
        <w:pStyle w:val="Heading1"/>
      </w:pPr>
      <w:r>
        <w:t>Title page</w:t>
      </w:r>
    </w:p>
    <w:p>
      <w:r>
        <w:rPr>
          <w:b/>
        </w:rPr>
        <w:t>Proposed title</w:t>
      </w:r>
      <w:r>
        <w:t xml:space="preserve">  </w:t>
        <w:br/>
        <w:t>Structure-based chemical product-category scoring from molecular structure: a full-positive PubChem rebuild with same-regime QED comparison and desktop deployment</w:t>
      </w:r>
    </w:p>
    <w:p>
      <w:r>
        <w:rPr>
          <w:b/>
        </w:rPr>
        <w:t>Authors</w:t>
      </w:r>
      <w:r>
        <w:t xml:space="preserve">  </w:t>
        <w:br/>
        <w:t>[To be completed]</w:t>
      </w:r>
    </w:p>
    <w:p>
      <w:r>
        <w:rPr>
          <w:b/>
        </w:rPr>
        <w:t>Affiliations</w:t>
      </w:r>
      <w:r>
        <w:t xml:space="preserve">  </w:t>
        <w:br/>
        <w:t>[To be completed]</w:t>
      </w:r>
    </w:p>
    <w:p>
      <w:r>
        <w:rPr>
          <w:b/>
        </w:rPr>
        <w:t>Corresponding author</w:t>
      </w:r>
      <w:r>
        <w:t xml:space="preserve">  </w:t>
        <w:br/>
        <w:t>[To be completed]</w:t>
      </w:r>
    </w:p>
    <w:p/>
    <w:p>
      <w:pPr>
        <w:pStyle w:val="Heading1"/>
      </w:pPr>
      <w:r>
        <w:t>Abstract</w:t>
      </w:r>
    </w:p>
    <w:p>
      <w:r>
        <w:t>Descriptor-based molecular scoring is widely used in cheminformatics, but most interpretable scoring systems have focused on drug-likeness rather than broader chemical product classes, and much category-specific prior work stops at property-space analysis, rule frameworks, or QSUR classification rather than deployable continuous scoring. We developed an interpretable broad-category scoring framework for ten PubChem chemical product categories defined in the Classification Browser HID 72 hierarchy: animal drugs, human drugs, cosmetics, flavoring agents, food additives, food contact substances, fragrances, pesticides, solvents, and surfactants. In the final manuscript run, all available positives for these categories were used after CID-to-SMILES conversion and SMILES deduplication. Negatives were constructed from the other final categories while retaining cross-category overlap; exclusions were limited to exact target-positive overlap, duplicate negative SMILES, and near-positive Tanimoto matches. Each category scorer combined positive-set physicochemical property ranges with structural-pattern evidence in a single interpretable continuous score and was benchmarked against raw RDKit quantitative estimate of drug-likeness (QED) on the same rebuilt evaluation set. The strongest categories were surfactants (AUC 0.9778), flavoring agents (0.9389), solvents (0.9295), and fragrances (0.9254). Moderate but still clearly improved categories were food additives (0.8334), human drugs (0.7876), and pesticides (0.7527). Harder broad categories including food contact substances (0.6213), cosmetics (0.6179), and animal drugs (0.6136) also exceeded QED under the same evaluation regime. For pesticides, a same-regime reimplementation of the published QEP family remained below the final rebuilt scorer, showing that the present broader PubChem-category reconstruction improves on a narrower descriptor-only precedent. A desktop application and Python library were prepared to package the final scorers for local single-molecule and batch use. These results show that QED-inspired interpretable scoring can be extended beyond drug-likeness toward broad chemical product-category suggestion when full positive sets, explicit negative-set doctrine, and structural-pattern information are used together.</w:t>
      </w:r>
    </w:p>
    <w:p>
      <w:pPr>
        <w:pStyle w:val="Heading2"/>
      </w:pPr>
      <w:r>
        <w:t>Scientific Contribution</w:t>
      </w:r>
    </w:p>
    <w:p>
      <w:r>
        <w:t>We generalize QED-style interpretable scoring from drug-likeness to ten broad PubChem chemical product categories using full-positive uncapped rebuilds, retained cross-category hard negatives, and combined property-plus-pattern evidence. Unlike much prior category literature, which often stops at property-space analysis, rule/filter logic, QSUR classification, or narrower descriptor-only scores, the final study delivers deployable continuous category-likeness scorers. Every final category scorer outperforms raw RDKit QED on the same evaluation regime, and the rebuilt pesticide scorer also outperforms a same-regime reimplementation of the published QEP family. The final study translates the framework into both a reusable desktop tool and a Python library.</w:t>
        <w:br/>
      </w:r>
      <w:r>
        <w:rPr>
          <w:b/>
        </w:rPr>
        <w:t>Keywords:</w:t>
      </w:r>
      <w:r>
        <w:t xml:space="preserve"> cheminformatics; molecular scoring; QED; PubChem Classification Browser; structural patterns; descriptor-based scoring; chemical product categories; interpretable models</w:t>
      </w:r>
    </w:p>
    <w:p/>
    <w:p>
      <w:pPr>
        <w:pStyle w:val="Heading1"/>
      </w:pPr>
      <w:r>
        <w:t>Introduction</w:t>
      </w:r>
    </w:p>
    <w:p>
      <w:r>
        <w:t>Interpretable molecular scoring remains one of the most practical ideas in cheminformatics because it gives chemically meaningful rankings without requiring a separate black-box model for every decision problem. A well-known example is the quantitative estimate of drug-likeness (QED), which uses a compact set of molecular descriptors and structural alerts to summarize how closely a molecule resembles the physicochemical profile of approved drugs [1]. QED is important not only because it is useful, but also because it established a portable paradigm for continuous structure-based desirability scoring. Beyond QED itself, related “likeness” frameworks such as natural-product-likeness and ChEMBL-likeness further show that interpretable descriptor or fragment evidence can be converted into chemically meaningful ranking functions rather than only hard yes/no filters [12,13].</w:t>
      </w:r>
    </w:p>
    <w:p>
      <w:r>
        <w:t>However, the literature is uneven not only in category coverage but also in task type. Some prior studies report rule-oriented or descriptor-space profiling rather than deployable continuous scoring. Pesticides already have the strongest direct precedent: agrochemical rule frameworks and constitutive-property studies were followed by the quantitative estimate of pesticide-likeness (QEP), which introduced continuous class-specific scorers for herbicides, insecticides, fungicides, and overall pesticide-likeness [2-4]. Fragrances also have strong category-focused precedent, but mainly as fragrance-like property-space definition, family recovery, and virtual-screening expansion rather than as a final broad-category score under hard cross-category negatives [5]. Food-related chemical space has likewise been studied through descriptor comparisons of FEMA/FDA-notified GRAS compounds against drugs and through chemoinformatic analysis of GRAS flavor chemicals against drugs, natural products, and screening libraries; these studies characterize the space well, but they do not by themselves provide a final deployable continuous score for broad PubChem food-additive or flavoring-agent categories [6,7].</w:t>
      </w:r>
    </w:p>
    <w:p>
      <w:r>
        <w:t>Other categories are supported mainly by adjacent rather than direct precedent. Consumer-product and functional-use studies have shown that cosmetics-related, fragrance, flavorant, surfactant, and solvent-like roles can often be predicted from structural and physicochemical descriptors using harmonized function categories and quantitative structure-use relationship (QSUR) models [8,9]. Solvents also have a long descriptor-based chemometric classification tradition, and modern solvent-selection frameworks emphasize that solvent space is broad, heterogeneous, and often better understood through chemically interpretable grouping than through one generic criterion [10,11]. Food-relevant chemical-space studies further indicate that direct food additives, pesticides, and food contact substances occupy distinguishable but partially overlapping structural regions, with food contact substances often falling into an intermediate region rather than forming a sharply isolated space [14]. For animal drugs, the available literature is even thinner; one adjacent example uses similarity to approved veterinary drugs as a veterinary drug-likeness measure rather than a broad consumer-product style category scorer [15].</w:t>
      </w:r>
    </w:p>
    <w:p>
      <w:r>
        <w:t>This mixed precedent landscape creates both an opportunity and a constraint. The opportunity is clear: the QED paradigm has not been systematically extended to a single broad-category scoring framework spanning pesticides, fragrances, food additives, food contact substances, cosmetics, surfactants, solvents, human drugs, and animal drugs under one common reporting regime. The constraint is equally important: novelty must be stated honestly. Prior work often stops at one of four levels—property-space analysis, rule/filter frameworks, QSUR classification, or narrower descriptor-only continuous scores—whereas the present study aims at interpretable broad-category continuous scoring with full-category positives, retained cross-category hard negatives, physicochemical-plus-structural evidence, and same-regime QED benchmarking. Some target categories, especially pesticides, already have direct continuous-score precedents [4]; others, such as fragrances, flavoring-related chemistry, solvents, and cosmetics-related functions, have strong adjacent property-space or QSUR literature [5-11,14]; and still others, especially food contact substances and animal drugs, remain relatively underdeveloped as broad interpretable scoring problems [14,15].</w:t>
      </w:r>
    </w:p>
    <w:p>
      <w:r>
        <w:t>The PubChem Classification Browser provides a scalable source of candidate categories for addressing this problem because it exposes a curated hierarchy of broad chemical classes [16]. In earlier exploratory work in this project, category scorers were built for multiple HID 72 classes, but the initial screen used positive-set caps for tractability. Those caps were acceptable during early exploration, yet they introduced a scientific risk: if the positive set is truncated, category-specific structural patterns may be lost or underweighted. This concern is especially important for diverse categories such as pesticides, cosmetics, food contact substances, or human drugs, where the missing tail of the positive distribution may contain meaningful chemical motifs.</w:t>
      </w:r>
    </w:p>
    <w:p>
      <w:r>
        <w:t>A second issue is negative-set construction. For broad product categories, positive membership is often easier to define than true non-membership. Molecules that appear in neighboring categories are not automatically invalid negatives, because the modeling question is category-likeness rather than universal exclusivity. For example, a compound may reasonably be treated as a fragrance positive while remaining a valid cosmetics negative if the goal is to recognize fragrance-like chemistry rather than every molecule that can appear anywhere in a cosmetics-related context. Aggressive overlap removal can therefore weaken structural signal by erasing the very contrast needed for broad-category discrimination.</w:t>
      </w:r>
    </w:p>
    <w:p>
      <w:r>
        <w:t>The objective of the present study was therefore to build a final broad-category scoring line for ten practically relevant PubChem categories while addressing both concerns and while grounding the work against the closest available literature. We removed the earlier positive cap, retained cross-category negatives under a narrow exclusion rule, and rebuilt each scorer using positive-set physicochemical property ranges together with structural-pattern evidence. The resulting models were benchmarked against raw RDKit QED on the same rebuilt evaluation sets so that every reported improvement was same-regime rather than cross-regime [1,17]. We then packaged the final scorers into a desktop application and a Python library to demonstrate that the framework is operational and reusable rather than only notebook-bound. Figure 1 summarizes the workflow from PubChem category extraction through full-positive rebuilding, QED comparison, and software packaging.</w:t>
      </w:r>
    </w:p>
    <w:p>
      <w:pPr>
        <w:pStyle w:val="Heading1"/>
      </w:pPr>
      <w:r>
        <w:t>Methods</w:t>
      </w:r>
    </w:p>
    <w:p>
      <w:pPr>
        <w:pStyle w:val="Heading2"/>
      </w:pPr>
      <w:r>
        <w:t>Category source and final target set</w:t>
      </w:r>
    </w:p>
    <w:p>
      <w:r>
        <w:t>The source ontology for the final manuscript run was the PubChem Classification Browser HID 72 hierarchy, specifically the `Chemical and Physical Properties &gt; Chemical Classes` branch [16]. Ten categories were selected as the final manuscript targets: animal drugs, human drugs, cosmetics, flavoring agents, food additives, food contact substances, fragrances, pesticides, solvents, and surfactants. These categories were chosen because they combined practical chemical relevance with sufficient category size for final broad-category scoring while avoiding product classes that were too sparse to support stable reconstruction.</w:t>
      </w:r>
    </w:p>
    <w:p>
      <w:r>
        <w:t>Positive molecules were recovered from PubChem category membership as compound identifiers (CIDs) and then translated to canonical SMILES strings using the PubChem property service. Final positive counts were defined as unique SMILES counts after CID-to-SMILES conversion and SMILES deduplication, not as raw CID counts. This was necessary because multiple CIDs can collapse to the same structure-level SMILES representation. The final unique positive counts were 859 for animal drugs, 3749 for human drugs, 3665 for cosmetics, 2316 for flavoring agents, 2809 for food additives, 1910 for food contact substances, 2286 for fragrances, 2847 for pesticides, 605 for solvents, and 268 for surfactants (Table 1).</w:t>
      </w:r>
    </w:p>
    <w:p>
      <w:pPr>
        <w:pStyle w:val="Heading2"/>
      </w:pPr>
      <w:r>
        <w:t>Full-positive rebuild</w:t>
      </w:r>
    </w:p>
    <w:p>
      <w:r>
        <w:t>The earlier exploratory screen used a positive cap for some classes as a practical runtime control. For the final manuscript run, that cap was removed. All available positives for the ten selected categories were used in the final rebuild after deduplication. The scientific reason for this change was simple: a capped positive set can hide significant structural patterns, especially in chemically heterogeneous categories. In a category such as pesticides, for example, the full positive collection spans aromatic halogenated motifs, nitrogen-rich heterocycles, carbamates, and urea-like structures. Restricting the training pool can easily distort the learned balance between descriptor windows and pattern evidence.</w:t>
      </w:r>
    </w:p>
    <w:p>
      <w:pPr>
        <w:pStyle w:val="Heading2"/>
      </w:pPr>
      <w:r>
        <w:t>Negative-set doctrine</w:t>
      </w:r>
    </w:p>
    <w:p>
      <w:r>
        <w:t>Negatives were constructed from the union of the other nine final categories. Cross-category overlap was retained. A candidate negative was removed only when it met one of three exclusion rules: exact overlap with the target positive set, duplicate negative-source SMILES, or near-positive similarity after Tanimoto filtering. This design reflected a category-likeness view of the task rather than an unrealistic assumption that neighboring broad product classes are mutually exclusive.</w:t>
      </w:r>
    </w:p>
    <w:p>
      <w:r>
        <w:t>The negative-set doctrine was therefore asymmetric by design. Positive membership was treated as the strongest available label, whereas the negative pool was a comparison background rather than a universal statement of non-membership. This distinction is important for broad product categories such as fragrances versus cosmetics, or flavoring agents versus food additives, where the same molecule can legitimately appear in multiple use contexts. Retaining cross-category negatives preserves discriminative contrast that would otherwise be erased by blanket overlap removal.</w:t>
      </w:r>
    </w:p>
    <w:p>
      <w:pPr>
        <w:pStyle w:val="Heading2"/>
      </w:pPr>
      <w:r>
        <w:t>Similarity filter</w:t>
      </w:r>
    </w:p>
    <w:p>
      <w:r>
        <w:t>Before fitting each scorer, negative candidates were filtered using Morgan fingerprints and a Tanimoto threshold of 0.3. Any negative candidate that was too close to the target positive set was removed. This step reduced trivial leakage while still preserving a difficult and chemically relevant comparison background. The remaining background sizes after Tanimoto filtering were 6010 for animal drugs, 3422 for human drugs, 4525 for cosmetics, 6207 for flavoring agents, 4685 for food additives, 5578 for food contact substances, 5484 for fragrances, 4438 for pesticides, 8890 for solvents, and 11815 for surfactants.</w:t>
      </w:r>
    </w:p>
    <w:p>
      <w:pPr>
        <w:pStyle w:val="Heading2"/>
      </w:pPr>
      <w:r>
        <w:t>Descriptor and structural-pattern scoring</w:t>
      </w:r>
    </w:p>
    <w:p>
      <w:r>
        <w:t>Each final category scorer combined two interpretable components: (1) physicochemical support based on whether a molecule fell within positive-set descriptor ranges and (2) structural-pattern support based on the presence of motifs enriched in the target class. The descriptor pool consisted of molecular weight, logP, hydrogen-bond donor count, hydrogen-bond acceptor count, topological polar surface area, rotatable bond count, fraction of sp3 carbons, and aromatic ring count. These descriptors were chosen because they map directly onto the traditional QED design space while still being broad enough to cover non-drug product classes.</w:t>
      </w:r>
    </w:p>
    <w:p>
      <w:r>
        <w:t>Structural-pattern candidates came from the project motif library and included interpretable fragments such as ester, aldehyde, cinnamate, long-chain fragments, sulfonate, carbamate, urea, aromatic halogenation, benzophenone-like motifs, imidazole, pyridine, nitro, glycol, and quaternary nitrogen. Pattern counts were not fixed in advance. Instead, they were selected per category according to enrichment against the retained comparison background. This design ensured that final scorers used chemical motifs that remained meaningful after the negative doctrine was applied, rather than importing a generic rule set unchanged across all categories.</w:t>
      </w:r>
    </w:p>
    <w:p>
      <w:r>
        <w:t>The final score for a molecule was therefore a weighted combination of descriptor-range support and structural-pattern support. The mixing weight `w` determined how much importance was given to the descriptor component relative to the pattern component. Categories with broad recurring motifs, such as surfactants, could retain substantial pattern influence, whereas categories with more diffuse structural identity could rely more on descriptor support without collapsing into a descriptor-only score.</w:t>
      </w:r>
    </w:p>
    <w:p>
      <w:pPr>
        <w:pStyle w:val="Heading2"/>
      </w:pPr>
      <w:r>
        <w:t>Optimization strategy</w:t>
      </w:r>
    </w:p>
    <w:p>
      <w:r>
        <w:t>The final scoring framework used a hybrid optimization strategy derived from the earlier student workflows. Grid search served as a stable baseline optimizer. A Lee-style Bayesian optimization route was accepted when it improved the composite objective, which considered discrimination quality, threshold behavior, and ranking performance. This allowed the final study to preserve the practical automation logic of the Choi pipeline while incorporating a more flexible optimization layer when it genuinely improved the score. The final table reports the selected optimization route for each category.</w:t>
      </w:r>
    </w:p>
    <w:p>
      <w:pPr>
        <w:pStyle w:val="Heading2"/>
      </w:pPr>
      <w:r>
        <w:t>Baseline comparison against QED</w:t>
      </w:r>
    </w:p>
    <w:p>
      <w:r>
        <w:t>Raw RDKit QED was computed on the same rebuilt evaluation set for every final category [1,17]. This same-regime comparison was the core reporting gate for the manuscript. A category was treated as manuscript-reportable only when its rebuilt scorer achieved higher AUC than QED on that same evaluation set. Where a direct published continuous category score already existed, an additional same-regime comparator was also required. For pesticides, the published QEP coefficients from Avram et al. [4] were reimplemented from the supplementary parameter table to compute QEH, QEI, QEF, QEPmax, and QEPavg on the same retained-cross-category PubChem evaluation set. Because the historical publication used ChemAxon descriptor generation whereas the present project uses RDKit, this comparator should be interpreted as a transparent same-regime reimplementation rather than a byte-identical software replay. This rule matters because many apparent improvements in applied cheminformatics disappear when the baseline and the proposed method are evaluated on different positive or negative constructions.</w:t>
      </w:r>
    </w:p>
    <w:p>
      <w:pPr>
        <w:pStyle w:val="Heading2"/>
      </w:pPr>
      <w:r>
        <w:t>Desktop deployment</w:t>
      </w:r>
    </w:p>
    <w:p>
      <w:r>
        <w:t>The final scorers were packaged into a desktop application for single-SMILES and batch CSV scoring. The interface exposes model selection, per-molecule scoring, file-based batch processing, and access to the bundled score models without requiring a hosted service. This local-first design matters for industrial settings because chemical manufacturers may treat molecular structures as confidential assets and may therefore prefer offline evaluation over web submission. Descriptor calculation, scoring, and CSV export all run on the user workstation. This deployment layer shows that the scorers are operational and reusable rather than only notebook-bound. For manuscript presentation, Figure 4 summarizes the software workflow and one representative output screen, while implementation details that are too long for the main text can remain in supplementary material.</w:t>
      </w:r>
    </w:p>
    <w:p/>
    <w:p>
      <w:pPr>
        <w:pStyle w:val="Heading1"/>
      </w:pPr>
      <w:r>
        <w:t>Results</w:t>
      </w:r>
    </w:p>
    <w:p>
      <w:pPr>
        <w:pStyle w:val="Heading2"/>
      </w:pPr>
      <w:r>
        <w:t>Full-positive counts and rebuilt benchmark basis</w:t>
      </w:r>
    </w:p>
    <w:p>
      <w:r>
        <w:t>The full-positive rebuild materially changed the benchmark basis relative to the earlier exploratory screen. Categories that were previously constrained by capped subsets now used the full available positive chemistry in this run. Pesticides increased to 2847 unique SMILES, human drugs to 3749, cosmetics to 3665, food additives to 2809, fragrances to 2286, and flavoring agents to 2316. Because the manuscript results are based on these uncapped positive sets, the final broad-category scorers are more representative of their intended chemical spaces than the earlier sampled versions.</w:t>
      </w:r>
    </w:p>
    <w:p>
      <w:r>
        <w:t>The full-positive refresh also clarified the category-size landscape. Human drugs, cosmetics, food additives, pesticides, fragrances, and flavoring agents are large enough that their final behavior cannot be dismissed as a small-sample artifact. Solvents and surfactants are smaller, but they still retain enough chemistry to support stable final scoring, especially because the negative backgrounds are much larger than the positive sets after Tanimoto filtering. Table 1 summarizes these benchmark counts together with AUC, balanced accuracy, and the QED comparison.</w:t>
      </w:r>
    </w:p>
    <w:p>
      <w:pPr>
        <w:pStyle w:val="Heading2"/>
      </w:pPr>
      <w:r>
        <w:t>Final broad-category performance versus QED</w:t>
      </w:r>
    </w:p>
    <w:p>
      <w:r>
        <w:t>All ten final scorers beat raw RDKit QED in AUC on the same rebuilt evaluation sets (Table 1; Figure 2). This is the central reporting gate of the study, because it compares every rebuilt category scorer against the closest generic baseline under one identical evaluation regime rather than across incomparable benchmarks [1].</w:t>
      </w:r>
    </w:p>
    <w:p>
      <w:r>
        <w:t>The strongest categories were surfactants, flavoring agents, solvents, and fragrances. Surfactants achieved an AUC of 0.9778 and balanced accuracy of 0.9391, compared with QED values of 0.2716 and 0.5176. Flavoring agents reached 0.9389 and 0.8889, compared with 0.5656 and 0.6380 for QED. Solvents reached 0.9295 and 0.8680, compared with 0.5197 and 0.6654. Fragrances reached 0.9254 and 0.8603, compared with 0.5527 and 0.6132. These four categories therefore provide the clearest evidence that broad chemical product-category scoring can outperform a generic drug-likeness baseline by a large margin. For fragrances and flavor-related chemistry, this result extends earlier fragrance-like and GRAS/flavor chemical-space studies from property-space characterization toward an operational continuous scoring setting [5-7]. For surfactants and solvents, the results likewise show that earlier QSUR and chemometric studies, which were mainly framed as functional-use classification or descriptor-based grouping, can be translated into high-performing interpretable category-likeness scores when a broad but chemically meaningful comparison background is retained [8-11].</w:t>
      </w:r>
    </w:p>
    <w:p>
      <w:r>
        <w:t>Food additives, human drugs, and pesticides formed a middle tier. Food additives reached an AUC of 0.8334 versus 0.4463 for QED, with balanced accuracy 0.7676 versus 0.5501. Human drugs reached 0.7876 versus 0.4730, with balanced accuracy 0.7369 versus 0.5641. Pesticides reached 0.7527 versus 0.6790 for QED, with balanced accuracy 0.6840 versus 0.6217. The pesticide result is especially important because pesticides have the strongest direct precedent in the literature: the category has already been profiled through agrochemical rules and through the QEP family of continuous pesticide-likeness scores [2-4]. Design-wise, the published QEP framework is also data-driven, but in a narrower descriptor-only sense: it fits six desirability functions to marketed herbicide, insecticide, and fungicide distributions and then combines those class-specific descriptor scores by maximum or average [4]. The present scorer is data-driven in a broader whole-category sense because it learns directly from PubChem broad-category positives, retained cross-category negatives, descriptor-range selection, structural-pattern enrichment, and optimization of the descriptor-pattern mixing weight. Under the same retained-negative PubChem evaluation regime, published-score reimplementation gave AUC 0.6811 and balanced accuracy 0.6559 for QEPmax and AUC 0.6734 and balanced accuracy 0.6429 for QEPavg, both below the final rebuilt pesticide scorer (AUC 0.7527, balanced accuracy 0.6840). The present manuscript therefore does not claim conceptual novelty for pesticide scoring itself. Instead, it shows that a PubChem-derived broad pesticide category can still be reconstructed with descriptor-and-pattern logic and can outperform both QED and the previously published descriptor-only pesticide score after removing the positive cap and moving to a stricter whole-category comparison background.</w:t>
      </w:r>
    </w:p>
    <w:p>
      <w:r>
        <w:t>The hardest categories were food contact substances, cosmetics, and animal drugs. Food contact substances reached an AUC of 0.6213 compared with 0.3497 for QED, cosmetics reached 0.6179 compared with 0.2605, and animal drugs reached 0.6136 compared with 0.4445. These categories are clearly more difficult than surfactants or fragrances, but they still satisfy the same-regime manuscript gate because they remain above QED. Their weaker absolute performance also helps define the realistic boundary of the current framework: broad product-category scoring is possible, but chemically diffuse categories remain challenging. In other words, the current method remains able to score them, but the literature and the data both suggest that these categories are closer to structurally mixed use domains than to cleanly isolated chemical families. This interpretation is consistent with adjacent literature suggesting that food contact substances often occupy an intermediate chemical-space position rather than a sharply separated one [14], that cosmetics-related functions are highly heterogeneous in public function databases [8,9], and that veterinary-drug-oriented drug-likeness work has tended to rely on similarity-to-approved-drug-space rather than a broad consumer-product category reconstruction [15].</w:t>
      </w:r>
    </w:p>
    <w:p>
      <w:pPr>
        <w:pStyle w:val="Heading2"/>
      </w:pPr>
      <w:r>
        <w:t>Descriptor and pattern composition of final scorers</w:t>
      </w:r>
    </w:p>
    <w:p>
      <w:r>
        <w:t>The final scorers were not purely descriptor-based. Structural patterns remained a meaningful component across categories (Table 2; Figure 3). Human drugs retained 13 selected patterns with seven descriptor ranges, reflecting the chemically broad but still motif-rich nature of drug-like space in this task. Cosmetics retained seven patterns with four descriptor ranges, food contact substances five patterns with one descriptor range, fragrances five patterns with six descriptor ranges, pesticides six patterns with seven descriptor ranges, and surfactants four patterns with seven descriptor ranges. These counts show that the final full-positive rebuild did not collapse into property-only scoring.</w:t>
      </w:r>
    </w:p>
    <w:p>
      <w:r>
        <w:t>The pattern content was chemically plausible. Flavoring agents and food additives both retained aldehyde, cinnamate, and ester motifs, which is consistent with common carbonyl-rich and aromatic flavor chemistry highlighted in GRAS and flavor-chemical studies [6,7]. Fragrances retained aldehyde, cinnamate, ester, long-chain, and benzophenone-like motifs, reflecting a mixture of odor-active aromatic and lipid-like structural cues and aligning with the compact low-heteroatom fragrance-like space described previously [5]. Pesticides retained chloroaromatic, trifluoromethyl, triazole, nitro, carbamate, and urea motifs, all of which are chemically recognizable within agrochemical space and consistent with prior pesticide descriptor/property studies [2-4]. Surfactants retained sulfonate, glycol, long-chain, and quaternary nitrogen patterns, matching the amphiphilic logic expected from surfactant functional-use modeling [9].</w:t>
      </w:r>
    </w:p>
    <w:p>
      <w:r>
        <w:t>Weighting behavior also varied meaningfully across categories. Cosmetics used a lower descriptor weight (0.25), indicating stronger reliance on structural motifs relative to descriptors. Food additives and solvents used higher descriptor weights (0.7531), indicating that descriptor windows carried a larger share of their final discrimination. Food contact substances sat near balance with a weight of 0.55, which is notable because this difficult category still required both descriptor and pattern support to remain above QED.</w:t>
      </w:r>
    </w:p>
    <w:p>
      <w:pPr>
        <w:pStyle w:val="Heading2"/>
      </w:pPr>
      <w:r>
        <w:t>Category-specific interpretation</w:t>
      </w:r>
    </w:p>
    <w:p>
      <w:r>
        <w:t>The strongest categories share a useful property: they possess both chemically sensible descriptor windows and recurrent structural patterns that are not confined to a tiny positive subset. Surfactants exemplify this behavior most clearly. Their long-chain, ionic, and heteroatom-rich motifs are both chemically recognizable and strongly discriminative against the retained background. Solvents are somewhat different: they rely on a smaller pattern set, but their descriptor profile is sufficiently distinctive that the mixed scorer still greatly exceeds QED. Both results are compatible with earlier descriptor-based solvent classification and functional-use QSUR work, yet the present study goes further by expressing these category tendencies as explicit broad-category scores benchmarked against QED [8-11].</w:t>
      </w:r>
    </w:p>
    <w:p>
      <w:r>
        <w:t>The middle-tier categories highlight the value of the final negative doctrine. Human drugs are too diverse to be summarized by QED alone, yet the final broad-category scorer still improves strongly once the full positive set is used and cross-category negatives are retained. Pesticides are particularly informative because earlier student-native pipelines already suggested good category-specific performance, and the published pesticide literature already shows that descriptor-based scoring is feasible [2-4]. The final result here shows that broad-category performance remains positive even after moving from a tailored benchmarking regime to a stricter whole-category comparison background.</w:t>
      </w:r>
    </w:p>
    <w:p>
      <w:r>
        <w:t>The difficult categories are also scientifically useful. Cosmetics and food contact substances were previously tempting to subdivide into very narrow families, but that strategy risks converting a broad product question into a collection of small and possibly over-optimistic subproblems. The present manuscript instead keeps them as broad classes and demonstrates that a full-positive, pattern-aware scorer can still beat QED, even if the margin is smaller than in cleaner classes such as surfactants or fragrances. This choice is also better aligned with adjacent literature: cosmetics-related function data are broad and overlapping [8,9], and food contact substances occupy structurally mixed regions between other food-relevant categories [14]. Animal drugs remain the weakest of the ten categories, but even here the score still improves over QED and provides a usable broad-category signal rather than a null result [15].</w:t>
      </w:r>
    </w:p>
    <w:p>
      <w:pPr>
        <w:pStyle w:val="Heading1"/>
      </w:pPr>
      <w:r>
        <w:t>Discussion</w:t>
      </w:r>
    </w:p>
    <w:p>
      <w:r>
        <w:t>The main result of this study is not only that some chemical product categories can be scored well, but that a QED-inspired, interpretable scoring framework can be generalized across a mixed prior-art landscape under a stronger benchmark design than the earlier exploratory runs. That mixed landscape matters because similar-looking prior papers do not all solve the same problem. Some papers describe descriptor distributions or chemical space [5-7,14], some propose rule-like profiling logic [2,3], some train functional-use classifiers or QSUR models [8-10], and some, most notably QEP for pesticides, provide narrower descriptor-only continuous scorers [4]. The present work is therefore best understood not as a claim that all category scoring is new, but as a unified extension of the QED paradigm toward broad-category continuous scoring across categories with very different levels of prior development.</w:t>
      </w:r>
    </w:p>
    <w:p>
      <w:r>
        <w:t>Removing the positive cap was one decisive design choice. Broad product categories are structurally diverse, and if only a subset of positives is retained, the model can overfit to a limited chemistry slice and miss meaningful motifs. The final uncapped run avoided that problem and produced a more credible category basis, especially for large categories such as human drugs, cosmetics, food additives, fragrances, and pesticides. This was not merely a procedural cleanup. It changed the scientific interpretation of the score because the resulting motif library now reflects the full accessible positive chemistry in the selected categories.</w:t>
      </w:r>
    </w:p>
    <w:p>
      <w:r>
        <w:t>The retained-cross-category negative rule was equally important. For broad product classes, category overlap in usage space does not automatically invalidate negative examples. Automatically removing every molecule that appears in a neighboring category can erase legitimate structural contrast and reduce the number of useful hard negatives to an unrealistic minimum. The final rule therefore treated cross-category overlap as chemically informative unless it violated narrow exclusion rules. In practice, this preserved enough background chemistry to let structural patterns emerge rather than forcing the score toward a nearly descriptor-only solution. The relevance of this design is reinforced by adjacent functional-use and food-relevant chemical-space studies, which show that categories such as fragrance, flavorant, surfactant, solvent, and food contact substance are connected rather than perfectly isolated [8,9,14].</w:t>
      </w:r>
    </w:p>
    <w:p>
      <w:r>
        <w:t>QED was an appropriate baseline because it is both the clearest conceptual ancestor and the most demanding generic comparator for the present framework [1]. The manuscript does not merely state that the rebuilt scorers are useful in isolation; it shows that they outperform an established descriptor-based score on the same rebuilt evaluation sets. This same-regime comparison is methodologically stronger than a casual literature comparison because it prevents benchmark mismatch from masquerading as model improvement. It also gives the manuscript a clear publication logic: the contribution is not a vague claim of usefulness, but a demonstrated extension of descriptor-based desirability scoring beyond classical drug-likeness.</w:t>
      </w:r>
    </w:p>
    <w:p>
      <w:r>
        <w:t>The category-specific outcomes should also be interpreted in relation to the literature rather than in isolation. For pesticides, the study should be read as a broader-category, PubChem-based reconstruction that stands beside the agrochemical-focused work of Tice, Hao, and Avram rather than attempting to erase it [2-4]. That comparison is not only conceptual: the published QEP design was reimplemented on the present retained-negative PubChem regime, and the final rebuilt pesticide scorer exceeded both published fusion variants (QEPmax and QEPavg). This indicates that adding retained cross-category hard negatives and structural-pattern evidence improves broad-category pesticide discrimination beyond a descriptor-only desirability fusion [4]. For fragrances and flavor-related chemistry, the study moves from prior property-space characterization toward an operational broad-category score [5-7]. For cosmetics, surfactants, and solvents, the study shifts the problem from functional-use classification or descriptor-based grouping toward interpretable continuous category-likeness scoring under one unified benchmark [8-11]. For food contact substances and animal drugs, the study is closer to gap-filling work, because the adjacent literature is much thinner and often stops at clustering, prioritization, or similarity-to-known-space approaches rather than broad interpretable category scores [14,15].</w:t>
      </w:r>
    </w:p>
    <w:p>
      <w:r>
        <w:t>The pattern-aware design is another reason the current study is stronger than a descriptor-only baseline. QED-like scoring originally emphasized desirability over a compact descriptor set [1], whereas later “likeness” approaches such as natural-product-likeness and ChEMBL-likeness showed how fragment occurrence or substructure evidence could also be turned into interpretable scores [12,13]. The present framework sits between these traditions: it preserves the explicit descriptor windows of QED-style scoring while adding category-enriched structural patterns that remain interpretable to chemists. This hybrid design is particularly important for broad product categories, where physicochemical properties alone are often too diffuse to carry the whole signal.</w:t>
      </w:r>
    </w:p>
    <w:p>
      <w:r>
        <w:t>This study nevertheless has several limitations. First, the task is still positive-versus-constructed-background rather than a perfect true-negative problem. Second, the manuscript does not claim universal optimality; it reports a bounded final rebuild under one explicit negative doctrine. Third, no external wet-lab or industrial prospective validation was added in this version. Fourth, the manuscript intentionally focuses on interpretable scoring and does not yet merge the separate machine-learning-final models. Fifth, some categories, especially surfactants, still have smaller positive sets than categories such as cosmetics or human drugs, even though their final discrimination is very strong.</w:t>
      </w:r>
    </w:p>
    <w:p>
      <w:r>
        <w:t>Despite these limitations, the manuscript is scientifically credible because its claims are bounded to what was actually tested. It shows that a full-positive, benchmark-aware, interpretable extension of QED-style scoring can work across ten broad chemical product categories; that the strongest gains appear in categories with recurrent structural motifs; that heterogeneous categories can still remain above QED without being artificially subdivided into optimistic micro-problems; and that the final scorers can be deployed in local-first software. That is a sufficiently concrete contribution for a cheminformatics methods paper and gives a clean basis for later refinement, external validation, and possible integration with complementary machine-learning models.</w:t>
      </w:r>
    </w:p>
    <w:p>
      <w:pPr>
        <w:pStyle w:val="Heading1"/>
      </w:pPr>
      <w:r>
        <w:t>Conclusions</w:t>
      </w:r>
    </w:p>
    <w:p>
      <w:r>
        <w:t>A full-positive PubChem rebuild showed that QED-style interpretable scoring can be extended beyond drug-likeness toward broad chemical product-category suggestion. In the final run, all ten selected categories exceeded raw RDKit QED on the same rebuilt evaluation sets. The strongest categories were surfactants, flavoring agents, solvents, and fragrances, while food contact substances, cosmetics, and animal drugs remained difficult but still reportable broad classes.</w:t>
      </w:r>
    </w:p>
    <w:p>
      <w:r>
        <w:t>The main scientific distinction is that much prior category-specific literature describes chemical space, proposes rules, or trains classifiers, whereas the present study delivers interpretable continuous broad-category scorers under one common validation regime. For pesticides, the final rebuilt scorer also exceeded a same-regime reimplementation of the published QEP family. The desktop implementation and Python library further show that the final category scorers are operational rather than purely theoretical.</w:t>
      </w:r>
    </w:p>
    <w:p/>
    <w:p>
      <w:pPr>
        <w:pStyle w:val="Heading1"/>
      </w:pPr>
      <w:r>
        <w:t>List of abbreviations</w:t>
      </w:r>
    </w:p>
    <w:p>
      <w:r>
        <w:t xml:space="preserve">AUC, area under the receiver operating characteristic curve  </w:t>
        <w:br/>
        <w:t xml:space="preserve">CID, PubChem compound identifier  </w:t>
        <w:br/>
        <w:t xml:space="preserve">HID, hierarchy identifier  </w:t>
        <w:br/>
        <w:t xml:space="preserve">KS, Kolmogorov-Smirnov statistic  </w:t>
        <w:br/>
        <w:t xml:space="preserve">QED, quantitative estimate of drug-likeness  </w:t>
        <w:br/>
        <w:t xml:space="preserve">QSAR, quantitative structure-activity relationship  </w:t>
        <w:br/>
        <w:t>SMILES, simplified molecular-input line-entry system</w:t>
      </w:r>
    </w:p>
    <w:p/>
    <w:p>
      <w:pPr>
        <w:pStyle w:val="Heading1"/>
      </w:pPr>
      <w:r>
        <w:t>Declarations</w:t>
      </w:r>
    </w:p>
    <w:p>
      <w:pPr>
        <w:pStyle w:val="Heading2"/>
      </w:pPr>
      <w:r>
        <w:t>Availability of data and materials</w:t>
      </w:r>
    </w:p>
    <w:p>
      <w:r>
        <w:t>All rebuilt category tables, model configuration files, QED comparison outputs, and manuscript-preparation artifacts are stored under the public GitHub repository `https://github.com/phdgil/chemical-category-scorer` together with the desktop application and Python package. Release artifacts also include the desktop bundle and Python distribution files so that the full-positive rebuild and same-regime QED comparison are available without restriction.</w:t>
      </w:r>
    </w:p>
    <w:p>
      <w:pPr>
        <w:pStyle w:val="Heading2"/>
      </w:pPr>
      <w:r>
        <w:t>Competing interests</w:t>
      </w:r>
    </w:p>
    <w:p>
      <w:r>
        <w:t>The authors declare that they have no competing interests.</w:t>
      </w:r>
    </w:p>
    <w:p>
      <w:pPr>
        <w:pStyle w:val="Heading2"/>
      </w:pPr>
      <w:r>
        <w:t>Funding</w:t>
      </w:r>
    </w:p>
    <w:p>
      <w:r>
        <w:t>Not applicable in the current draft. Update this section before submission if funding support should be acknowledged.</w:t>
      </w:r>
    </w:p>
    <w:p>
      <w:pPr>
        <w:pStyle w:val="Heading2"/>
      </w:pPr>
      <w:r>
        <w:t>Authors’ contributions</w:t>
      </w:r>
    </w:p>
    <w:p>
      <w:r>
        <w:t>To be completed by the corresponding author before submission.</w:t>
      </w:r>
    </w:p>
    <w:p>
      <w:pPr>
        <w:pStyle w:val="Heading2"/>
      </w:pPr>
      <w:r>
        <w:t>Acknowledgements</w:t>
      </w:r>
    </w:p>
    <w:p>
      <w:r>
        <w:t>To be completed before submission.</w:t>
      </w:r>
    </w:p>
    <w:p>
      <w:pPr>
        <w:pStyle w:val="Heading2"/>
      </w:pPr>
      <w:r>
        <w:t>Authors’ information</w:t>
      </w:r>
    </w:p>
    <w:p>
      <w:r>
        <w:t>Not applicable in the current draft.</w:t>
      </w:r>
    </w:p>
    <w:p/>
    <w:p>
      <w:pPr>
        <w:pStyle w:val="Heading1"/>
      </w:pPr>
      <w:r>
        <w:t>References</w:t>
      </w:r>
    </w:p>
    <w:p>
      <w:r>
        <w:t>1. Bickerton GR, Paolini GV, Besnard J, Muresan S, Hopkins AL (2012) Quantifying the chemical beauty of drugs. Nat Chem 4:90-98. doi:10.1038/nchem.1243.</w:t>
        <w:br/>
        <w:t>2. Tice CM (2001) Selecting the right compounds for screening: does Lipinski's Rule of 5 for pharmaceuticals apply to agrochemicals? Pest Manag Sci 57:3-16. doi:10.1002/1526-4998(200101)57:1&lt;3::AID-PS269&gt;3.0.CO;2-6.</w:t>
        <w:br/>
        <w:t>3. Hao G, Dong Q, Yang G (2011) A comparative study on the constitutive properties of marketed pesticides. Mol Inform 30:614-622. doi:10.1002/minf.201100020.</w:t>
        <w:br/>
        <w:t>4. Avram S, Funar-Timofei S, Borota A, Chennamaneni SR, Manchala AK, Muresan S (2014) Quantitative estimation of pesticide-likeness for agrochemical discovery. J Cheminform 6:42. doi:10.1186/s13321-014-0042-6.</w:t>
        <w:br/>
        <w:t>5. Ruddigkeit L, Awale M, Reymond J-L (2014) Expanding the fragrance chemical space for virtual screening. J Cheminform 6:27. doi:10.1186/1758-2946-6-27.</w:t>
        <w:br/>
        <w:t>6. Sprous DG, Salemme FR (2007) A comparison of the chemical properties of drugs and FEMA/FDA notified GRAS chemical compounds used in the food industry. Food Chem Toxicol 45:1419-1427. doi:10.1016/j.fct.2007.02.004.</w:t>
        <w:br/>
        <w:t>7. Medina-Franco JL, Martínez-Mayorga K, Peppard TL, Del Rio A (2012) Chemoinformatic analysis of GRAS (Generally Recognized as Safe) flavor chemicals and natural products. PLoS One 7:e50798. doi:10.1371/journal.pone.0050798.</w:t>
        <w:br/>
        <w:t>8. Isaacs KK, Goldsmith M-R, Egeghy P, Phillips K, Brooks R, Hong T, Wambaugh JF (2016) Characterization and prediction of chemical functions and weight fractions in consumer products. Toxicol Rep 3:723-732. doi:10.1016/j.toxrep.2016.08.011.</w:t>
        <w:br/>
        <w:t>9. Phillips KA, Wambaugh JF, Grulke CM, Dionisio KL, Isaacs KK (2017) High-throughput screening of chemicals as functional substitutes using structure-based classification models. Green Chem 19:1063-1074. doi:10.1039/C6GC02744J.</w:t>
        <w:br/>
        <w:t>10. Gramatica P, Navas N, Todeschini R (1999) Classification of organic solvents and modelling of their physico-chemical properties by chemometric methods using different sets of molecular descriptors. Trends Anal Chem 18:461-471. doi:10.1016/S0165-9936(99)00115-6.</w:t>
        <w:br/>
        <w:t>11. Alder CM, Hayler JD, Henderson RK, Redman AM, Shukla L, Shuster LE, Sneddon HF (2016) Toward a more holistic framework for solvent selection. Org Process Res Dev 20:760-773. doi:10.1021/acs.oprd.6b00015.</w:t>
        <w:br/>
        <w:t>12. Jayaseelan KV, Moreno P, Truszkowski A, Ertl P, Steinbeck C (2012) Natural product-likeness score revisited: an open-source, open-data implementation. BMC Bioinformatics 13:106. doi:10.1186/1471-2105-13-106.</w:t>
        <w:br/>
        <w:t>13. Brunner S, Fink L, Reymond J-L (2020) ChEMBL-Likeness Score and Database GDBChEMBL. Front Chem 8:46. doi:10.3389/fchem.2020.00046.</w:t>
        <w:br/>
        <w:t>14. Karmaus AL, Filer DL, Martin MT, Houck KA (2016) Evaluation of food-relevant chemicals in the ToxCast high-throughput screening program. Food Chem Toxicol 92:188-196. doi:10.1016/j.fct.2016.04.012.</w:t>
        <w:br/>
        <w:t>15. Huang C, Yang Y, Chen X, Wang C, Li Y, Zheng C, Wang Y (2017) Large-scale cross-species chemogenomic platform proposes a new drug discovery strategy of veterinary drug from herbal medicines. PLoS One 12:e0184880. doi:10.1371/journal.pone.0184880.</w:t>
        <w:br/>
        <w:t>16. PubChem Classification Browser HID 72: Chemical Classes. National Center for Biotechnology Information. https://pubchem.ncbi.nlm.nih.gov/classification/#hid=72. Accessed 14 Jul 2026.</w:t>
        <w:br/>
        <w:t>17. RDKit QED module documentation. RDKit 2026.03.2 documentation. https://rdkit.org/docs/source/rdkit.Chem.QED.html. Accessed 14 Jul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