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A7060D" w14:textId="77777777" w:rsidR="0008605E" w:rsidRDefault="0008605E" w:rsidP="0008605E">
      <w:pPr>
        <w:pStyle w:val="font-claude-response-body"/>
      </w:pPr>
      <w:r>
        <w:t>I'll search for current information on the best clinical decision support systems.</w:t>
      </w:r>
    </w:p>
    <w:p w14:paraId="599FF218" w14:textId="77777777" w:rsidR="0008605E" w:rsidRDefault="0008605E" w:rsidP="0008605E">
      <w:pPr>
        <w:rPr>
          <w:rStyle w:val="inline-flex"/>
        </w:rPr>
      </w:pPr>
      <w:r>
        <w:rPr>
          <w:rStyle w:val="truncate"/>
        </w:rPr>
        <w:t>Searched the web</w:t>
      </w:r>
    </w:p>
    <w:p w14:paraId="68176699" w14:textId="77777777" w:rsidR="0008605E" w:rsidRDefault="0008605E" w:rsidP="0008605E">
      <w:r>
        <w:rPr>
          <w:rStyle w:val="sr-only"/>
        </w:rPr>
        <w:t>Searched the web</w:t>
      </w:r>
    </w:p>
    <w:p w14:paraId="64C7DA4A" w14:textId="77777777" w:rsidR="0008605E" w:rsidRDefault="0008605E" w:rsidP="0008605E">
      <w:pPr>
        <w:pStyle w:val="font-claude-response-body"/>
      </w:pPr>
      <w:r>
        <w:t>Based on current market data and recent industry recognition, here are the best clinical decision support systems in 2026:</w:t>
      </w:r>
    </w:p>
    <w:p w14:paraId="620E3980" w14:textId="77777777" w:rsidR="0008605E" w:rsidRDefault="0008605E" w:rsidP="0008605E">
      <w:pPr>
        <w:pStyle w:val="Heading2"/>
      </w:pPr>
      <w:r>
        <w:t>Market Leaders by Installation Base</w:t>
      </w:r>
    </w:p>
    <w:p w14:paraId="56C0BD90" w14:textId="77777777" w:rsidR="0008605E" w:rsidRDefault="0008605E" w:rsidP="0008605E">
      <w:pPr>
        <w:pStyle w:val="font-claude-response-body"/>
      </w:pPr>
      <w:r>
        <w:t xml:space="preserve">Epic Systems leads the CDSS market with over 1,800 hospital installations in the U.S., representing approximately 27% market share </w:t>
      </w:r>
      <w:hyperlink r:id="rId4" w:tgtFrame="_blank" w:history="1">
        <w:r>
          <w:rPr>
            <w:rStyle w:val="text-nowrap"/>
            <w:color w:val="0000FF"/>
            <w:u w:val="single"/>
          </w:rPr>
          <w:t>Definitive Healthcare</w:t>
        </w:r>
      </w:hyperlink>
      <w:r>
        <w:t xml:space="preserve">. Oracle Cerner holds second place with 1,291 installations and nearly 19% market share, while Change Healthcare ranks third with 1,065 installations and 15.3% market share </w:t>
      </w:r>
      <w:hyperlink r:id="rId5" w:tgtFrame="_blank" w:history="1">
        <w:r>
          <w:rPr>
            <w:rStyle w:val="text-nowrap"/>
            <w:color w:val="0000FF"/>
            <w:u w:val="single"/>
          </w:rPr>
          <w:t>Definitive Healthcare</w:t>
        </w:r>
      </w:hyperlink>
      <w:r>
        <w:t>.</w:t>
      </w:r>
    </w:p>
    <w:p w14:paraId="3B3523E4" w14:textId="77777777" w:rsidR="0008605E" w:rsidRDefault="0008605E" w:rsidP="0008605E">
      <w:pPr>
        <w:pStyle w:val="Heading2"/>
      </w:pPr>
      <w:r>
        <w:t>Award-Winning Point-of-Care Solutions</w:t>
      </w:r>
    </w:p>
    <w:p w14:paraId="00AEAEDC" w14:textId="77777777" w:rsidR="0008605E" w:rsidRDefault="0008605E" w:rsidP="0008605E">
      <w:pPr>
        <w:pStyle w:val="font-claude-response-body"/>
      </w:pPr>
      <w:r>
        <w:rPr>
          <w:rStyle w:val="Strong"/>
        </w:rPr>
        <w:t>Micromedex by Merative</w:t>
      </w:r>
      <w:r>
        <w:t xml:space="preserve"> has been recognized as #1 in the 2026 Best in KLAS report for Clinical Decision Support: Point-of-Care Drug Reference for the second consecutive time </w:t>
      </w:r>
      <w:hyperlink r:id="rId6" w:tgtFrame="_blank" w:history="1">
        <w:r>
          <w:rPr>
            <w:rStyle w:val="text-nowrap"/>
            <w:color w:val="0000FF"/>
            <w:u w:val="single"/>
          </w:rPr>
          <w:t>Merative</w:t>
        </w:r>
      </w:hyperlink>
      <w:r>
        <w:t>. Healthcare professionals value its ease of use, concise information, and ability to reduce medication errors.</w:t>
      </w:r>
    </w:p>
    <w:p w14:paraId="4876D6E8" w14:textId="77777777" w:rsidR="0008605E" w:rsidRDefault="0008605E" w:rsidP="0008605E">
      <w:pPr>
        <w:pStyle w:val="font-claude-response-body"/>
      </w:pPr>
      <w:r>
        <w:rPr>
          <w:rStyle w:val="Strong"/>
        </w:rPr>
        <w:t>DynaMedex</w:t>
      </w:r>
      <w:r>
        <w:t xml:space="preserve"> earned its first #1 ranking for Clinical Decision Support: Point-of-Care Disease Reference in 2026 </w:t>
      </w:r>
      <w:hyperlink r:id="rId7" w:tgtFrame="_blank" w:history="1">
        <w:r>
          <w:rPr>
            <w:rStyle w:val="text-nowrap"/>
            <w:color w:val="0000FF"/>
            <w:u w:val="single"/>
          </w:rPr>
          <w:t>Merative</w:t>
        </w:r>
      </w:hyperlink>
      <w:r>
        <w:t xml:space="preserve">. DynaMedex combines medication insights from Micromedex with curated disease content from DynaMed into a unified drug and disease database </w:t>
      </w:r>
      <w:hyperlink r:id="rId8" w:tgtFrame="_blank" w:history="1">
        <w:r>
          <w:rPr>
            <w:rStyle w:val="text-nowrap"/>
            <w:color w:val="0000FF"/>
            <w:u w:val="single"/>
          </w:rPr>
          <w:t>Merative</w:t>
        </w:r>
      </w:hyperlink>
      <w:r>
        <w:t>.</w:t>
      </w:r>
    </w:p>
    <w:p w14:paraId="121F69D6" w14:textId="77777777" w:rsidR="0008605E" w:rsidRDefault="0008605E" w:rsidP="0008605E">
      <w:pPr>
        <w:pStyle w:val="Heading2"/>
      </w:pPr>
      <w:r>
        <w:t>Comprehensive Clinical Resources</w:t>
      </w:r>
    </w:p>
    <w:p w14:paraId="5A2BF6BB" w14:textId="77777777" w:rsidR="0008605E" w:rsidRDefault="0008605E" w:rsidP="0008605E">
      <w:pPr>
        <w:pStyle w:val="font-claude-response-body"/>
      </w:pPr>
      <w:r>
        <w:rPr>
          <w:rStyle w:val="Strong"/>
        </w:rPr>
        <w:t>UpToDate</w:t>
      </w:r>
      <w:r>
        <w:t xml:space="preserve"> remains widely used among healthcare professionals for evidence-based clinical information, with pricing around $499–$579/year </w:t>
      </w:r>
      <w:hyperlink r:id="rId9" w:tgtFrame="_blank" w:history="1">
        <w:r>
          <w:rPr>
            <w:rStyle w:val="text-nowrap"/>
            <w:color w:val="0000FF"/>
            <w:u w:val="single"/>
          </w:rPr>
          <w:t>Glass</w:t>
        </w:r>
      </w:hyperlink>
      <w:r>
        <w:t>. It provides comprehensive medical content with references to peer-reviewed research.</w:t>
      </w:r>
    </w:p>
    <w:p w14:paraId="63A5426B" w14:textId="77777777" w:rsidR="0008605E" w:rsidRDefault="0008605E" w:rsidP="0008605E">
      <w:pPr>
        <w:pStyle w:val="font-claude-response-body"/>
      </w:pPr>
      <w:r>
        <w:rPr>
          <w:rStyle w:val="Strong"/>
        </w:rPr>
        <w:t>Elsevier's ClinicalKey AI</w:t>
      </w:r>
      <w:r>
        <w:t xml:space="preserve"> combines an extensive medical content library including full-text medical textbooks and journals, with over 130 premium resources </w:t>
      </w:r>
      <w:hyperlink r:id="rId10" w:tgtFrame="_blank" w:history="1">
        <w:r>
          <w:rPr>
            <w:rStyle w:val="text-nowrap"/>
            <w:color w:val="0000FF"/>
            <w:u w:val="single"/>
          </w:rPr>
          <w:t>Glass</w:t>
        </w:r>
      </w:hyperlink>
      <w:r>
        <w:t>, offering evidence-based guidelines embedded into clinical workflows.</w:t>
      </w:r>
    </w:p>
    <w:p w14:paraId="55F1DE95" w14:textId="77777777" w:rsidR="0008605E" w:rsidRDefault="0008605E" w:rsidP="0008605E">
      <w:pPr>
        <w:pStyle w:val="Heading2"/>
      </w:pPr>
      <w:r>
        <w:t>AI-Powered Diagnostic Tools</w:t>
      </w:r>
    </w:p>
    <w:p w14:paraId="3AF4E08E" w14:textId="77777777" w:rsidR="0008605E" w:rsidRDefault="0008605E" w:rsidP="0008605E">
      <w:pPr>
        <w:pStyle w:val="font-claude-response-body"/>
      </w:pPr>
      <w:r>
        <w:rPr>
          <w:rStyle w:val="Strong"/>
        </w:rPr>
        <w:t>Glass Health</w:t>
      </w:r>
      <w:r>
        <w:t xml:space="preserve"> stands out for combining multiple CDS capabilities, offering differential diagnosis generation, assessment and plan tools, clinical Q&amp;A, and ambient AI medical scribing in one platform </w:t>
      </w:r>
      <w:hyperlink r:id="rId11" w:tgtFrame="_blank" w:history="1">
        <w:r>
          <w:rPr>
            <w:rStyle w:val="text-nowrap"/>
            <w:color w:val="0000FF"/>
            <w:u w:val="single"/>
          </w:rPr>
          <w:t>Glass</w:t>
        </w:r>
      </w:hyperlink>
      <w:r>
        <w:t>.</w:t>
      </w:r>
    </w:p>
    <w:p w14:paraId="5F578D0A" w14:textId="77777777" w:rsidR="0008605E" w:rsidRDefault="0008605E" w:rsidP="0008605E">
      <w:pPr>
        <w:pStyle w:val="font-claude-response-body"/>
      </w:pPr>
      <w:r>
        <w:rPr>
          <w:rStyle w:val="Strong"/>
        </w:rPr>
        <w:t>Isabel Healthcare</w:t>
      </w:r>
      <w:r>
        <w:t xml:space="preserve"> brings over 20 years of validation, with published data showing the correct diagnosis appears in approximately 96% of cases when clinicians enter symptoms, signs, and demographics </w:t>
      </w:r>
      <w:hyperlink r:id="rId12" w:tgtFrame="_blank" w:history="1">
        <w:r>
          <w:rPr>
            <w:rStyle w:val="text-nowrap"/>
            <w:color w:val="0000FF"/>
            <w:u w:val="single"/>
          </w:rPr>
          <w:t>Glass</w:t>
        </w:r>
      </w:hyperlink>
      <w:r>
        <w:t>.</w:t>
      </w:r>
    </w:p>
    <w:p w14:paraId="3CCA9039" w14:textId="77777777" w:rsidR="0008605E" w:rsidRDefault="0008605E" w:rsidP="0008605E">
      <w:pPr>
        <w:pStyle w:val="font-claude-response-body"/>
      </w:pPr>
      <w:r>
        <w:rPr>
          <w:rStyle w:val="Strong"/>
        </w:rPr>
        <w:lastRenderedPageBreak/>
        <w:t>DoxGPT</w:t>
      </w:r>
      <w:r>
        <w:t xml:space="preserve"> by Doximity offers free clinical Q&amp;A with 96% USMLE accuracy, 3,200+ structured drug monographs, and access to 2,000+ journals for over 300,000 users </w:t>
      </w:r>
      <w:hyperlink r:id="rId13" w:tgtFrame="_blank" w:history="1">
        <w:r>
          <w:rPr>
            <w:rStyle w:val="text-nowrap"/>
            <w:color w:val="0000FF"/>
            <w:u w:val="single"/>
          </w:rPr>
          <w:t>Glass</w:t>
        </w:r>
      </w:hyperlink>
      <w:r>
        <w:t>.</w:t>
      </w:r>
    </w:p>
    <w:p w14:paraId="420BC182" w14:textId="77777777" w:rsidR="0008605E" w:rsidRDefault="0008605E" w:rsidP="0008605E">
      <w:pPr>
        <w:pStyle w:val="Heading2"/>
      </w:pPr>
      <w:r>
        <w:t>Key Selection Factors</w:t>
      </w:r>
    </w:p>
    <w:p w14:paraId="580B7A28" w14:textId="77777777" w:rsidR="0008605E" w:rsidRDefault="0008605E" w:rsidP="0008605E">
      <w:pPr>
        <w:pStyle w:val="font-claude-response-body"/>
      </w:pPr>
      <w:r>
        <w:t>When choosing a CDSS, consider integration capabilities with your existing EHR, customization options, evidence-based content quality, and whether the system addresses your specific needs—whether drug reference, disease diagnosis, workflow integration, or comprehensive clinical support.</w:t>
      </w:r>
    </w:p>
    <w:p w14:paraId="2EDFDA93" w14:textId="77777777" w:rsidR="00D05BE3" w:rsidRPr="00AE366B" w:rsidRDefault="00D05BE3" w:rsidP="00AE366B">
      <w:bookmarkStart w:id="0" w:name="_GoBack"/>
      <w:bookmarkEnd w:id="0"/>
    </w:p>
    <w:sectPr w:rsidR="00D05BE3" w:rsidRPr="00AE36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E3"/>
    <w:rsid w:val="0008605E"/>
    <w:rsid w:val="00454B49"/>
    <w:rsid w:val="00AE366B"/>
    <w:rsid w:val="00D0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F4DB21-D4AB-40C2-B8D9-FD041FFA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4B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4B4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customStyle="1" w:styleId="whitespace-pre-wrap">
    <w:name w:val="whitespace-pre-wrap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ext-text-500">
    <w:name w:val="text-text-500"/>
    <w:basedOn w:val="DefaultParagraphFont"/>
    <w:rsid w:val="00454B49"/>
  </w:style>
  <w:style w:type="paragraph" w:customStyle="1" w:styleId="font-claude-response-body">
    <w:name w:val="font-claude-response-bod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elative">
    <w:name w:val="relative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inline-flex">
    <w:name w:val="inline-flex"/>
    <w:basedOn w:val="DefaultParagraphFont"/>
    <w:rsid w:val="00454B49"/>
  </w:style>
  <w:style w:type="character" w:styleId="Hyperlink">
    <w:name w:val="Hyperlink"/>
    <w:basedOn w:val="DefaultParagraphFont"/>
    <w:uiPriority w:val="99"/>
    <w:semiHidden/>
    <w:unhideWhenUsed/>
    <w:rsid w:val="00454B4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54B49"/>
    <w:rPr>
      <w:b/>
      <w:bCs/>
    </w:rPr>
  </w:style>
  <w:style w:type="character" w:customStyle="1" w:styleId="text-nowrap">
    <w:name w:val="text-nowrap"/>
    <w:basedOn w:val="DefaultParagraphFont"/>
    <w:rsid w:val="00454B49"/>
  </w:style>
  <w:style w:type="character" w:customStyle="1" w:styleId="hovertext-text-300">
    <w:name w:val="hover:text-text-300"/>
    <w:basedOn w:val="DefaultParagraphFont"/>
    <w:rsid w:val="00454B49"/>
  </w:style>
  <w:style w:type="paragraph" w:customStyle="1" w:styleId="is-empty">
    <w:name w:val="is-empt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runcate">
    <w:name w:val="truncate"/>
    <w:basedOn w:val="DefaultParagraphFont"/>
    <w:rsid w:val="0008605E"/>
  </w:style>
  <w:style w:type="character" w:customStyle="1" w:styleId="sr-only">
    <w:name w:val="sr-only"/>
    <w:basedOn w:val="DefaultParagraphFont"/>
    <w:rsid w:val="00086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1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86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3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5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9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993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39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71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8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3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8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0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71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9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68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5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9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2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3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91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9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293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97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0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7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9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8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9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168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13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919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45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04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092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91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82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778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65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84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233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86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335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33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92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088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56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8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466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62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761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0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91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7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5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0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6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3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9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8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0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8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6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6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97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0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3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7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3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54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rative.com/clinical-decision-support" TargetMode="External"/><Relationship Id="rId13" Type="http://schemas.openxmlformats.org/officeDocument/2006/relationships/hyperlink" Target="https://glass.health/resources/best-clinical-decision-suppor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erative.com/blog/micromedex-named-best-in-klas-2026-for-clinical-decision-support" TargetMode="External"/><Relationship Id="rId12" Type="http://schemas.openxmlformats.org/officeDocument/2006/relationships/hyperlink" Target="https://glass.health/resources/best-clinical-decision-suppor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erative.com/blog/micromedex-named-best-in-klas-2026-for-clinical-decision-support" TargetMode="External"/><Relationship Id="rId11" Type="http://schemas.openxmlformats.org/officeDocument/2006/relationships/hyperlink" Target="https://glass.health/resources/best-clinical-decision-support" TargetMode="External"/><Relationship Id="rId5" Type="http://schemas.openxmlformats.org/officeDocument/2006/relationships/hyperlink" Target="https://www.definitivehc.com/resources/healthcare-insights/top-clinical-decision-support-system-vendor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lass.health/resources/best-clinical-decision-support" TargetMode="External"/><Relationship Id="rId4" Type="http://schemas.openxmlformats.org/officeDocument/2006/relationships/hyperlink" Target="https://www.definitivehc.com/resources/healthcare-insights/top-clinical-decision-support-system-vendors" TargetMode="External"/><Relationship Id="rId9" Type="http://schemas.openxmlformats.org/officeDocument/2006/relationships/hyperlink" Target="https://glass.health/resources/best-clinical-decision-suppor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547</Words>
  <Characters>3120</Characters>
  <Application>Microsoft Office Word</Application>
  <DocSecurity>0</DocSecurity>
  <Lines>26</Lines>
  <Paragraphs>7</Paragraphs>
  <ScaleCrop>false</ScaleCrop>
  <Company>Dokuz Eylül Üniversitesi</Company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2025-12-16T20:18:00Z</dcterms:created>
  <dcterms:modified xsi:type="dcterms:W3CDTF">2026-03-26T20:57:00Z</dcterms:modified>
</cp:coreProperties>
</file>