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960EE" w14:textId="77777777" w:rsidR="004E4D4D" w:rsidRDefault="004E4D4D" w:rsidP="004E4D4D">
      <w:pPr>
        <w:pStyle w:val="NormalWeb"/>
      </w:pPr>
      <w:r>
        <w:rPr>
          <w:rStyle w:val="citation-515"/>
        </w:rPr>
        <w:t>In 2026, Clinical Decision Support Systems (CDSS) have shifted from simple "alert-based" tools to sophisticated, AI-driven ecosystems.</w:t>
      </w:r>
      <w:r>
        <w:t xml:space="preserve"> The "best" system depends on whether you are looking for a standalone reference tool, an AI diagnostic aid, or a full EHR-integrated workflow.</w:t>
      </w:r>
    </w:p>
    <w:p w14:paraId="7ED85503" w14:textId="77777777" w:rsidR="004E4D4D" w:rsidRDefault="004E4D4D" w:rsidP="004E4D4D">
      <w:pPr>
        <w:pStyle w:val="NormalWeb"/>
      </w:pPr>
      <w:r>
        <w:t xml:space="preserve">According to the </w:t>
      </w:r>
      <w:r>
        <w:rPr>
          <w:b/>
          <w:bCs/>
        </w:rPr>
        <w:t>2026 Best in KLAS</w:t>
      </w:r>
      <w:r>
        <w:t xml:space="preserve"> report and current market trends, here are the top performers categorized by their primary function:</w:t>
      </w:r>
    </w:p>
    <w:p w14:paraId="4C424A07" w14:textId="77777777" w:rsidR="004E4D4D" w:rsidRDefault="004E4D4D" w:rsidP="004E4D4D">
      <w:pPr>
        <w:pStyle w:val="Heading2"/>
      </w:pPr>
      <w:r>
        <w:t>1. The Industry Gold Standards (KLAS Winners)</w:t>
      </w:r>
    </w:p>
    <w:p w14:paraId="261EC4CA" w14:textId="77777777" w:rsidR="004E4D4D" w:rsidRDefault="004E4D4D" w:rsidP="004E4D4D">
      <w:pPr>
        <w:pStyle w:val="NormalWeb"/>
      </w:pPr>
      <w:r>
        <w:t>For institutions looking for high-reliability, evidence-based reference at the point of care:</w:t>
      </w:r>
    </w:p>
    <w:p w14:paraId="05702F7C" w14:textId="77777777" w:rsidR="004E4D4D" w:rsidRDefault="004E4D4D" w:rsidP="004E4D4D">
      <w:pPr>
        <w:pStyle w:val="NormalWeb"/>
        <w:numPr>
          <w:ilvl w:val="0"/>
          <w:numId w:val="8"/>
        </w:numPr>
      </w:pPr>
      <w:r>
        <w:rPr>
          <w:rStyle w:val="citation-514"/>
          <w:rFonts w:eastAsiaTheme="majorEastAsia"/>
          <w:b/>
          <w:bCs/>
        </w:rPr>
        <w:t>DynaMedex (EBSCO + Merative):</w:t>
      </w:r>
      <w:r>
        <w:rPr>
          <w:rStyle w:val="citation-514"/>
          <w:rFonts w:eastAsiaTheme="majorEastAsia"/>
        </w:rPr>
        <w:t xml:space="preserve"> Ranked </w:t>
      </w:r>
      <w:r>
        <w:rPr>
          <w:rStyle w:val="citation-514"/>
          <w:rFonts w:eastAsiaTheme="majorEastAsia"/>
          <w:b/>
          <w:bCs/>
        </w:rPr>
        <w:t>#1 for Point-of-Care Disease Reference</w:t>
      </w:r>
      <w:r>
        <w:rPr>
          <w:rStyle w:val="citation-514"/>
          <w:rFonts w:eastAsiaTheme="majorEastAsia"/>
        </w:rPr>
        <w:t xml:space="preserve"> in 2026.</w:t>
      </w:r>
      <w:r>
        <w:t xml:space="preserve"> </w:t>
      </w:r>
      <w:r>
        <w:rPr>
          <w:rStyle w:val="citation-513"/>
        </w:rPr>
        <w:t>It combines DynaMed’s disease guidance with Micromedex’s drug evidence into a single, seamless interface.</w:t>
      </w:r>
    </w:p>
    <w:p w14:paraId="3BDA6111" w14:textId="77777777" w:rsidR="004E4D4D" w:rsidRDefault="004E4D4D" w:rsidP="004E4D4D">
      <w:pPr>
        <w:spacing w:beforeAutospacing="1" w:afterAutospacing="1"/>
        <w:ind w:left="720"/>
      </w:pPr>
      <w:r>
        <w:rPr>
          <w:rStyle w:val="button-label"/>
        </w:rPr>
        <w:t>+1</w:t>
      </w:r>
    </w:p>
    <w:p w14:paraId="43CAABC8" w14:textId="77777777" w:rsidR="004E4D4D" w:rsidRDefault="004E4D4D" w:rsidP="004E4D4D">
      <w:pPr>
        <w:pStyle w:val="NormalWeb"/>
        <w:numPr>
          <w:ilvl w:val="0"/>
          <w:numId w:val="8"/>
        </w:numPr>
      </w:pPr>
      <w:r>
        <w:rPr>
          <w:rStyle w:val="citation-512"/>
          <w:b/>
          <w:bCs/>
        </w:rPr>
        <w:t>Micromedex (Merative):</w:t>
      </w:r>
      <w:r>
        <w:rPr>
          <w:rStyle w:val="citation-512"/>
        </w:rPr>
        <w:t xml:space="preserve"> Ranked </w:t>
      </w:r>
      <w:r>
        <w:rPr>
          <w:rStyle w:val="citation-512"/>
          <w:b/>
          <w:bCs/>
        </w:rPr>
        <w:t>#1 for Point-of-Care Drug Reference</w:t>
      </w:r>
      <w:r>
        <w:rPr>
          <w:rStyle w:val="citation-512"/>
        </w:rPr>
        <w:t>.</w:t>
      </w:r>
      <w:r>
        <w:t xml:space="preserve"> It remains the most trusted source for medication safety, toxicology, and IV compatibility.</w:t>
      </w:r>
    </w:p>
    <w:p w14:paraId="512CF2FE" w14:textId="77777777" w:rsidR="004E4D4D" w:rsidRDefault="004E4D4D" w:rsidP="004E4D4D">
      <w:pPr>
        <w:pStyle w:val="NormalWeb"/>
        <w:numPr>
          <w:ilvl w:val="0"/>
          <w:numId w:val="8"/>
        </w:numPr>
      </w:pPr>
      <w:r>
        <w:rPr>
          <w:b/>
          <w:bCs/>
        </w:rPr>
        <w:t>UpToDate (Wolters Kluwer):</w:t>
      </w:r>
      <w:r>
        <w:t xml:space="preserve"> The most widely used clinical reference. </w:t>
      </w:r>
      <w:r>
        <w:rPr>
          <w:rStyle w:val="citation-511"/>
        </w:rPr>
        <w:t xml:space="preserve">In late 2025/early 2026, it launched </w:t>
      </w:r>
      <w:r>
        <w:rPr>
          <w:rStyle w:val="citation-511"/>
          <w:b/>
          <w:bCs/>
        </w:rPr>
        <w:t>UpToDate Expert AI</w:t>
      </w:r>
      <w:r>
        <w:rPr>
          <w:rStyle w:val="citation-511"/>
        </w:rPr>
        <w:t>, which allows clinicians to query its massive database using natural language without the risks of "hallucinations" found in general AI.</w:t>
      </w:r>
    </w:p>
    <w:p w14:paraId="4472E439" w14:textId="77777777" w:rsidR="004E4D4D" w:rsidRDefault="004E4D4D" w:rsidP="004E4D4D">
      <w:pPr>
        <w:pStyle w:val="Heading2"/>
      </w:pPr>
      <w:r>
        <w:t>2. Best for Integrated Workflows (EHR-Native)</w:t>
      </w:r>
    </w:p>
    <w:p w14:paraId="06AA3268" w14:textId="77777777" w:rsidR="004E4D4D" w:rsidRDefault="004E4D4D" w:rsidP="004E4D4D">
      <w:pPr>
        <w:pStyle w:val="NormalWeb"/>
      </w:pPr>
      <w:r>
        <w:t>If you want decision support that doesn't require leaving your patient chart:</w:t>
      </w:r>
    </w:p>
    <w:p w14:paraId="4A5C6F23" w14:textId="77777777" w:rsidR="004E4D4D" w:rsidRDefault="004E4D4D" w:rsidP="004E4D4D">
      <w:pPr>
        <w:pStyle w:val="NormalWeb"/>
        <w:numPr>
          <w:ilvl w:val="0"/>
          <w:numId w:val="9"/>
        </w:numPr>
      </w:pPr>
      <w:r>
        <w:rPr>
          <w:b/>
          <w:bCs/>
        </w:rPr>
        <w:t>Epic Systems:</w:t>
      </w:r>
      <w:r>
        <w:t xml:space="preserve"> Dominates the market share (approx. 27%). Its CDSS is highly customizable, featuring "Best Practice Advisories" (BPAs) and an AI "App Orchard" that integrates third-party predictive models for sepsis, patient deterioration, and social determinants of health.</w:t>
      </w:r>
    </w:p>
    <w:p w14:paraId="572063C3" w14:textId="77777777" w:rsidR="004E4D4D" w:rsidRDefault="004E4D4D" w:rsidP="004E4D4D">
      <w:pPr>
        <w:pStyle w:val="NormalWeb"/>
        <w:numPr>
          <w:ilvl w:val="0"/>
          <w:numId w:val="9"/>
        </w:numPr>
      </w:pPr>
      <w:r>
        <w:rPr>
          <w:b/>
          <w:bCs/>
        </w:rPr>
        <w:t>Oracle Health (formerly Cerner):</w:t>
      </w:r>
      <w:r>
        <w:t xml:space="preserve"> Offers deep integration of evidence-based care plans directly into the nurse and physician workflow, particularly strong in large-scale health systems.</w:t>
      </w:r>
    </w:p>
    <w:p w14:paraId="10A005B6" w14:textId="77777777" w:rsidR="004E4D4D" w:rsidRDefault="004E4D4D" w:rsidP="004E4D4D">
      <w:pPr>
        <w:pStyle w:val="Heading2"/>
      </w:pPr>
      <w:r>
        <w:t>3. Next-Gen AI &amp; Diagnostic Support</w:t>
      </w:r>
    </w:p>
    <w:p w14:paraId="6607D0BC" w14:textId="77777777" w:rsidR="004E4D4D" w:rsidRDefault="004E4D4D" w:rsidP="004E4D4D">
      <w:pPr>
        <w:pStyle w:val="NormalWeb"/>
      </w:pPr>
      <w:r>
        <w:t>These tools are leading the transition to "Ambient" clinical support, where the AI "listens" and suggests actions in real-time:</w:t>
      </w:r>
    </w:p>
    <w:p w14:paraId="54DFB049" w14:textId="77777777" w:rsidR="004E4D4D" w:rsidRDefault="004E4D4D" w:rsidP="004E4D4D">
      <w:pPr>
        <w:pStyle w:val="NormalWeb"/>
        <w:numPr>
          <w:ilvl w:val="0"/>
          <w:numId w:val="10"/>
        </w:numPr>
      </w:pPr>
      <w:r>
        <w:rPr>
          <w:b/>
          <w:bCs/>
        </w:rPr>
        <w:t>Glass Health:</w:t>
      </w:r>
      <w:r>
        <w:t xml:space="preserve"> Highly ranked in 2026 for its "Deep Reasoning" mode. It is unique because it combines </w:t>
      </w:r>
      <w:r>
        <w:rPr>
          <w:b/>
          <w:bCs/>
        </w:rPr>
        <w:t>Ambient AI Scribing</w:t>
      </w:r>
      <w:r>
        <w:t xml:space="preserve"> with </w:t>
      </w:r>
      <w:r>
        <w:rPr>
          <w:b/>
          <w:bCs/>
        </w:rPr>
        <w:t>Differential Diagnosis (DDx)</w:t>
      </w:r>
      <w:r>
        <w:t xml:space="preserve"> generation. It builds a "Can't Miss" diagnosis list based on the live conversation between doctor and patient.</w:t>
      </w:r>
    </w:p>
    <w:p w14:paraId="247AC141" w14:textId="77777777" w:rsidR="004E4D4D" w:rsidRDefault="004E4D4D" w:rsidP="004E4D4D">
      <w:pPr>
        <w:pStyle w:val="NormalWeb"/>
        <w:numPr>
          <w:ilvl w:val="0"/>
          <w:numId w:val="10"/>
        </w:numPr>
      </w:pPr>
      <w:r>
        <w:rPr>
          <w:rStyle w:val="citation-510"/>
          <w:b/>
          <w:bCs/>
        </w:rPr>
        <w:t>OpenEvidence:</w:t>
      </w:r>
      <w:r>
        <w:rPr>
          <w:rStyle w:val="citation-510"/>
        </w:rPr>
        <w:t xml:space="preserve"> A leading free, evidence-based synthesis tool.</w:t>
      </w:r>
      <w:r>
        <w:t xml:space="preserve"> It is widely praised for its ability to provide citations for every claim, helping clinicians stay current with the latest medical journals.</w:t>
      </w:r>
    </w:p>
    <w:p w14:paraId="1454A133" w14:textId="77777777" w:rsidR="004E4D4D" w:rsidRDefault="004E4D4D" w:rsidP="004E4D4D">
      <w:pPr>
        <w:pStyle w:val="NormalWeb"/>
        <w:numPr>
          <w:ilvl w:val="0"/>
          <w:numId w:val="10"/>
        </w:numPr>
      </w:pPr>
      <w:r>
        <w:rPr>
          <w:rStyle w:val="citation-509"/>
          <w:b/>
          <w:bCs/>
        </w:rPr>
        <w:lastRenderedPageBreak/>
        <w:t>AMBOSS:</w:t>
      </w:r>
      <w:r>
        <w:rPr>
          <w:rStyle w:val="citation-509"/>
        </w:rPr>
        <w:t xml:space="preserve"> Particularly popular among residents and medical students, it has evolved into a clinical powerhouse with its </w:t>
      </w:r>
      <w:r>
        <w:rPr>
          <w:rStyle w:val="citation-509"/>
          <w:b/>
          <w:bCs/>
        </w:rPr>
        <w:t>LiSA AI</w:t>
      </w:r>
      <w:r>
        <w:rPr>
          <w:rStyle w:val="citation-509"/>
        </w:rPr>
        <w:t>, which provides structured clinical knowledge and a "Case Simulator" for complex decision-making.</w:t>
      </w:r>
    </w:p>
    <w:p w14:paraId="0DB8D90D" w14:textId="77777777" w:rsidR="004E4D4D" w:rsidRDefault="004E4D4D" w:rsidP="004E4D4D">
      <w:pPr>
        <w:pStyle w:val="Heading2"/>
      </w:pPr>
      <w:r>
        <w:t>4. Specialized Decision Support</w:t>
      </w:r>
    </w:p>
    <w:p w14:paraId="076B920E" w14:textId="77777777" w:rsidR="004E4D4D" w:rsidRDefault="004E4D4D" w:rsidP="004E4D4D">
      <w:pPr>
        <w:pStyle w:val="NormalWeb"/>
        <w:numPr>
          <w:ilvl w:val="0"/>
          <w:numId w:val="11"/>
        </w:numPr>
      </w:pPr>
      <w:r>
        <w:rPr>
          <w:rStyle w:val="citation-508"/>
          <w:b/>
          <w:bCs/>
        </w:rPr>
        <w:t>Sepsis/Clinical Surveillance:</w:t>
      </w:r>
      <w:r>
        <w:rPr>
          <w:rStyle w:val="citation-508"/>
        </w:rPr>
        <w:t xml:space="preserve"> </w:t>
      </w:r>
      <w:r>
        <w:rPr>
          <w:rStyle w:val="citation-508"/>
          <w:b/>
          <w:bCs/>
        </w:rPr>
        <w:t>Sentri7 (Wolters Kluwer)</w:t>
      </w:r>
      <w:r>
        <w:rPr>
          <w:rStyle w:val="citation-508"/>
        </w:rPr>
        <w:t xml:space="preserve"> is a top-rated tool for real-time infection prevention and pharmacy surveillance.</w:t>
      </w:r>
    </w:p>
    <w:p w14:paraId="44CEDDC1" w14:textId="77777777" w:rsidR="004E4D4D" w:rsidRDefault="004E4D4D" w:rsidP="004E4D4D">
      <w:pPr>
        <w:pStyle w:val="NormalWeb"/>
        <w:numPr>
          <w:ilvl w:val="0"/>
          <w:numId w:val="11"/>
        </w:numPr>
      </w:pPr>
      <w:r>
        <w:rPr>
          <w:rStyle w:val="citation-507"/>
          <w:b/>
          <w:bCs/>
        </w:rPr>
        <w:t>Utilization Management:</w:t>
      </w:r>
      <w:r>
        <w:rPr>
          <w:rStyle w:val="citation-507"/>
        </w:rPr>
        <w:t xml:space="preserve"> </w:t>
      </w:r>
      <w:r>
        <w:rPr>
          <w:rStyle w:val="citation-507"/>
          <w:b/>
          <w:bCs/>
        </w:rPr>
        <w:t>InterQual (Change Healthcare)</w:t>
      </w:r>
      <w:r>
        <w:rPr>
          <w:rStyle w:val="citation-507"/>
        </w:rPr>
        <w:t xml:space="preserve"> remains the leader for determining "level of care" appropriateness (e.g., whether a patient should be admitted or observation).</w:t>
      </w:r>
    </w:p>
    <w:p w14:paraId="4F1E1792" w14:textId="77777777" w:rsidR="004E4D4D" w:rsidRDefault="004E4D4D" w:rsidP="004E4D4D">
      <w:r>
        <w:pict w14:anchorId="65F2BB54">
          <v:rect id="_x0000_i1025" style="width:0;height:1.5pt" o:hralign="center" o:hrstd="t" o:hr="t" fillcolor="#a0a0a0" stroked="f"/>
        </w:pict>
      </w:r>
    </w:p>
    <w:p w14:paraId="507B0970" w14:textId="77777777" w:rsidR="004E4D4D" w:rsidRDefault="004E4D4D" w:rsidP="004E4D4D">
      <w:pPr>
        <w:pStyle w:val="Heading2"/>
      </w:pPr>
      <w:r>
        <w:t>Summary Table: 2026 Top Performers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1371"/>
        <w:gridCol w:w="4453"/>
      </w:tblGrid>
      <w:tr w:rsidR="004E4D4D" w14:paraId="52F30B23" w14:textId="77777777" w:rsidTr="004E4D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5FFE1" w14:textId="77777777" w:rsidR="004E4D4D" w:rsidRDefault="004E4D4D">
            <w:r>
              <w:t>Category</w:t>
            </w:r>
          </w:p>
        </w:tc>
        <w:tc>
          <w:tcPr>
            <w:tcW w:w="0" w:type="auto"/>
            <w:vAlign w:val="center"/>
            <w:hideMark/>
          </w:tcPr>
          <w:p w14:paraId="1BD62DB0" w14:textId="77777777" w:rsidR="004E4D4D" w:rsidRDefault="004E4D4D">
            <w:r>
              <w:t>Top Pick</w:t>
            </w:r>
          </w:p>
        </w:tc>
        <w:tc>
          <w:tcPr>
            <w:tcW w:w="0" w:type="auto"/>
            <w:vAlign w:val="center"/>
            <w:hideMark/>
          </w:tcPr>
          <w:p w14:paraId="02A36F57" w14:textId="77777777" w:rsidR="004E4D4D" w:rsidRDefault="004E4D4D">
            <w:r>
              <w:t>Key Strength</w:t>
            </w:r>
          </w:p>
        </w:tc>
      </w:tr>
      <w:tr w:rsidR="004E4D4D" w14:paraId="325658EC" w14:textId="77777777" w:rsidTr="004E4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0FD6" w14:textId="77777777" w:rsidR="004E4D4D" w:rsidRDefault="004E4D4D">
            <w:r>
              <w:rPr>
                <w:b/>
                <w:bCs/>
              </w:rPr>
              <w:t>Overall Disease Reference</w:t>
            </w:r>
          </w:p>
        </w:tc>
        <w:tc>
          <w:tcPr>
            <w:tcW w:w="0" w:type="auto"/>
            <w:vAlign w:val="center"/>
            <w:hideMark/>
          </w:tcPr>
          <w:p w14:paraId="640F7894" w14:textId="77777777" w:rsidR="004E4D4D" w:rsidRDefault="004E4D4D">
            <w:r>
              <w:rPr>
                <w:b/>
                <w:bCs/>
              </w:rPr>
              <w:t>DynaMedex</w:t>
            </w:r>
          </w:p>
        </w:tc>
        <w:tc>
          <w:tcPr>
            <w:tcW w:w="0" w:type="auto"/>
            <w:vAlign w:val="center"/>
            <w:hideMark/>
          </w:tcPr>
          <w:p w14:paraId="4091BEED" w14:textId="77777777" w:rsidR="004E4D4D" w:rsidRDefault="004E4D4D">
            <w:r>
              <w:t>Best-in-KLAS for evidence-based accuracy.</w:t>
            </w:r>
          </w:p>
        </w:tc>
      </w:tr>
      <w:tr w:rsidR="004E4D4D" w14:paraId="22B5CA65" w14:textId="77777777" w:rsidTr="004E4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32DF" w14:textId="77777777" w:rsidR="004E4D4D" w:rsidRDefault="004E4D4D">
            <w:r>
              <w:rPr>
                <w:b/>
                <w:bCs/>
              </w:rPr>
              <w:t>Drug Information</w:t>
            </w:r>
          </w:p>
        </w:tc>
        <w:tc>
          <w:tcPr>
            <w:tcW w:w="0" w:type="auto"/>
            <w:vAlign w:val="center"/>
            <w:hideMark/>
          </w:tcPr>
          <w:p w14:paraId="11126663" w14:textId="77777777" w:rsidR="004E4D4D" w:rsidRDefault="004E4D4D">
            <w:r>
              <w:rPr>
                <w:b/>
                <w:bCs/>
              </w:rPr>
              <w:t>Micromedex</w:t>
            </w:r>
          </w:p>
        </w:tc>
        <w:tc>
          <w:tcPr>
            <w:tcW w:w="0" w:type="auto"/>
            <w:vAlign w:val="center"/>
            <w:hideMark/>
          </w:tcPr>
          <w:p w14:paraId="09EEA17C" w14:textId="77777777" w:rsidR="004E4D4D" w:rsidRDefault="004E4D4D">
            <w:r>
              <w:t>Unrivaled drug safety and toxicology data.</w:t>
            </w:r>
          </w:p>
        </w:tc>
      </w:tr>
      <w:tr w:rsidR="004E4D4D" w14:paraId="4BCA2A15" w14:textId="77777777" w:rsidTr="004E4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4EF2" w14:textId="77777777" w:rsidR="004E4D4D" w:rsidRDefault="004E4D4D">
            <w:r>
              <w:rPr>
                <w:b/>
                <w:bCs/>
              </w:rPr>
              <w:t>EHR Integration</w:t>
            </w:r>
          </w:p>
        </w:tc>
        <w:tc>
          <w:tcPr>
            <w:tcW w:w="0" w:type="auto"/>
            <w:vAlign w:val="center"/>
            <w:hideMark/>
          </w:tcPr>
          <w:p w14:paraId="463B73FA" w14:textId="77777777" w:rsidR="004E4D4D" w:rsidRDefault="004E4D4D">
            <w:r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71DD2465" w14:textId="77777777" w:rsidR="004E4D4D" w:rsidRDefault="004E4D4D">
            <w:r>
              <w:t>Seamless "one-stop-shop" for hospital systems.</w:t>
            </w:r>
          </w:p>
        </w:tc>
      </w:tr>
      <w:tr w:rsidR="004E4D4D" w14:paraId="3631668F" w14:textId="77777777" w:rsidTr="004E4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D36FB" w14:textId="77777777" w:rsidR="004E4D4D" w:rsidRDefault="004E4D4D">
            <w:r>
              <w:rPr>
                <w:b/>
                <w:bCs/>
              </w:rPr>
              <w:t>AI Diagnostic Aid</w:t>
            </w:r>
          </w:p>
        </w:tc>
        <w:tc>
          <w:tcPr>
            <w:tcW w:w="0" w:type="auto"/>
            <w:vAlign w:val="center"/>
            <w:hideMark/>
          </w:tcPr>
          <w:p w14:paraId="66F2FC5F" w14:textId="77777777" w:rsidR="004E4D4D" w:rsidRDefault="004E4D4D">
            <w:r>
              <w:rPr>
                <w:b/>
                <w:bCs/>
              </w:rPr>
              <w:t>Glass Health</w:t>
            </w:r>
          </w:p>
        </w:tc>
        <w:tc>
          <w:tcPr>
            <w:tcW w:w="0" w:type="auto"/>
            <w:vAlign w:val="center"/>
            <w:hideMark/>
          </w:tcPr>
          <w:p w14:paraId="12C8A367" w14:textId="77777777" w:rsidR="004E4D4D" w:rsidRDefault="004E4D4D">
            <w:r>
              <w:t>Generates DDx and plans during the encounter.</w:t>
            </w:r>
          </w:p>
        </w:tc>
      </w:tr>
      <w:tr w:rsidR="004E4D4D" w14:paraId="41180304" w14:textId="77777777" w:rsidTr="004E4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84202" w14:textId="77777777" w:rsidR="004E4D4D" w:rsidRDefault="004E4D4D">
            <w:r>
              <w:rPr>
                <w:b/>
                <w:bCs/>
              </w:rPr>
              <w:t>Evidence Synthesis</w:t>
            </w:r>
          </w:p>
        </w:tc>
        <w:tc>
          <w:tcPr>
            <w:tcW w:w="0" w:type="auto"/>
            <w:vAlign w:val="center"/>
            <w:hideMark/>
          </w:tcPr>
          <w:p w14:paraId="29491A33" w14:textId="77777777" w:rsidR="004E4D4D" w:rsidRDefault="004E4D4D">
            <w:r>
              <w:rPr>
                <w:b/>
                <w:bCs/>
              </w:rPr>
              <w:t>OpenEvidence</w:t>
            </w:r>
          </w:p>
        </w:tc>
        <w:tc>
          <w:tcPr>
            <w:tcW w:w="0" w:type="auto"/>
            <w:vAlign w:val="center"/>
            <w:hideMark/>
          </w:tcPr>
          <w:p w14:paraId="747ED756" w14:textId="77777777" w:rsidR="004E4D4D" w:rsidRDefault="004E4D4D">
            <w:r>
              <w:t>Best free tool for citing recent medical literature.</w:t>
            </w:r>
          </w:p>
        </w:tc>
      </w:tr>
    </w:tbl>
    <w:p w14:paraId="51388532" w14:textId="77777777" w:rsidR="004E4D4D" w:rsidRDefault="004E4D4D" w:rsidP="004E4D4D">
      <w:r>
        <w:rPr>
          <w:rStyle w:val="export-sheets-button"/>
        </w:rPr>
        <w:t>Export to Sheets</w:t>
      </w:r>
    </w:p>
    <w:p w14:paraId="005AB9B7" w14:textId="77777777" w:rsidR="004E4D4D" w:rsidRDefault="004E4D4D" w:rsidP="004E4D4D">
      <w:pPr>
        <w:pStyle w:val="NormalWeb"/>
      </w:pPr>
      <w:r>
        <w:rPr>
          <w:b/>
          <w:bCs/>
        </w:rPr>
        <w:t>Would you like me to compare the pricing or technical integration requirements for any of these specific systems?</w:t>
      </w:r>
    </w:p>
    <w:p w14:paraId="0B817541" w14:textId="32D30EFC" w:rsidR="007B3033" w:rsidRPr="004E4D4D" w:rsidRDefault="007B3033" w:rsidP="004E4D4D">
      <w:bookmarkStart w:id="0" w:name="_GoBack"/>
      <w:bookmarkEnd w:id="0"/>
    </w:p>
    <w:sectPr w:rsidR="007B3033" w:rsidRPr="004E4D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15463"/>
    <w:multiLevelType w:val="multilevel"/>
    <w:tmpl w:val="2A5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75FDC"/>
    <w:multiLevelType w:val="multilevel"/>
    <w:tmpl w:val="AEF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D52EC"/>
    <w:multiLevelType w:val="multilevel"/>
    <w:tmpl w:val="FF82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C57E4"/>
    <w:multiLevelType w:val="multilevel"/>
    <w:tmpl w:val="304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63EF7"/>
    <w:multiLevelType w:val="multilevel"/>
    <w:tmpl w:val="72D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84238"/>
    <w:multiLevelType w:val="multilevel"/>
    <w:tmpl w:val="3DA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D4CC7"/>
    <w:multiLevelType w:val="multilevel"/>
    <w:tmpl w:val="6538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233A3"/>
    <w:multiLevelType w:val="multilevel"/>
    <w:tmpl w:val="742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C6933"/>
    <w:multiLevelType w:val="multilevel"/>
    <w:tmpl w:val="14C2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F3FD8"/>
    <w:multiLevelType w:val="multilevel"/>
    <w:tmpl w:val="17C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35229"/>
    <w:multiLevelType w:val="multilevel"/>
    <w:tmpl w:val="4A58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10"/>
  </w:num>
  <w:num w:numId="5">
    <w:abstractNumId w:val="9"/>
  </w:num>
  <w:num w:numId="6">
    <w:abstractNumId w:val="1"/>
  </w:num>
  <w:num w:numId="7">
    <w:abstractNumId w:val="2"/>
  </w:num>
  <w:num w:numId="8">
    <w:abstractNumId w:val="4"/>
  </w:num>
  <w:num w:numId="9">
    <w:abstractNumId w:val="6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33"/>
    <w:rsid w:val="004E4D4D"/>
    <w:rsid w:val="005D7D02"/>
    <w:rsid w:val="007B3033"/>
    <w:rsid w:val="00AB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666C0C-AD7D-4272-8C3A-2166A8C2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D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4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AB4D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4DD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AB4DD0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customStyle="1" w:styleId="query-text-line">
    <w:name w:val="query-text-line"/>
    <w:basedOn w:val="Normal"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D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515">
    <w:name w:val="citation-515"/>
    <w:basedOn w:val="DefaultParagraphFont"/>
    <w:rsid w:val="004E4D4D"/>
  </w:style>
  <w:style w:type="character" w:customStyle="1" w:styleId="citation-514">
    <w:name w:val="citation-514"/>
    <w:basedOn w:val="DefaultParagraphFont"/>
    <w:rsid w:val="004E4D4D"/>
  </w:style>
  <w:style w:type="character" w:customStyle="1" w:styleId="citation-513">
    <w:name w:val="citation-513"/>
    <w:basedOn w:val="DefaultParagraphFont"/>
    <w:rsid w:val="004E4D4D"/>
  </w:style>
  <w:style w:type="character" w:customStyle="1" w:styleId="button-label">
    <w:name w:val="button-label"/>
    <w:basedOn w:val="DefaultParagraphFont"/>
    <w:rsid w:val="004E4D4D"/>
  </w:style>
  <w:style w:type="character" w:customStyle="1" w:styleId="citation-512">
    <w:name w:val="citation-512"/>
    <w:basedOn w:val="DefaultParagraphFont"/>
    <w:rsid w:val="004E4D4D"/>
  </w:style>
  <w:style w:type="character" w:customStyle="1" w:styleId="citation-511">
    <w:name w:val="citation-511"/>
    <w:basedOn w:val="DefaultParagraphFont"/>
    <w:rsid w:val="004E4D4D"/>
  </w:style>
  <w:style w:type="character" w:customStyle="1" w:styleId="citation-510">
    <w:name w:val="citation-510"/>
    <w:basedOn w:val="DefaultParagraphFont"/>
    <w:rsid w:val="004E4D4D"/>
  </w:style>
  <w:style w:type="character" w:customStyle="1" w:styleId="citation-509">
    <w:name w:val="citation-509"/>
    <w:basedOn w:val="DefaultParagraphFont"/>
    <w:rsid w:val="004E4D4D"/>
  </w:style>
  <w:style w:type="character" w:customStyle="1" w:styleId="citation-508">
    <w:name w:val="citation-508"/>
    <w:basedOn w:val="DefaultParagraphFont"/>
    <w:rsid w:val="004E4D4D"/>
  </w:style>
  <w:style w:type="character" w:customStyle="1" w:styleId="citation-507">
    <w:name w:val="citation-507"/>
    <w:basedOn w:val="DefaultParagraphFont"/>
    <w:rsid w:val="004E4D4D"/>
  </w:style>
  <w:style w:type="character" w:customStyle="1" w:styleId="export-sheets-button">
    <w:name w:val="export-sheets-button"/>
    <w:basedOn w:val="DefaultParagraphFont"/>
    <w:rsid w:val="004E4D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21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5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2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9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0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1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6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2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46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23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2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2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2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528</Words>
  <Characters>3013</Characters>
  <Application>Microsoft Office Word</Application>
  <DocSecurity>0</DocSecurity>
  <Lines>25</Lines>
  <Paragraphs>7</Paragraphs>
  <ScaleCrop>false</ScaleCrop>
  <Company>Dokuz Eylül Üniversitesi</Company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2025-12-16T20:16:00Z</dcterms:created>
  <dcterms:modified xsi:type="dcterms:W3CDTF">2026-03-26T17:47:00Z</dcterms:modified>
</cp:coreProperties>
</file>