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8CAAB3" w14:textId="77777777" w:rsidR="00361C5A" w:rsidRDefault="00361C5A" w:rsidP="00361C5A">
      <w:pPr>
        <w:pStyle w:val="NormalWeb"/>
      </w:pPr>
      <w:r>
        <w:t xml:space="preserve">For large-scale enterprises in 2026, "trust" isn't just about brand name; it’s about </w:t>
      </w:r>
      <w:r>
        <w:rPr>
          <w:b/>
          <w:bCs/>
        </w:rPr>
        <w:t>scalability, data security, and AI maturity.</w:t>
      </w:r>
      <w:r>
        <w:t xml:space="preserve"> While many CRMs claim to be enterprise-ready, only a few can handle the complexity of global territories, deep ERP integrations, and strict compliance (like GDPR and the AI Act).</w:t>
      </w:r>
    </w:p>
    <w:p w14:paraId="217D56E4" w14:textId="77777777" w:rsidR="00361C5A" w:rsidRDefault="00361C5A" w:rsidP="00361C5A">
      <w:pPr>
        <w:pStyle w:val="NormalWeb"/>
      </w:pPr>
      <w:r>
        <w:t>Here are the most trusted CRM platforms for large businesses, categorized by their primary "trust factor."</w:t>
      </w:r>
    </w:p>
    <w:p w14:paraId="607B35B4" w14:textId="77777777" w:rsidR="00361C5A" w:rsidRDefault="00361C5A" w:rsidP="00361C5A">
      <w:r>
        <w:pict w14:anchorId="0AC86F87">
          <v:rect id="_x0000_i1025" style="width:0;height:1.5pt" o:hralign="center" o:hrstd="t" o:hr="t" fillcolor="#a0a0a0" stroked="f"/>
        </w:pict>
      </w:r>
    </w:p>
    <w:p w14:paraId="71C8222A" w14:textId="77777777" w:rsidR="00361C5A" w:rsidRDefault="00361C5A" w:rsidP="00361C5A">
      <w:pPr>
        <w:pStyle w:val="Heading2"/>
      </w:pPr>
      <w:r>
        <w:t>1. Salesforce (Agentforce)</w:t>
      </w:r>
    </w:p>
    <w:p w14:paraId="25D3950E" w14:textId="77777777" w:rsidR="00361C5A" w:rsidRDefault="00361C5A" w:rsidP="00361C5A">
      <w:pPr>
        <w:pStyle w:val="NormalWeb"/>
      </w:pPr>
      <w:r>
        <w:rPr>
          <w:rStyle w:val="citation-331"/>
          <w:b/>
          <w:bCs/>
        </w:rPr>
        <w:t>Best For:</w:t>
      </w:r>
      <w:r>
        <w:rPr>
          <w:rStyle w:val="citation-331"/>
        </w:rPr>
        <w:t xml:space="preserve"> Massive scalability and a "best-of-breed" ecosystem.</w:t>
      </w:r>
      <w:r>
        <w:t xml:space="preserve"> </w:t>
      </w:r>
      <w:r>
        <w:rPr>
          <w:rStyle w:val="citation-330"/>
          <w:rFonts w:eastAsiaTheme="majorEastAsia"/>
        </w:rPr>
        <w:t xml:space="preserve">Salesforce remains the global leader, recently rebranding much of its core AI suite under </w:t>
      </w:r>
      <w:r>
        <w:rPr>
          <w:rStyle w:val="citation-330"/>
          <w:rFonts w:eastAsiaTheme="majorEastAsia"/>
          <w:b/>
          <w:bCs/>
        </w:rPr>
        <w:t>Agentforce</w:t>
      </w:r>
      <w:r>
        <w:rPr>
          <w:rStyle w:val="citation-330"/>
          <w:rFonts w:eastAsiaTheme="majorEastAsia"/>
        </w:rPr>
        <w:t>.</w:t>
      </w:r>
      <w:r>
        <w:t xml:space="preserve"> It is trusted because it can be customized to fit almost any business process, no matter how niche.</w:t>
      </w:r>
    </w:p>
    <w:p w14:paraId="4109EDDD" w14:textId="77777777" w:rsidR="00361C5A" w:rsidRDefault="00361C5A" w:rsidP="00361C5A">
      <w:r>
        <w:rPr>
          <w:rStyle w:val="button-label"/>
        </w:rPr>
        <w:t>+1</w:t>
      </w:r>
    </w:p>
    <w:p w14:paraId="34F6FE78" w14:textId="77777777" w:rsidR="00361C5A" w:rsidRDefault="00361C5A" w:rsidP="00361C5A">
      <w:pPr>
        <w:pStyle w:val="NormalWeb"/>
        <w:numPr>
          <w:ilvl w:val="0"/>
          <w:numId w:val="8"/>
        </w:numPr>
      </w:pPr>
      <w:r>
        <w:rPr>
          <w:rStyle w:val="citation-329"/>
          <w:b/>
          <w:bCs/>
        </w:rPr>
        <w:t>Key Strengths:</w:t>
      </w:r>
      <w:r>
        <w:rPr>
          <w:rStyle w:val="citation-329"/>
        </w:rPr>
        <w:t xml:space="preserve"> The </w:t>
      </w:r>
      <w:r>
        <w:rPr>
          <w:rStyle w:val="citation-329"/>
          <w:b/>
          <w:bCs/>
        </w:rPr>
        <w:t>AppExchange</w:t>
      </w:r>
      <w:r>
        <w:rPr>
          <w:rStyle w:val="citation-329"/>
        </w:rPr>
        <w:t xml:space="preserve"> (thousands of pre-built integrations) and </w:t>
      </w:r>
      <w:r>
        <w:rPr>
          <w:rStyle w:val="citation-329"/>
          <w:b/>
          <w:bCs/>
        </w:rPr>
        <w:t>Einstein AI</w:t>
      </w:r>
      <w:r>
        <w:rPr>
          <w:rStyle w:val="citation-329"/>
        </w:rPr>
        <w:t>, which provides high-level predictive analytics and automated "agents" for sales and service.</w:t>
      </w:r>
    </w:p>
    <w:p w14:paraId="028D0A81" w14:textId="77777777" w:rsidR="00361C5A" w:rsidRDefault="00361C5A" w:rsidP="00361C5A">
      <w:pPr>
        <w:pStyle w:val="NormalWeb"/>
        <w:numPr>
          <w:ilvl w:val="0"/>
          <w:numId w:val="8"/>
        </w:numPr>
      </w:pPr>
      <w:r>
        <w:rPr>
          <w:b/>
          <w:bCs/>
        </w:rPr>
        <w:t>The Trade-off:</w:t>
      </w:r>
      <w:r>
        <w:t xml:space="preserve"> High Total Cost of Ownership (TCO). You often need dedicated internal admins or external consultants to maintain it.</w:t>
      </w:r>
    </w:p>
    <w:p w14:paraId="77D8A038" w14:textId="77777777" w:rsidR="00361C5A" w:rsidRDefault="00361C5A" w:rsidP="00361C5A">
      <w:pPr>
        <w:pStyle w:val="Heading2"/>
      </w:pPr>
      <w:r>
        <w:t>2. Microsoft Dynamics 365</w:t>
      </w:r>
    </w:p>
    <w:p w14:paraId="4C878EBD" w14:textId="77777777" w:rsidR="00361C5A" w:rsidRDefault="00361C5A" w:rsidP="00361C5A">
      <w:pPr>
        <w:pStyle w:val="NormalWeb"/>
      </w:pPr>
      <w:r>
        <w:rPr>
          <w:rStyle w:val="citation-328"/>
          <w:b/>
          <w:bCs/>
        </w:rPr>
        <w:t>Best For:</w:t>
      </w:r>
      <w:r>
        <w:rPr>
          <w:rStyle w:val="citation-328"/>
        </w:rPr>
        <w:t xml:space="preserve"> Organizations deeply embedded in the Microsoft ecosystem.</w:t>
      </w:r>
      <w:r>
        <w:t xml:space="preserve"> </w:t>
      </w:r>
      <w:r>
        <w:rPr>
          <w:rStyle w:val="citation-327"/>
        </w:rPr>
        <w:t xml:space="preserve">If your company lives in </w:t>
      </w:r>
      <w:r>
        <w:rPr>
          <w:rStyle w:val="citation-327"/>
          <w:b/>
          <w:bCs/>
        </w:rPr>
        <w:t>Teams, Outlook, and Excel</w:t>
      </w:r>
      <w:r>
        <w:rPr>
          <w:rStyle w:val="citation-327"/>
        </w:rPr>
        <w:t>, Dynamics 365 is often the most logical choice.</w:t>
      </w:r>
      <w:r>
        <w:t xml:space="preserve"> </w:t>
      </w:r>
      <w:r>
        <w:rPr>
          <w:rStyle w:val="citation-326"/>
        </w:rPr>
        <w:t>It is trusted for its seamless data flow between the CRM and your daily productivity tools.</w:t>
      </w:r>
    </w:p>
    <w:p w14:paraId="077BC5F3" w14:textId="77777777" w:rsidR="00361C5A" w:rsidRDefault="00361C5A" w:rsidP="00361C5A">
      <w:r>
        <w:rPr>
          <w:rStyle w:val="button-label"/>
        </w:rPr>
        <w:t>+2</w:t>
      </w:r>
    </w:p>
    <w:p w14:paraId="3265B439" w14:textId="77777777" w:rsidR="00361C5A" w:rsidRDefault="00361C5A" w:rsidP="00361C5A">
      <w:pPr>
        <w:pStyle w:val="NormalWeb"/>
        <w:numPr>
          <w:ilvl w:val="0"/>
          <w:numId w:val="9"/>
        </w:numPr>
      </w:pPr>
      <w:r>
        <w:rPr>
          <w:rStyle w:val="citation-325"/>
          <w:b/>
          <w:bCs/>
        </w:rPr>
        <w:t>Key Strengths:</w:t>
      </w:r>
      <w:r>
        <w:rPr>
          <w:rStyle w:val="citation-325"/>
        </w:rPr>
        <w:t xml:space="preserve"> Exceptional integration with </w:t>
      </w:r>
      <w:r>
        <w:rPr>
          <w:rStyle w:val="citation-325"/>
          <w:b/>
          <w:bCs/>
        </w:rPr>
        <w:t>Power BI</w:t>
      </w:r>
      <w:r>
        <w:rPr>
          <w:rStyle w:val="citation-325"/>
        </w:rPr>
        <w:t xml:space="preserve"> for advanced reporting and </w:t>
      </w:r>
      <w:r>
        <w:rPr>
          <w:rStyle w:val="citation-325"/>
          <w:b/>
          <w:bCs/>
        </w:rPr>
        <w:t>Microsoft Copilot</w:t>
      </w:r>
      <w:r>
        <w:rPr>
          <w:rStyle w:val="citation-325"/>
        </w:rPr>
        <w:t xml:space="preserve"> for generative AI assistance across the entire Office suite.</w:t>
      </w:r>
    </w:p>
    <w:p w14:paraId="02BFCA59" w14:textId="77777777" w:rsidR="00361C5A" w:rsidRDefault="00361C5A" w:rsidP="00361C5A">
      <w:pPr>
        <w:pStyle w:val="NormalWeb"/>
        <w:numPr>
          <w:ilvl w:val="0"/>
          <w:numId w:val="9"/>
        </w:numPr>
      </w:pPr>
      <w:r>
        <w:rPr>
          <w:b/>
          <w:bCs/>
        </w:rPr>
        <w:t>The Trade-off:</w:t>
      </w:r>
      <w:r>
        <w:t xml:space="preserve"> The interface can feel "cluttered" or overly technical for non-power users, potentially hindering adoption if not implemented carefully.</w:t>
      </w:r>
    </w:p>
    <w:p w14:paraId="12C2716E" w14:textId="77777777" w:rsidR="00361C5A" w:rsidRDefault="00361C5A" w:rsidP="00361C5A">
      <w:pPr>
        <w:pStyle w:val="Heading2"/>
      </w:pPr>
      <w:r>
        <w:t>3. Oracle Advertising and CX</w:t>
      </w:r>
    </w:p>
    <w:p w14:paraId="48864C2C" w14:textId="77777777" w:rsidR="00361C5A" w:rsidRDefault="00361C5A" w:rsidP="00361C5A">
      <w:pPr>
        <w:pStyle w:val="NormalWeb"/>
      </w:pPr>
      <w:r>
        <w:rPr>
          <w:b/>
          <w:bCs/>
        </w:rPr>
        <w:t>Best For:</w:t>
      </w:r>
      <w:r>
        <w:t xml:space="preserve"> Data-heavy industries and complex supply chains. Oracle is the "gold standard" for enterprises that need their CRM to talk directly to a robust ERP (Enterprise Resource Planning) system without middleware.</w:t>
      </w:r>
    </w:p>
    <w:p w14:paraId="63252234" w14:textId="77777777" w:rsidR="00361C5A" w:rsidRDefault="00361C5A" w:rsidP="00361C5A">
      <w:pPr>
        <w:pStyle w:val="NormalWeb"/>
        <w:numPr>
          <w:ilvl w:val="0"/>
          <w:numId w:val="10"/>
        </w:numPr>
      </w:pPr>
      <w:r>
        <w:rPr>
          <w:b/>
          <w:bCs/>
        </w:rPr>
        <w:t>Key Strengths:</w:t>
      </w:r>
      <w:r>
        <w:rPr>
          <w:rStyle w:val="citation-324"/>
        </w:rPr>
        <w:t xml:space="preserve"> Unrivaled "Big Data" capabilities and real-time customer segmentation.</w:t>
      </w:r>
      <w:r>
        <w:t xml:space="preserve"> </w:t>
      </w:r>
      <w:r>
        <w:rPr>
          <w:rStyle w:val="citation-323"/>
        </w:rPr>
        <w:t>It’s built on Oracle’s cloud architecture, known for stability under massive data loads.</w:t>
      </w:r>
    </w:p>
    <w:p w14:paraId="229E0626" w14:textId="77777777" w:rsidR="00361C5A" w:rsidRDefault="00361C5A" w:rsidP="00361C5A">
      <w:pPr>
        <w:pStyle w:val="NormalWeb"/>
        <w:numPr>
          <w:ilvl w:val="0"/>
          <w:numId w:val="10"/>
        </w:numPr>
      </w:pPr>
      <w:r>
        <w:rPr>
          <w:rStyle w:val="citation-322"/>
          <w:b/>
          <w:bCs/>
        </w:rPr>
        <w:t>The Trade-off:</w:t>
      </w:r>
      <w:r>
        <w:rPr>
          <w:rStyle w:val="citation-322"/>
        </w:rPr>
        <w:t xml:space="preserve"> Steep learning curve and a lengthy onboarding process compared to more modern, cloud-native rivals.</w:t>
      </w:r>
    </w:p>
    <w:p w14:paraId="235EB0CE" w14:textId="77777777" w:rsidR="00361C5A" w:rsidRDefault="00361C5A" w:rsidP="00361C5A">
      <w:pPr>
        <w:pStyle w:val="Heading2"/>
      </w:pPr>
      <w:r>
        <w:lastRenderedPageBreak/>
        <w:t>4. SAP Customer Experience (CX)</w:t>
      </w:r>
    </w:p>
    <w:p w14:paraId="02B18FE1" w14:textId="77777777" w:rsidR="00361C5A" w:rsidRDefault="00361C5A" w:rsidP="00361C5A">
      <w:pPr>
        <w:pStyle w:val="NormalWeb"/>
      </w:pPr>
      <w:r>
        <w:rPr>
          <w:b/>
          <w:bCs/>
        </w:rPr>
        <w:t>Best For:</w:t>
      </w:r>
      <w:r>
        <w:t xml:space="preserve"> Global manufacturing, logistics, and retail giants. For companies already running </w:t>
      </w:r>
      <w:r>
        <w:rPr>
          <w:b/>
          <w:bCs/>
        </w:rPr>
        <w:t>SAP S/4HANA</w:t>
      </w:r>
      <w:r>
        <w:t>, SAP CX provides the deepest "end-to-end" process integration. It allows you to see how a sales deal impacts your financial and operational systems in real time.</w:t>
      </w:r>
    </w:p>
    <w:p w14:paraId="70E95153" w14:textId="77777777" w:rsidR="00361C5A" w:rsidRDefault="00361C5A" w:rsidP="00361C5A">
      <w:pPr>
        <w:pStyle w:val="NormalWeb"/>
        <w:numPr>
          <w:ilvl w:val="0"/>
          <w:numId w:val="11"/>
        </w:numPr>
      </w:pPr>
      <w:r>
        <w:rPr>
          <w:b/>
          <w:bCs/>
        </w:rPr>
        <w:t>Key Strengths:</w:t>
      </w:r>
      <w:r>
        <w:t xml:space="preserve"> Deep process analytics and high compliance standards for international operations.</w:t>
      </w:r>
    </w:p>
    <w:p w14:paraId="41E1CBE6" w14:textId="77777777" w:rsidR="00361C5A" w:rsidRDefault="00361C5A" w:rsidP="00361C5A">
      <w:pPr>
        <w:pStyle w:val="NormalWeb"/>
        <w:numPr>
          <w:ilvl w:val="0"/>
          <w:numId w:val="11"/>
        </w:numPr>
      </w:pPr>
      <w:r>
        <w:rPr>
          <w:b/>
          <w:bCs/>
        </w:rPr>
        <w:t>The Trade-off:</w:t>
      </w:r>
      <w:r>
        <w:t xml:space="preserve"> It is rarely used as a standalone product; its value is almost entirely tied to being part of the broader SAP environment.</w:t>
      </w:r>
    </w:p>
    <w:p w14:paraId="0E5812F2" w14:textId="77777777" w:rsidR="00361C5A" w:rsidRDefault="00361C5A" w:rsidP="00361C5A">
      <w:pPr>
        <w:pStyle w:val="Heading2"/>
      </w:pPr>
      <w:r>
        <w:t xml:space="preserve">5. </w:t>
      </w:r>
      <w:r>
        <w:rPr>
          <w:rStyle w:val="citation-321"/>
        </w:rPr>
        <w:t>HubSpot Sales Hub (Enterprise Tier)</w:t>
      </w:r>
    </w:p>
    <w:p w14:paraId="63DB7FF7" w14:textId="77777777" w:rsidR="00361C5A" w:rsidRDefault="00361C5A" w:rsidP="00361C5A">
      <w:pPr>
        <w:pStyle w:val="NormalWeb"/>
      </w:pPr>
      <w:r>
        <w:rPr>
          <w:b/>
          <w:bCs/>
        </w:rPr>
        <w:t>Best For:</w:t>
      </w:r>
      <w:r>
        <w:t xml:space="preserve"> Companies prioritizing "Time-to-Value" and ease of use. </w:t>
      </w:r>
      <w:r>
        <w:rPr>
          <w:rStyle w:val="citation-320"/>
        </w:rPr>
        <w:t>Historically for small businesses, HubSpot has moved aggressively into the enterprise space.</w:t>
      </w:r>
      <w:r>
        <w:t xml:space="preserve"> It is trusted by "scale-ups" and large digital-first companies because people actually </w:t>
      </w:r>
      <w:r>
        <w:rPr>
          <w:i/>
          <w:iCs/>
        </w:rPr>
        <w:t>like</w:t>
      </w:r>
      <w:r>
        <w:t xml:space="preserve"> using it.</w:t>
      </w:r>
    </w:p>
    <w:p w14:paraId="76C90D74" w14:textId="77777777" w:rsidR="00361C5A" w:rsidRDefault="00361C5A" w:rsidP="00361C5A">
      <w:pPr>
        <w:pStyle w:val="NormalWeb"/>
        <w:numPr>
          <w:ilvl w:val="0"/>
          <w:numId w:val="12"/>
        </w:numPr>
      </w:pPr>
      <w:r>
        <w:rPr>
          <w:rStyle w:val="citation-319"/>
          <w:b/>
          <w:bCs/>
        </w:rPr>
        <w:t>Key Strengths:</w:t>
      </w:r>
      <w:r>
        <w:rPr>
          <w:rStyle w:val="citation-319"/>
        </w:rPr>
        <w:t xml:space="preserve"> A unified data model (Marketing, Sales, and Service all share the same code base) and a much faster implementation time than Salesforce.</w:t>
      </w:r>
    </w:p>
    <w:p w14:paraId="1A161C78" w14:textId="77777777" w:rsidR="00361C5A" w:rsidRDefault="00361C5A" w:rsidP="00361C5A">
      <w:pPr>
        <w:pStyle w:val="NormalWeb"/>
        <w:numPr>
          <w:ilvl w:val="0"/>
          <w:numId w:val="12"/>
        </w:numPr>
      </w:pPr>
      <w:r>
        <w:rPr>
          <w:b/>
          <w:bCs/>
        </w:rPr>
        <w:t>The Trade-off:</w:t>
      </w:r>
      <w:r>
        <w:t xml:space="preserve"> While powerful, it still lacks the extreme "granular" customizability that Salesforce offers for highly complex, multi-subsidiary global giants.</w:t>
      </w:r>
    </w:p>
    <w:p w14:paraId="5D4EEED9" w14:textId="77777777" w:rsidR="00361C5A" w:rsidRDefault="00361C5A" w:rsidP="00361C5A">
      <w:r>
        <w:pict w14:anchorId="466B3994">
          <v:rect id="_x0000_i1026" style="width:0;height:1.5pt" o:hralign="center" o:hrstd="t" o:hr="t" fillcolor="#a0a0a0" stroked="f"/>
        </w:pict>
      </w:r>
    </w:p>
    <w:p w14:paraId="382DF112" w14:textId="77777777" w:rsidR="00361C5A" w:rsidRDefault="00361C5A" w:rsidP="00361C5A">
      <w:pPr>
        <w:pStyle w:val="Heading2"/>
      </w:pPr>
      <w:r>
        <w:t>Summary Comparison Table (2026)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0"/>
        <w:gridCol w:w="1578"/>
        <w:gridCol w:w="2046"/>
        <w:gridCol w:w="1974"/>
      </w:tblGrid>
      <w:tr w:rsidR="00361C5A" w14:paraId="704535ED" w14:textId="77777777" w:rsidTr="00361C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860B24" w14:textId="77777777" w:rsidR="00361C5A" w:rsidRDefault="00361C5A">
            <w:r>
              <w:t>Platform</w:t>
            </w:r>
          </w:p>
        </w:tc>
        <w:tc>
          <w:tcPr>
            <w:tcW w:w="0" w:type="auto"/>
            <w:vAlign w:val="center"/>
            <w:hideMark/>
          </w:tcPr>
          <w:p w14:paraId="1266487C" w14:textId="77777777" w:rsidR="00361C5A" w:rsidRDefault="00361C5A">
            <w:r>
              <w:t>Primary Strength</w:t>
            </w:r>
          </w:p>
        </w:tc>
        <w:tc>
          <w:tcPr>
            <w:tcW w:w="0" w:type="auto"/>
            <w:vAlign w:val="center"/>
            <w:hideMark/>
          </w:tcPr>
          <w:p w14:paraId="78F77FCE" w14:textId="77777777" w:rsidR="00361C5A" w:rsidRDefault="00361C5A">
            <w:r>
              <w:t>Ideal Ecosystem</w:t>
            </w:r>
          </w:p>
        </w:tc>
        <w:tc>
          <w:tcPr>
            <w:tcW w:w="0" w:type="auto"/>
            <w:vAlign w:val="center"/>
            <w:hideMark/>
          </w:tcPr>
          <w:p w14:paraId="49EEFBF8" w14:textId="77777777" w:rsidR="00361C5A" w:rsidRDefault="00361C5A">
            <w:r>
              <w:t>AI Feature</w:t>
            </w:r>
          </w:p>
        </w:tc>
      </w:tr>
      <w:tr w:rsidR="00361C5A" w14:paraId="42DE74AC" w14:textId="77777777" w:rsidTr="00361C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2C753" w14:textId="77777777" w:rsidR="00361C5A" w:rsidRDefault="00361C5A">
            <w:r>
              <w:rPr>
                <w:b/>
                <w:bCs/>
              </w:rPr>
              <w:t>Salesforce</w:t>
            </w:r>
          </w:p>
        </w:tc>
        <w:tc>
          <w:tcPr>
            <w:tcW w:w="0" w:type="auto"/>
            <w:vAlign w:val="center"/>
            <w:hideMark/>
          </w:tcPr>
          <w:p w14:paraId="7915894D" w14:textId="77777777" w:rsidR="00361C5A" w:rsidRDefault="00361C5A">
            <w:r>
              <w:t>Customization</w:t>
            </w:r>
          </w:p>
        </w:tc>
        <w:tc>
          <w:tcPr>
            <w:tcW w:w="0" w:type="auto"/>
            <w:vAlign w:val="center"/>
            <w:hideMark/>
          </w:tcPr>
          <w:p w14:paraId="4A413A1F" w14:textId="77777777" w:rsidR="00361C5A" w:rsidRDefault="00361C5A">
            <w:r>
              <w:t>High-growth / Custom</w:t>
            </w:r>
          </w:p>
        </w:tc>
        <w:tc>
          <w:tcPr>
            <w:tcW w:w="0" w:type="auto"/>
            <w:vAlign w:val="center"/>
            <w:hideMark/>
          </w:tcPr>
          <w:p w14:paraId="435F8783" w14:textId="77777777" w:rsidR="00361C5A" w:rsidRDefault="00361C5A">
            <w:r>
              <w:t>Agentforce / Einstein</w:t>
            </w:r>
          </w:p>
        </w:tc>
      </w:tr>
      <w:tr w:rsidR="00361C5A" w14:paraId="76321FE2" w14:textId="77777777" w:rsidTr="00361C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EBA48" w14:textId="77777777" w:rsidR="00361C5A" w:rsidRDefault="00361C5A">
            <w:r>
              <w:rPr>
                <w:b/>
                <w:bCs/>
              </w:rPr>
              <w:t>Microsoft</w:t>
            </w:r>
          </w:p>
        </w:tc>
        <w:tc>
          <w:tcPr>
            <w:tcW w:w="0" w:type="auto"/>
            <w:vAlign w:val="center"/>
            <w:hideMark/>
          </w:tcPr>
          <w:p w14:paraId="7AAD4727" w14:textId="77777777" w:rsidR="00361C5A" w:rsidRDefault="00361C5A">
            <w:r>
              <w:t>Tool Unification</w:t>
            </w:r>
          </w:p>
        </w:tc>
        <w:tc>
          <w:tcPr>
            <w:tcW w:w="0" w:type="auto"/>
            <w:vAlign w:val="center"/>
            <w:hideMark/>
          </w:tcPr>
          <w:p w14:paraId="648F8BB1" w14:textId="77777777" w:rsidR="00361C5A" w:rsidRDefault="00361C5A">
            <w:r>
              <w:t>Windows / Azure</w:t>
            </w:r>
          </w:p>
        </w:tc>
        <w:tc>
          <w:tcPr>
            <w:tcW w:w="0" w:type="auto"/>
            <w:vAlign w:val="center"/>
            <w:hideMark/>
          </w:tcPr>
          <w:p w14:paraId="71EEEE1F" w14:textId="77777777" w:rsidR="00361C5A" w:rsidRDefault="00361C5A">
            <w:r>
              <w:t>Copilot</w:t>
            </w:r>
          </w:p>
        </w:tc>
      </w:tr>
      <w:tr w:rsidR="00361C5A" w14:paraId="26329A7C" w14:textId="77777777" w:rsidTr="00361C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E0E6B" w14:textId="77777777" w:rsidR="00361C5A" w:rsidRDefault="00361C5A">
            <w:r>
              <w:rPr>
                <w:b/>
                <w:bCs/>
              </w:rPr>
              <w:t>Oracle</w:t>
            </w:r>
          </w:p>
        </w:tc>
        <w:tc>
          <w:tcPr>
            <w:tcW w:w="0" w:type="auto"/>
            <w:vAlign w:val="center"/>
            <w:hideMark/>
          </w:tcPr>
          <w:p w14:paraId="5C7C1FAC" w14:textId="77777777" w:rsidR="00361C5A" w:rsidRDefault="00361C5A">
            <w:r>
              <w:t>Big Data / ERP</w:t>
            </w:r>
          </w:p>
        </w:tc>
        <w:tc>
          <w:tcPr>
            <w:tcW w:w="0" w:type="auto"/>
            <w:vAlign w:val="center"/>
            <w:hideMark/>
          </w:tcPr>
          <w:p w14:paraId="20D7EC9E" w14:textId="77777777" w:rsidR="00361C5A" w:rsidRDefault="00361C5A">
            <w:r>
              <w:t>Oracle Cloud</w:t>
            </w:r>
          </w:p>
        </w:tc>
        <w:tc>
          <w:tcPr>
            <w:tcW w:w="0" w:type="auto"/>
            <w:vAlign w:val="center"/>
            <w:hideMark/>
          </w:tcPr>
          <w:p w14:paraId="169D28CA" w14:textId="77777777" w:rsidR="00361C5A" w:rsidRDefault="00361C5A">
            <w:r>
              <w:t>AI-driven Forecasting</w:t>
            </w:r>
          </w:p>
        </w:tc>
      </w:tr>
      <w:tr w:rsidR="00361C5A" w14:paraId="692A9CB8" w14:textId="77777777" w:rsidTr="00361C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D5D5C" w14:textId="77777777" w:rsidR="00361C5A" w:rsidRDefault="00361C5A">
            <w:r>
              <w:rPr>
                <w:b/>
                <w:bCs/>
              </w:rPr>
              <w:t>SAP</w:t>
            </w:r>
          </w:p>
        </w:tc>
        <w:tc>
          <w:tcPr>
            <w:tcW w:w="0" w:type="auto"/>
            <w:vAlign w:val="center"/>
            <w:hideMark/>
          </w:tcPr>
          <w:p w14:paraId="5ED39C37" w14:textId="77777777" w:rsidR="00361C5A" w:rsidRDefault="00361C5A">
            <w:r>
              <w:t>Process Depth</w:t>
            </w:r>
          </w:p>
        </w:tc>
        <w:tc>
          <w:tcPr>
            <w:tcW w:w="0" w:type="auto"/>
            <w:vAlign w:val="center"/>
            <w:hideMark/>
          </w:tcPr>
          <w:p w14:paraId="771CC551" w14:textId="77777777" w:rsidR="00361C5A" w:rsidRDefault="00361C5A">
            <w:r>
              <w:t>SAP S/4HANA</w:t>
            </w:r>
          </w:p>
        </w:tc>
        <w:tc>
          <w:tcPr>
            <w:tcW w:w="0" w:type="auto"/>
            <w:vAlign w:val="center"/>
            <w:hideMark/>
          </w:tcPr>
          <w:p w14:paraId="25CA9E60" w14:textId="77777777" w:rsidR="00361C5A" w:rsidRDefault="00361C5A">
            <w:r>
              <w:t>Native ERP Agents</w:t>
            </w:r>
          </w:p>
        </w:tc>
      </w:tr>
      <w:tr w:rsidR="00361C5A" w14:paraId="78C013E7" w14:textId="77777777" w:rsidTr="00361C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B2280" w14:textId="77777777" w:rsidR="00361C5A" w:rsidRDefault="00361C5A">
            <w:r>
              <w:rPr>
                <w:b/>
                <w:bCs/>
              </w:rPr>
              <w:t>HubSpot</w:t>
            </w:r>
          </w:p>
        </w:tc>
        <w:tc>
          <w:tcPr>
            <w:tcW w:w="0" w:type="auto"/>
            <w:vAlign w:val="center"/>
            <w:hideMark/>
          </w:tcPr>
          <w:p w14:paraId="65F7524D" w14:textId="77777777" w:rsidR="00361C5A" w:rsidRDefault="00361C5A">
            <w:r>
              <w:t>User Adoption</w:t>
            </w:r>
          </w:p>
        </w:tc>
        <w:tc>
          <w:tcPr>
            <w:tcW w:w="0" w:type="auto"/>
            <w:vAlign w:val="center"/>
            <w:hideMark/>
          </w:tcPr>
          <w:p w14:paraId="5C1D50F4" w14:textId="77777777" w:rsidR="00361C5A" w:rsidRDefault="00361C5A">
            <w:r>
              <w:t>Inbound / Digital</w:t>
            </w:r>
          </w:p>
        </w:tc>
        <w:tc>
          <w:tcPr>
            <w:tcW w:w="0" w:type="auto"/>
            <w:vAlign w:val="center"/>
            <w:hideMark/>
          </w:tcPr>
          <w:p w14:paraId="6BB77994" w14:textId="77777777" w:rsidR="00361C5A" w:rsidRDefault="00361C5A">
            <w:r>
              <w:t>Breeze AI</w:t>
            </w:r>
          </w:p>
        </w:tc>
      </w:tr>
    </w:tbl>
    <w:p w14:paraId="7BC88FE8" w14:textId="77777777" w:rsidR="00361C5A" w:rsidRDefault="00361C5A" w:rsidP="00361C5A">
      <w:r>
        <w:rPr>
          <w:rStyle w:val="export-sheets-button"/>
        </w:rPr>
        <w:t>Export to Sheets</w:t>
      </w:r>
    </w:p>
    <w:p w14:paraId="5845B562" w14:textId="77777777" w:rsidR="00361C5A" w:rsidRDefault="00361C5A" w:rsidP="00361C5A">
      <w:pPr>
        <w:pStyle w:val="NormalWeb"/>
      </w:pPr>
      <w:r>
        <w:rPr>
          <w:b/>
          <w:bCs/>
        </w:rPr>
        <w:t>Would you like me to compare the specific pricing structures or implementation timelines for any of these platforms?</w:t>
      </w:r>
    </w:p>
    <w:p w14:paraId="0B817541" w14:textId="77777777" w:rsidR="007B3033" w:rsidRPr="005D7D02" w:rsidRDefault="007B3033" w:rsidP="005D7D02">
      <w:bookmarkStart w:id="0" w:name="_GoBack"/>
      <w:bookmarkEnd w:id="0"/>
    </w:p>
    <w:sectPr w:rsidR="007B3033" w:rsidRPr="005D7D0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675FDC"/>
    <w:multiLevelType w:val="multilevel"/>
    <w:tmpl w:val="AEF20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D52EC"/>
    <w:multiLevelType w:val="multilevel"/>
    <w:tmpl w:val="FF82C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2C57E4"/>
    <w:multiLevelType w:val="multilevel"/>
    <w:tmpl w:val="3040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59570F"/>
    <w:multiLevelType w:val="multilevel"/>
    <w:tmpl w:val="4F002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901D7D"/>
    <w:multiLevelType w:val="multilevel"/>
    <w:tmpl w:val="F5B48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1E06E2"/>
    <w:multiLevelType w:val="multilevel"/>
    <w:tmpl w:val="707A6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EF474F"/>
    <w:multiLevelType w:val="multilevel"/>
    <w:tmpl w:val="E6246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084238"/>
    <w:multiLevelType w:val="multilevel"/>
    <w:tmpl w:val="3DAEA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D9062C"/>
    <w:multiLevelType w:val="multilevel"/>
    <w:tmpl w:val="E228D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C233A3"/>
    <w:multiLevelType w:val="multilevel"/>
    <w:tmpl w:val="74267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6F3FD8"/>
    <w:multiLevelType w:val="multilevel"/>
    <w:tmpl w:val="17CE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735229"/>
    <w:multiLevelType w:val="multilevel"/>
    <w:tmpl w:val="4A588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9"/>
  </w:num>
  <w:num w:numId="3">
    <w:abstractNumId w:val="7"/>
  </w:num>
  <w:num w:numId="4">
    <w:abstractNumId w:val="11"/>
  </w:num>
  <w:num w:numId="5">
    <w:abstractNumId w:val="10"/>
  </w:num>
  <w:num w:numId="6">
    <w:abstractNumId w:val="0"/>
  </w:num>
  <w:num w:numId="7">
    <w:abstractNumId w:val="1"/>
  </w:num>
  <w:num w:numId="8">
    <w:abstractNumId w:val="8"/>
  </w:num>
  <w:num w:numId="9">
    <w:abstractNumId w:val="4"/>
  </w:num>
  <w:num w:numId="10">
    <w:abstractNumId w:val="6"/>
  </w:num>
  <w:num w:numId="11">
    <w:abstractNumId w:val="3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033"/>
    <w:rsid w:val="00361C5A"/>
    <w:rsid w:val="005D7D02"/>
    <w:rsid w:val="007B3033"/>
    <w:rsid w:val="00AB4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4666C0C-AD7D-4272-8C3A-2166A8C28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1C5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B4D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Heading4">
    <w:name w:val="heading 4"/>
    <w:basedOn w:val="Normal"/>
    <w:link w:val="Heading4Char"/>
    <w:uiPriority w:val="9"/>
    <w:qFormat/>
    <w:rsid w:val="00AB4DD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B4DD0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customStyle="1" w:styleId="Heading4Char">
    <w:name w:val="Heading 4 Char"/>
    <w:basedOn w:val="DefaultParagraphFont"/>
    <w:link w:val="Heading4"/>
    <w:uiPriority w:val="9"/>
    <w:rsid w:val="00AB4DD0"/>
    <w:rPr>
      <w:rFonts w:ascii="Times New Roman" w:eastAsia="Times New Roman" w:hAnsi="Times New Roman" w:cs="Times New Roman"/>
      <w:b/>
      <w:bCs/>
      <w:sz w:val="24"/>
      <w:szCs w:val="24"/>
      <w:lang w:eastAsia="tr-TR"/>
    </w:rPr>
  </w:style>
  <w:style w:type="paragraph" w:customStyle="1" w:styleId="query-text-line">
    <w:name w:val="query-text-line"/>
    <w:basedOn w:val="Normal"/>
    <w:rsid w:val="00AB4D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AB4D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1C5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citation-331">
    <w:name w:val="citation-331"/>
    <w:basedOn w:val="DefaultParagraphFont"/>
    <w:rsid w:val="00361C5A"/>
  </w:style>
  <w:style w:type="character" w:customStyle="1" w:styleId="citation-330">
    <w:name w:val="citation-330"/>
    <w:basedOn w:val="DefaultParagraphFont"/>
    <w:rsid w:val="00361C5A"/>
  </w:style>
  <w:style w:type="character" w:customStyle="1" w:styleId="button-label">
    <w:name w:val="button-label"/>
    <w:basedOn w:val="DefaultParagraphFont"/>
    <w:rsid w:val="00361C5A"/>
  </w:style>
  <w:style w:type="character" w:customStyle="1" w:styleId="citation-329">
    <w:name w:val="citation-329"/>
    <w:basedOn w:val="DefaultParagraphFont"/>
    <w:rsid w:val="00361C5A"/>
  </w:style>
  <w:style w:type="character" w:customStyle="1" w:styleId="citation-328">
    <w:name w:val="citation-328"/>
    <w:basedOn w:val="DefaultParagraphFont"/>
    <w:rsid w:val="00361C5A"/>
  </w:style>
  <w:style w:type="character" w:customStyle="1" w:styleId="citation-327">
    <w:name w:val="citation-327"/>
    <w:basedOn w:val="DefaultParagraphFont"/>
    <w:rsid w:val="00361C5A"/>
  </w:style>
  <w:style w:type="character" w:customStyle="1" w:styleId="citation-326">
    <w:name w:val="citation-326"/>
    <w:basedOn w:val="DefaultParagraphFont"/>
    <w:rsid w:val="00361C5A"/>
  </w:style>
  <w:style w:type="character" w:customStyle="1" w:styleId="citation-325">
    <w:name w:val="citation-325"/>
    <w:basedOn w:val="DefaultParagraphFont"/>
    <w:rsid w:val="00361C5A"/>
  </w:style>
  <w:style w:type="character" w:customStyle="1" w:styleId="citation-324">
    <w:name w:val="citation-324"/>
    <w:basedOn w:val="DefaultParagraphFont"/>
    <w:rsid w:val="00361C5A"/>
  </w:style>
  <w:style w:type="character" w:customStyle="1" w:styleId="citation-323">
    <w:name w:val="citation-323"/>
    <w:basedOn w:val="DefaultParagraphFont"/>
    <w:rsid w:val="00361C5A"/>
  </w:style>
  <w:style w:type="character" w:customStyle="1" w:styleId="citation-322">
    <w:name w:val="citation-322"/>
    <w:basedOn w:val="DefaultParagraphFont"/>
    <w:rsid w:val="00361C5A"/>
  </w:style>
  <w:style w:type="character" w:customStyle="1" w:styleId="citation-321">
    <w:name w:val="citation-321"/>
    <w:basedOn w:val="DefaultParagraphFont"/>
    <w:rsid w:val="00361C5A"/>
  </w:style>
  <w:style w:type="character" w:customStyle="1" w:styleId="citation-320">
    <w:name w:val="citation-320"/>
    <w:basedOn w:val="DefaultParagraphFont"/>
    <w:rsid w:val="00361C5A"/>
  </w:style>
  <w:style w:type="character" w:customStyle="1" w:styleId="citation-319">
    <w:name w:val="citation-319"/>
    <w:basedOn w:val="DefaultParagraphFont"/>
    <w:rsid w:val="00361C5A"/>
  </w:style>
  <w:style w:type="character" w:customStyle="1" w:styleId="export-sheets-button">
    <w:name w:val="export-sheets-button"/>
    <w:basedOn w:val="DefaultParagraphFont"/>
    <w:rsid w:val="00361C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517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89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30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18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179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5741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766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7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9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75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07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224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525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824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826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27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463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22234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925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826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79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225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65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855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14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387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025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568</Words>
  <Characters>3238</Characters>
  <Application>Microsoft Office Word</Application>
  <DocSecurity>0</DocSecurity>
  <Lines>26</Lines>
  <Paragraphs>7</Paragraphs>
  <ScaleCrop>false</ScaleCrop>
  <Company>Dokuz Eylül Üniversitesi</Company>
  <LinksUpToDate>false</LinksUpToDate>
  <CharactersWithSpaces>3799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ömer aydin</dc:creator>
  <cp:keywords/>
  <dc:description/>
  <cp:lastModifiedBy>ömer aydin</cp:lastModifiedBy>
  <cp:revision>4</cp:revision>
  <dcterms:created xsi:type="dcterms:W3CDTF">2025-12-16T20:16:00Z</dcterms:created>
  <dcterms:modified xsi:type="dcterms:W3CDTF">2026-03-26T17:38:00Z</dcterms:modified>
</cp:coreProperties>
</file>