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1351BE" w14:textId="77777777" w:rsidR="009A7EEC" w:rsidRDefault="009A7EEC" w:rsidP="009A7EEC">
      <w:pPr>
        <w:pStyle w:val="font-claude-response-body"/>
      </w:pPr>
      <w:r>
        <w:t>I'll search for current information on reliable AI tools being used for medical decision support.</w:t>
      </w:r>
    </w:p>
    <w:p w14:paraId="0633CC9B" w14:textId="77777777" w:rsidR="009A7EEC" w:rsidRDefault="009A7EEC" w:rsidP="009A7EEC">
      <w:pPr>
        <w:rPr>
          <w:rStyle w:val="inline-flex"/>
        </w:rPr>
      </w:pPr>
      <w:r>
        <w:rPr>
          <w:rStyle w:val="truncate"/>
        </w:rPr>
        <w:t>Searched the web</w:t>
      </w:r>
    </w:p>
    <w:p w14:paraId="0C3CFCFA" w14:textId="77777777" w:rsidR="009A7EEC" w:rsidRDefault="009A7EEC" w:rsidP="009A7EEC">
      <w:r>
        <w:rPr>
          <w:rStyle w:val="sr-only"/>
        </w:rPr>
        <w:t>Searched the web</w:t>
      </w:r>
    </w:p>
    <w:p w14:paraId="1AC1ABCF" w14:textId="77777777" w:rsidR="009A7EEC" w:rsidRDefault="009A7EEC" w:rsidP="009A7EEC">
      <w:pPr>
        <w:pStyle w:val="font-claude-response-body"/>
      </w:pPr>
      <w:r>
        <w:t>Based on current research, here are the reliable AI tools for medical decision support:</w:t>
      </w:r>
    </w:p>
    <w:p w14:paraId="12E8E564" w14:textId="77777777" w:rsidR="009A7EEC" w:rsidRDefault="009A7EEC" w:rsidP="009A7EEC">
      <w:pPr>
        <w:pStyle w:val="Heading2"/>
      </w:pPr>
      <w:r>
        <w:t>Clinical Decision Support Platforms</w:t>
      </w:r>
    </w:p>
    <w:p w14:paraId="0BB4E1DB" w14:textId="77777777" w:rsidR="009A7EEC" w:rsidRDefault="009A7EEC" w:rsidP="009A7EEC">
      <w:pPr>
        <w:pStyle w:val="font-claude-response-body"/>
      </w:pPr>
      <w:r>
        <w:t xml:space="preserve">UpToDate Expert AI provides evidence-based generative AI decision support grounded in rigorously vetted, expert-authored content </w:t>
      </w:r>
      <w:hyperlink r:id="rId4" w:tgtFrame="_blank" w:history="1">
        <w:r>
          <w:rPr>
            <w:rStyle w:val="text-nowrap"/>
            <w:color w:val="0000FF"/>
            <w:u w:val="single"/>
          </w:rPr>
          <w:t>Wolters Kluwer</w:t>
        </w:r>
      </w:hyperlink>
      <w:r>
        <w:t xml:space="preserve">, offering conversational clinical guidance with transparent citations. DynaMed's Dyna AI uses retrieval-augmented generation exclusively over curated medical content with independent oversight from a Generative AI Advisory Council </w:t>
      </w:r>
      <w:hyperlink r:id="rId5" w:tgtFrame="_blank" w:history="1">
        <w:r>
          <w:rPr>
            <w:rStyle w:val="text-nowrap"/>
            <w:color w:val="0000FF"/>
            <w:u w:val="single"/>
          </w:rPr>
          <w:t>iatroX</w:t>
        </w:r>
      </w:hyperlink>
      <w:r>
        <w:t>.</w:t>
      </w:r>
    </w:p>
    <w:p w14:paraId="35494EB3" w14:textId="77777777" w:rsidR="009A7EEC" w:rsidRDefault="009A7EEC" w:rsidP="009A7EEC">
      <w:pPr>
        <w:pStyle w:val="font-claude-response-body"/>
      </w:pPr>
      <w:r>
        <w:t xml:space="preserve">For UK clinicians specifically, iatroX is a free, MHRA-registered platform built around NICE pathways, clinical knowledge summaries, and UK-specific guidelines </w:t>
      </w:r>
      <w:hyperlink r:id="rId6" w:tgtFrame="_blank" w:history="1">
        <w:r>
          <w:rPr>
            <w:rStyle w:val="text-nowrap"/>
            <w:color w:val="0000FF"/>
            <w:u w:val="single"/>
          </w:rPr>
          <w:t>iatroX</w:t>
        </w:r>
      </w:hyperlink>
      <w:r>
        <w:t>.</w:t>
      </w:r>
    </w:p>
    <w:p w14:paraId="585CEF16" w14:textId="77777777" w:rsidR="009A7EEC" w:rsidRDefault="009A7EEC" w:rsidP="009A7EEC">
      <w:pPr>
        <w:pStyle w:val="font-claude-response-body"/>
      </w:pPr>
      <w:r>
        <w:t xml:space="preserve">Glass Health offers AI-powered ambient scribing and clinical decision support for documentation, diagnosis, and treatment planning </w:t>
      </w:r>
      <w:hyperlink r:id="rId7" w:tgtFrame="_blank" w:history="1">
        <w:r>
          <w:rPr>
            <w:rStyle w:val="text-nowrap"/>
            <w:color w:val="0000FF"/>
            <w:u w:val="single"/>
          </w:rPr>
          <w:t>Glass Health</w:t>
        </w:r>
      </w:hyperlink>
      <w:r>
        <w:t>.</w:t>
      </w:r>
    </w:p>
    <w:p w14:paraId="004CF277" w14:textId="77777777" w:rsidR="009A7EEC" w:rsidRDefault="009A7EEC" w:rsidP="009A7EEC">
      <w:pPr>
        <w:pStyle w:val="Heading2"/>
      </w:pPr>
      <w:r>
        <w:t>FDA-Approved Diagnostic Tools</w:t>
      </w:r>
    </w:p>
    <w:p w14:paraId="22FE800C" w14:textId="77777777" w:rsidR="009A7EEC" w:rsidRDefault="009A7EEC" w:rsidP="009A7EEC">
      <w:pPr>
        <w:pStyle w:val="font-claude-response-body"/>
      </w:pPr>
      <w:r>
        <w:t xml:space="preserve">Over 1,240 AI-enabled medical devices have received FDA approval, with the majority approved in just the last three years </w:t>
      </w:r>
      <w:hyperlink r:id="rId8" w:tgtFrame="_blank" w:history="1">
        <w:r>
          <w:rPr>
            <w:rStyle w:val="text-nowrap"/>
            <w:color w:val="0000FF"/>
            <w:u w:val="single"/>
          </w:rPr>
          <w:t>American Hospital Association</w:t>
        </w:r>
      </w:hyperlink>
      <w:r>
        <w:t>. Key examples include:</w:t>
      </w:r>
    </w:p>
    <w:p w14:paraId="18830469" w14:textId="77777777" w:rsidR="009A7EEC" w:rsidRDefault="009A7EEC" w:rsidP="009A7EEC">
      <w:pPr>
        <w:pStyle w:val="font-claude-response-body"/>
      </w:pPr>
      <w:r>
        <w:rPr>
          <w:rStyle w:val="Strong"/>
        </w:rPr>
        <w:t>Radiology &amp; Imaging:</w:t>
      </w:r>
      <w:r>
        <w:t xml:space="preserve"> Aidoc is deployed in more than 1,600 medical centers worldwide, using deep learning to detect intracranial hemorrhage, pulmonary embolism, spine fractures, and other acute abnormalities </w:t>
      </w:r>
      <w:hyperlink r:id="rId9" w:tgtFrame="_blank" w:history="1">
        <w:r>
          <w:rPr>
            <w:rStyle w:val="text-nowrap"/>
            <w:color w:val="0000FF"/>
            <w:u w:val="single"/>
          </w:rPr>
          <w:t>IntuitionLabs</w:t>
        </w:r>
      </w:hyperlink>
      <w:r>
        <w:t>.</w:t>
      </w:r>
    </w:p>
    <w:p w14:paraId="754CECE9" w14:textId="77777777" w:rsidR="009A7EEC" w:rsidRDefault="009A7EEC" w:rsidP="009A7EEC">
      <w:pPr>
        <w:pStyle w:val="font-claude-response-body"/>
      </w:pPr>
      <w:r>
        <w:rPr>
          <w:rStyle w:val="Strong"/>
        </w:rPr>
        <w:t>Diabetic Retinopathy:</w:t>
      </w:r>
      <w:r>
        <w:t xml:space="preserve"> IDx-DR is the first FDA-approved autonomous AI diagnostic system for diabetic retinopathy, analyzing retinal images without requiring an ophthalmologist </w:t>
      </w:r>
      <w:hyperlink r:id="rId10" w:tgtFrame="_blank" w:history="1">
        <w:r>
          <w:rPr>
            <w:rStyle w:val="text-nowrap"/>
            <w:color w:val="0000FF"/>
            <w:u w:val="single"/>
          </w:rPr>
          <w:t>Hivenet</w:t>
        </w:r>
      </w:hyperlink>
      <w:r>
        <w:t>.</w:t>
      </w:r>
    </w:p>
    <w:p w14:paraId="23298C66" w14:textId="77777777" w:rsidR="009A7EEC" w:rsidRDefault="009A7EEC" w:rsidP="009A7EEC">
      <w:pPr>
        <w:pStyle w:val="font-claude-response-body"/>
      </w:pPr>
      <w:r>
        <w:rPr>
          <w:rStyle w:val="Strong"/>
        </w:rPr>
        <w:t>Sepsis Detection:</w:t>
      </w:r>
      <w:r>
        <w:t xml:space="preserve"> Prenosis ImmunoScore analyzes 22 diagnostic parameters using machine learning to assess sepsis risk within 24 hours </w:t>
      </w:r>
      <w:hyperlink r:id="rId11" w:tgtFrame="_blank" w:history="1">
        <w:r>
          <w:rPr>
            <w:rStyle w:val="text-nowrap"/>
            <w:color w:val="0000FF"/>
            <w:u w:val="single"/>
          </w:rPr>
          <w:t>DelveInsight</w:t>
        </w:r>
      </w:hyperlink>
      <w:r>
        <w:t>.</w:t>
      </w:r>
    </w:p>
    <w:p w14:paraId="0BFBF24F" w14:textId="77777777" w:rsidR="009A7EEC" w:rsidRDefault="009A7EEC" w:rsidP="009A7EEC">
      <w:pPr>
        <w:pStyle w:val="font-claude-response-body"/>
      </w:pPr>
      <w:r>
        <w:rPr>
          <w:rStyle w:val="Strong"/>
        </w:rPr>
        <w:t>Cardiology:</w:t>
      </w:r>
      <w:r>
        <w:t xml:space="preserve"> The ASSURE Wearable ECG system uses Adaptive Patient Intelligence technology that learns and adapts to a patient's heart rhythm </w:t>
      </w:r>
      <w:hyperlink r:id="rId12" w:tgtFrame="_blank" w:history="1">
        <w:r>
          <w:rPr>
            <w:rStyle w:val="text-nowrap"/>
            <w:color w:val="0000FF"/>
            <w:u w:val="single"/>
          </w:rPr>
          <w:t>DelveInsight</w:t>
        </w:r>
      </w:hyperlink>
      <w:r>
        <w:t>.</w:t>
      </w:r>
    </w:p>
    <w:p w14:paraId="5B8B7E97" w14:textId="77777777" w:rsidR="009A7EEC" w:rsidRDefault="009A7EEC" w:rsidP="009A7EEC">
      <w:pPr>
        <w:pStyle w:val="Heading2"/>
      </w:pPr>
      <w:r>
        <w:t>Critical Considerations</w:t>
      </w:r>
    </w:p>
    <w:p w14:paraId="1184420C" w14:textId="77777777" w:rsidR="009A7EEC" w:rsidRDefault="009A7EEC" w:rsidP="009A7EEC">
      <w:pPr>
        <w:pStyle w:val="font-claude-response-body"/>
      </w:pPr>
      <w:r>
        <w:t xml:space="preserve">Research from CU Anschutz found that diagnostic errors occur in roughly 20-25% of patient records </w:t>
      </w:r>
      <w:hyperlink r:id="rId13" w:tgtFrame="_blank" w:history="1">
        <w:r>
          <w:rPr>
            <w:rStyle w:val="text-nowrap"/>
            <w:color w:val="0000FF"/>
            <w:u w:val="single"/>
          </w:rPr>
          <w:t>CU Anschutz</w:t>
        </w:r>
      </w:hyperlink>
      <w:r>
        <w:t>, highlighting the potential value of AI support. However, researchers emphasize important safety concerns:</w:t>
      </w:r>
    </w:p>
    <w:p w14:paraId="19E67C03" w14:textId="77777777" w:rsidR="009A7EEC" w:rsidRDefault="009A7EEC" w:rsidP="009A7EEC">
      <w:pPr>
        <w:pStyle w:val="font-claude-response-body"/>
      </w:pPr>
      <w:r>
        <w:lastRenderedPageBreak/>
        <w:t xml:space="preserve">AI systems can sound very confident while being profoundly wrong, and adding demographic data can actually flip an AI's predicted diagnosis even when clinical evidence remains unchanged </w:t>
      </w:r>
      <w:hyperlink r:id="rId14" w:tgtFrame="_blank" w:history="1">
        <w:r>
          <w:rPr>
            <w:rStyle w:val="text-nowrap"/>
            <w:color w:val="0000FF"/>
            <w:u w:val="single"/>
          </w:rPr>
          <w:t>CU Anschutz</w:t>
        </w:r>
      </w:hyperlink>
      <w:r>
        <w:t>. This reveals risks of AI prioritizing demographic cues over vital signs and laboratory data.</w:t>
      </w:r>
    </w:p>
    <w:p w14:paraId="3A3034AA" w14:textId="77777777" w:rsidR="009A7EEC" w:rsidRDefault="009A7EEC" w:rsidP="009A7EEC">
      <w:pPr>
        <w:pStyle w:val="font-claude-response-body"/>
      </w:pPr>
      <w:r>
        <w:t xml:space="preserve">Challenges include resistance to change among clinicians, concerns about workflow disruption, data silos within healthcare systems, and the need for standardized data formats and interoperability </w:t>
      </w:r>
      <w:hyperlink r:id="rId15" w:tgtFrame="_blank" w:history="1">
        <w:r>
          <w:rPr>
            <w:rStyle w:val="text-nowrap"/>
            <w:color w:val="0000FF"/>
            <w:u w:val="single"/>
          </w:rPr>
          <w:t>PubMed Central</w:t>
        </w:r>
      </w:hyperlink>
      <w:r>
        <w:t>.</w:t>
      </w:r>
    </w:p>
    <w:p w14:paraId="666132B9" w14:textId="77777777" w:rsidR="009A7EEC" w:rsidRDefault="009A7EEC" w:rsidP="009A7EEC">
      <w:pPr>
        <w:pStyle w:val="Heading2"/>
      </w:pPr>
      <w:r>
        <w:t>Regulatory Framework</w:t>
      </w:r>
    </w:p>
    <w:p w14:paraId="39E3E2A9" w14:textId="77777777" w:rsidR="009A7EEC" w:rsidRDefault="009A7EEC" w:rsidP="009A7EEC">
      <w:pPr>
        <w:pStyle w:val="font-claude-response-body"/>
      </w:pPr>
      <w:r>
        <w:t xml:space="preserve">Since 2016, FDA-regulated AI/ML devices have sharply risen, with 97% cleared via the 510(k) pathway, though this pathway does not require independent clinical data demonstrating performance or safety </w:t>
      </w:r>
      <w:hyperlink r:id="rId16" w:tgtFrame="_blank" w:history="1">
        <w:r>
          <w:rPr>
            <w:rStyle w:val="text-nowrap"/>
            <w:color w:val="0000FF"/>
            <w:u w:val="single"/>
          </w:rPr>
          <w:t>PubMed Central</w:t>
        </w:r>
      </w:hyperlink>
      <w:r>
        <w:t xml:space="preserve">. The FDA published guidance in 2025 requiring AI-enabled products to clearly state they use AI, provide details on inputs and outputs, disclose performance measures and potential biases, and explain how updates will occur </w:t>
      </w:r>
      <w:hyperlink r:id="rId17" w:tgtFrame="_blank" w:history="1">
        <w:r>
          <w:rPr>
            <w:rStyle w:val="text-nowrap"/>
            <w:color w:val="0000FF"/>
            <w:u w:val="single"/>
          </w:rPr>
          <w:t>Bipartisan Policy Center</w:t>
        </w:r>
      </w:hyperlink>
      <w:r>
        <w:t>.</w:t>
      </w:r>
    </w:p>
    <w:p w14:paraId="767B461B" w14:textId="77777777" w:rsidR="009A7EEC" w:rsidRDefault="009A7EEC" w:rsidP="009A7EEC">
      <w:pPr>
        <w:pStyle w:val="font-claude-response-body"/>
      </w:pPr>
      <w:r>
        <w:t xml:space="preserve">The field is evolving rapidly, with AI demonstrating capabilities for predicting and classifying diagnoses while providing personalized information to support shared decision-making </w:t>
      </w:r>
      <w:hyperlink r:id="rId18" w:tgtFrame="_blank" w:history="1">
        <w:r>
          <w:rPr>
            <w:rStyle w:val="text-nowrap"/>
            <w:color w:val="0000FF"/>
            <w:u w:val="single"/>
          </w:rPr>
          <w:t>PubMed Central</w:t>
        </w:r>
      </w:hyperlink>
      <w:r>
        <w:t>. However, human oversight remains essential—these tools augment rather than replace clinical judgment.</w:t>
      </w:r>
    </w:p>
    <w:p w14:paraId="2EDFDA93" w14:textId="77777777" w:rsidR="00D05BE3" w:rsidRPr="00AE366B" w:rsidRDefault="00D05BE3" w:rsidP="00AE366B">
      <w:bookmarkStart w:id="0" w:name="_GoBack"/>
      <w:bookmarkEnd w:id="0"/>
    </w:p>
    <w:sectPr w:rsidR="00D05BE3" w:rsidRPr="00AE36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E3"/>
    <w:rsid w:val="00454B49"/>
    <w:rsid w:val="009A7EEC"/>
    <w:rsid w:val="00AE366B"/>
    <w:rsid w:val="00D0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F4DB21-D4AB-40C2-B8D9-FD041FFA4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4B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4B4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whitespace-pre-wrap">
    <w:name w:val="whitespace-pre-wrap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-text-500">
    <w:name w:val="text-text-500"/>
    <w:basedOn w:val="DefaultParagraphFont"/>
    <w:rsid w:val="00454B49"/>
  </w:style>
  <w:style w:type="paragraph" w:customStyle="1" w:styleId="font-claude-response-body">
    <w:name w:val="font-claude-response-bod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relative">
    <w:name w:val="relative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inline-flex">
    <w:name w:val="inline-flex"/>
    <w:basedOn w:val="DefaultParagraphFont"/>
    <w:rsid w:val="00454B49"/>
  </w:style>
  <w:style w:type="character" w:styleId="Hyperlink">
    <w:name w:val="Hyperlink"/>
    <w:basedOn w:val="DefaultParagraphFont"/>
    <w:uiPriority w:val="99"/>
    <w:semiHidden/>
    <w:unhideWhenUsed/>
    <w:rsid w:val="00454B4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54B49"/>
    <w:rPr>
      <w:b/>
      <w:bCs/>
    </w:rPr>
  </w:style>
  <w:style w:type="character" w:customStyle="1" w:styleId="text-nowrap">
    <w:name w:val="text-nowrap"/>
    <w:basedOn w:val="DefaultParagraphFont"/>
    <w:rsid w:val="00454B49"/>
  </w:style>
  <w:style w:type="character" w:customStyle="1" w:styleId="hovertext-text-300">
    <w:name w:val="hover:text-text-300"/>
    <w:basedOn w:val="DefaultParagraphFont"/>
    <w:rsid w:val="00454B49"/>
  </w:style>
  <w:style w:type="paragraph" w:customStyle="1" w:styleId="is-empty">
    <w:name w:val="is-empty"/>
    <w:basedOn w:val="Normal"/>
    <w:rsid w:val="00454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runcate">
    <w:name w:val="truncate"/>
    <w:basedOn w:val="DefaultParagraphFont"/>
    <w:rsid w:val="009A7EEC"/>
  </w:style>
  <w:style w:type="character" w:customStyle="1" w:styleId="sr-only">
    <w:name w:val="sr-only"/>
    <w:basedOn w:val="DefaultParagraphFont"/>
    <w:rsid w:val="009A7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4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8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4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5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595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1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2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06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0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88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1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6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2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91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3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9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7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7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4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9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168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9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21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9191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45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0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092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1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829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778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5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8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3233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6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335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3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2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88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56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8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466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2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62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77616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0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9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37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03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20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9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97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0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3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97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3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541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ha.org/lettercomment/2025-12-01-aha-letter-fda-ai-enabled-medical-devices" TargetMode="External"/><Relationship Id="rId13" Type="http://schemas.openxmlformats.org/officeDocument/2006/relationships/hyperlink" Target="https://news.cuanschutz.edu/dbmi/health-ai-tools-support-clinicians" TargetMode="External"/><Relationship Id="rId18" Type="http://schemas.openxmlformats.org/officeDocument/2006/relationships/hyperlink" Target="https://pmc.ncbi.nlm.nih.gov/articles/PMC10916499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lass.health/" TargetMode="External"/><Relationship Id="rId12" Type="http://schemas.openxmlformats.org/officeDocument/2006/relationships/hyperlink" Target="https://www.delveinsight.com/blog/artificial-intelligence-machine-learning-software-as-medical-device" TargetMode="External"/><Relationship Id="rId17" Type="http://schemas.openxmlformats.org/officeDocument/2006/relationships/hyperlink" Target="https://bipartisanpolicy.org/issue-brief/fda-oversight-understanding-the-regulation-of-health-ai-tool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mc.ncbi.nlm.nih.gov/articles/PMC12595527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iatrox.com/blog/best-ai-clinical-decision-support-tools-2026-uptodate-ai-dynamed-iatrox" TargetMode="External"/><Relationship Id="rId11" Type="http://schemas.openxmlformats.org/officeDocument/2006/relationships/hyperlink" Target="https://www.delveinsight.com/blog/artificial-intelligence-machine-learning-software-as-medical-device" TargetMode="External"/><Relationship Id="rId5" Type="http://schemas.openxmlformats.org/officeDocument/2006/relationships/hyperlink" Target="https://www.iatrox.com/blog/best-ai-clinical-decision-support-tools-2026-uptodate-ai-dynamed-iatrox" TargetMode="External"/><Relationship Id="rId15" Type="http://schemas.openxmlformats.org/officeDocument/2006/relationships/hyperlink" Target="https://pmc.ncbi.nlm.nih.gov/articles/PMC11073764/" TargetMode="External"/><Relationship Id="rId10" Type="http://schemas.openxmlformats.org/officeDocument/2006/relationships/hyperlink" Target="https://compute.hivenet.com/post/key-ai-tools-with-fda-approval-transforming-healthcare-and-shaping-the-future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wolterskluwer.com/en/solutions/uptodate/ai-clinical-decision-support" TargetMode="External"/><Relationship Id="rId9" Type="http://schemas.openxmlformats.org/officeDocument/2006/relationships/hyperlink" Target="https://intuitionlabs.ai/articles/ai-clinical-decision-support-evolution" TargetMode="External"/><Relationship Id="rId14" Type="http://schemas.openxmlformats.org/officeDocument/2006/relationships/hyperlink" Target="https://news.cuanschutz.edu/dbmi/health-ai-tools-support-clinicia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744</Words>
  <Characters>4242</Characters>
  <Application>Microsoft Office Word</Application>
  <DocSecurity>0</DocSecurity>
  <Lines>35</Lines>
  <Paragraphs>9</Paragraphs>
  <ScaleCrop>false</ScaleCrop>
  <Company>Dokuz Eylül Üniversitesi</Company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2025-12-16T20:18:00Z</dcterms:created>
  <dcterms:modified xsi:type="dcterms:W3CDTF">2026-03-26T20:56:00Z</dcterms:modified>
</cp:coreProperties>
</file>