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50.png" ContentType="image/png"/>
  <Override PartName="/word/media/rId57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168.png" ContentType="image/png"/>
  <Override PartName="/word/media/rId120.png" ContentType="image/png"/>
  <Override PartName="/word/media/rId73.png" ContentType="image/png"/>
  <Override PartName="/word/media/rId140.png" ContentType="image/png"/>
  <Override PartName="/word/media/rId95.png" ContentType="image/png"/>
  <Override PartName="/word/media/rId163.png" ContentType="image/png"/>
  <Override PartName="/word/media/rId61.png" ContentType="image/png"/>
  <Override PartName="/word/media/rId111.png" ContentType="image/png"/>
  <Override PartName="/word/media/rId87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Best practices for your confirmatory factor analysis</w:t>
      </w:r>
    </w:p>
    <w:p>
      <w:pPr>
        <w:pStyle w:val="Subtitle"/>
      </w:pPr>
      <w:r>
        <w:t xml:space="preserve">A JASP and lavaan tutorial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2024-03-13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provides the complete R/lavaan implementation for the confirmatory factor analysis (CFA) tutorial presented in</w:t>
      </w:r>
      <w:r>
        <w:t xml:space="preserve"> </w:t>
      </w:r>
      <w:r>
        <w:t xml:space="preserve">Rogers (2024)</w:t>
      </w:r>
      <w:r>
        <w:t xml:space="preserve">. The analyses use the WHOQOL-BREF instrument — a 24-item quality of life measure covering four domains: Psychological, Physical, Social, and Environment — with data from a Brazilian sample of 1,047 respondents</w:t>
      </w:r>
      <w:r>
        <w:t xml:space="preserve"> </w:t>
      </w:r>
      <w:r>
        <w:t xml:space="preserve">(Rogers, 2021)</w:t>
      </w:r>
      <w:r>
        <w:t xml:space="preserve">. The codes that generates the outputs for this tutorial article can be found in the notebook:</w:t>
      </w:r>
      <w:r>
        <w:t xml:space="preserve"> </w:t>
      </w:r>
      <w:hyperlink r:id="rId20">
        <w:r>
          <w:rPr>
            <w:rStyle w:val="Hyperlink"/>
          </w:rPr>
          <w:t xml:space="preserve">https://phdpablo.github.io/cfa-brm/index-preview.html</w:t>
        </w:r>
      </w:hyperlink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 central challenge in applied CFA is that items are typically measured on</w:t>
      </w:r>
      <w:r>
        <w:t xml:space="preserve"> </w:t>
      </w:r>
      <w:r>
        <w:t xml:space="preserve">ordinal Likert scales, yet many textbooks and software default to Maximum</w:t>
      </w:r>
      <w:r>
        <w:t xml:space="preserve"> </w:t>
      </w:r>
      <w:r>
        <w:t xml:space="preserve">Likelihood (ML) estimation, which assumes continuous, multivariate normal data.</w:t>
      </w:r>
      <w:r>
        <w:t xml:space="preserve"> </w:t>
      </w:r>
      <w:r>
        <w:t xml:space="preserve">As discussed in</w:t>
      </w:r>
      <w:r>
        <w:t xml:space="preserve"> </w:t>
      </w:r>
      <w:r>
        <w:t xml:space="preserve">Rogers (2024)</w:t>
      </w:r>
      <w:r>
        <w:t xml:space="preserve">, the appropriate approach for ordinal data is the</w:t>
      </w:r>
      <w:r>
        <w:t xml:space="preserve"> </w:t>
      </w:r>
      <w:r>
        <w:t xml:space="preserve">Diagonally Weighted Least Squares (DWLS) estimator — implemented as WLSMV in</w:t>
      </w:r>
      <w:r>
        <w:t xml:space="preserve"> </w:t>
      </w:r>
      <w:r>
        <w:t xml:space="preserve">lavaan — which operates on polychoric correlations rather than Pearson</w:t>
      </w:r>
      <w:r>
        <w:t xml:space="preserve"> </w:t>
      </w:r>
      <w:r>
        <w:t xml:space="preserve">correlations and does not assume normality of observed variables.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Tutorial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organized as a manuscript project: the</w:t>
            </w:r>
            <w:r>
              <w:t xml:space="preserve"> </w:t>
            </w:r>
            <w:r>
              <w:rPr>
                <w:b/>
                <w:bCs/>
              </w:rPr>
              <w:t xml:space="preserve">Article</w:t>
            </w:r>
            <w:r>
              <w:t xml:space="preserve"> </w:t>
            </w:r>
            <w:r>
              <w:t xml:space="preserve">presents</w:t>
            </w:r>
            <w:r>
              <w:t xml:space="preserve"> </w:t>
            </w:r>
            <w:r>
              <w:t xml:space="preserve">the analytical narrative and results without showing code, while the</w:t>
            </w:r>
            <w:r>
              <w:t xml:space="preserve"> </w:t>
            </w:r>
            <w:r>
              <w:rPr>
                <w:b/>
                <w:bCs/>
              </w:rPr>
              <w:t xml:space="preserve">Article Notebook</w:t>
            </w:r>
            <w:r>
              <w:t xml:space="preserve"> </w:t>
            </w:r>
            <w:r>
              <w:t xml:space="preserve">displays the full R code behind every result. Both views</w:t>
            </w:r>
            <w:r>
              <w:t xml:space="preserve"> </w:t>
            </w:r>
            <w:r>
              <w:t xml:space="preserve">share the same content — the only difference is code visibility.</w:t>
            </w:r>
          </w:p>
        </w:tc>
      </w:tr>
    </w:tbl>
    <w:bookmarkEnd w:id="24"/>
    <w:bookmarkStart w:id="29" w:name="setup"/>
    <w:p>
      <w:pPr>
        <w:pStyle w:val="Heading2"/>
      </w:pPr>
      <w:r>
        <w:t xml:space="preserve">2 Setup</w:t>
      </w:r>
    </w:p>
    <w:p>
      <w:pPr>
        <w:pStyle w:val="FirstParagraph"/>
      </w:pPr>
      <w:r>
        <w:t xml:space="preserve">We begin by loading all required R packages. 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package provides the</w:t>
      </w:r>
      <w:r>
        <w:t xml:space="preserve"> </w:t>
      </w:r>
      <w:r>
        <w:t xml:space="preserve">core CFA estimation engine;</w:t>
      </w:r>
      <w:r>
        <w:t xml:space="preserve"> </w:t>
      </w:r>
      <w:r>
        <w:rPr>
          <w:rStyle w:val="VerbatimChar"/>
        </w:rPr>
        <w:t xml:space="preserve">semTools</w:t>
      </w:r>
      <w:r>
        <w:t xml:space="preserve"> </w:t>
      </w:r>
      <w:r>
        <w:t xml:space="preserve">extends it with reliability functions and</w:t>
      </w:r>
      <w:r>
        <w:t xml:space="preserve"> </w:t>
      </w:r>
      <w:r>
        <w:t xml:space="preserve">additional diagnostics;</w:t>
      </w:r>
      <w:r>
        <w:t xml:space="preserve"> </w:t>
      </w:r>
      <w:r>
        <w:rPr>
          <w:rStyle w:val="VerbatimChar"/>
        </w:rPr>
        <w:t xml:space="preserve">semPlot</w:t>
      </w:r>
      <w:r>
        <w:t xml:space="preserve"> </w:t>
      </w:r>
      <w:r>
        <w:t xml:space="preserve">produces path diagrams;</w:t>
      </w:r>
      <w:r>
        <w:t xml:space="preserve"> </w:t>
      </w:r>
      <w:r>
        <w:rPr>
          <w:rStyle w:val="VerbatimChar"/>
        </w:rPr>
        <w:t xml:space="preserve">psych</w:t>
      </w:r>
      <w:r>
        <w:t xml:space="preserve"> </w:t>
      </w:r>
      <w:r>
        <w:t xml:space="preserve">provides</w:t>
      </w:r>
      <w:r>
        <w:t xml:space="preserve"> </w:t>
      </w:r>
      <w:r>
        <w:t xml:space="preserve">descriptive statistics and omega coefficients for bifactor models;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enables Monte Carlo simulation for power analysis; and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computes the</w:t>
      </w:r>
      <w:r>
        <w:t xml:space="preserve"> </w:t>
      </w:r>
      <w:r>
        <w:t xml:space="preserve">Dynamic Fit Index (DFI) cutoffs.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We set global options and a seed for reproducibility. The seed ensures that all</w:t>
      </w:r>
      <w:r>
        <w:t xml:space="preserve"> </w:t>
      </w:r>
      <w:r>
        <w:t xml:space="preserve">simulation-based results (power analysis) are exactly reproducible.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Note on Code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Throughout this tutorial, you will notice that some code patterns are repeated</w:t>
            </w:r>
            <w:r>
              <w:t xml:space="preserve"> </w:t>
            </w:r>
            <w:r>
              <w:t xml:space="preserve">across sections — for example, extracting fit indices, formatting factor</w:t>
            </w:r>
            <w:r>
              <w:t xml:space="preserve"> </w:t>
            </w:r>
            <w:r>
              <w:t xml:space="preserve">loadings, and building comparison tables. In a production environment, these</w:t>
            </w:r>
            <w:r>
              <w:t xml:space="preserve"> </w:t>
            </w:r>
            <w:r>
              <w:t xml:space="preserve">routines would typically be modularized into reusable R functions and sourced</w:t>
            </w:r>
            <w:r>
              <w:t xml:space="preserve"> </w:t>
            </w:r>
            <w:r>
              <w:t xml:space="preserve">from separate scripts.</w:t>
            </w:r>
          </w:p>
          <w:p>
            <w:pPr>
              <w:pStyle w:val="BodyText"/>
            </w:pPr>
            <w:r>
              <w:t xml:space="preserve">We deliberately chose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to do this. Each analysis section is</w:t>
            </w:r>
            <w:r>
              <w:t xml:space="preserve"> </w:t>
            </w:r>
            <w:r>
              <w:t xml:space="preserve">self-contained, with all code written explicitly and in sequence. This design</w:t>
            </w:r>
            <w:r>
              <w:t xml:space="preserve"> </w:t>
            </w:r>
            <w:r>
              <w:t xml:space="preserve">sacrifices automation and conciseness in favor of</w:t>
            </w:r>
            <w:r>
              <w:t xml:space="preserve"> </w:t>
            </w:r>
            <w:r>
              <w:rPr>
                <w:b/>
                <w:bCs/>
              </w:rPr>
              <w:t xml:space="preserve">transparency</w:t>
            </w:r>
            <w:r>
              <w:t xml:space="preserve">: the reader</w:t>
            </w:r>
            <w:r>
              <w:t xml:space="preserve"> </w:t>
            </w:r>
            <w:r>
              <w:t xml:space="preserve">can follow each step without navigating between files or tracing function</w:t>
            </w:r>
            <w:r>
              <w:t xml:space="preserve"> </w:t>
            </w:r>
            <w:r>
              <w:t xml:space="preserve">definitions. For a tutorial whose primary goal is to teach CFA best practices,</w:t>
            </w:r>
            <w:r>
              <w:t xml:space="preserve"> </w:t>
            </w:r>
            <w:r>
              <w:t xml:space="preserve">we believe clarity of exposition is more valuable than code elegance.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Readers who wish to adapt this workflow for their own research are encouraged</w:t>
            </w:r>
            <w:r>
              <w:t xml:space="preserve"> </w:t>
            </w:r>
            <w:r>
              <w:t xml:space="preserve">to refactor repeated patterns into functions and organize them into modular</w:t>
            </w:r>
            <w:r>
              <w:t xml:space="preserve"> </w:t>
            </w:r>
            <w:r>
              <w:t xml:space="preserve">scripts — this is, in fact, a best practice for reproducible research projects.</w:t>
            </w:r>
          </w:p>
        </w:tc>
      </w:tr>
    </w:tbl>
    <w:bookmarkEnd w:id="29"/>
    <w:bookmarkStart w:id="34" w:name="sec-etl"/>
    <w:p>
      <w:pPr>
        <w:pStyle w:val="Heading2"/>
      </w:pPr>
      <w:r>
        <w:t xml:space="preserve">3 Step 1: ETL — Extract, Transform, Load</w:t>
      </w:r>
    </w:p>
    <w:p>
      <w:pPr>
        <w:pStyle w:val="FirstParagraph"/>
      </w:pPr>
      <w:r>
        <w:t xml:space="preserve">The WHOQOL-BREF dataset is loaded directly from the Mendeley Data repository</w:t>
      </w:r>
      <w:r>
        <w:t xml:space="preserve"> </w:t>
      </w:r>
      <w:r>
        <w:t xml:space="preserve">(Rogers, 2021)</w:t>
      </w:r>
      <w:r>
        <w:t xml:space="preserve">. The data file contains N = 1,047 observations with 24 items. A</w:t>
      </w:r>
      <w:r>
        <w:t xml:space="preserve"> </w:t>
      </w:r>
      <w:r>
        <w:t xml:space="preserve">separate label file provides the variable names following the naming convention:</w:t>
      </w:r>
      <w:r>
        <w:t xml:space="preserve"> </w:t>
      </w:r>
      <w:r>
        <w:t xml:space="preserve">item number followed by a suffix indicating its domain (_P = Psychological,</w:t>
      </w:r>
      <w:r>
        <w:t xml:space="preserve"> </w:t>
      </w:r>
      <w:r>
        <w:t xml:space="preserve">_F = Physical, _S = Social, _A = Environment). Items Q3, Q4, and Q26 have</w:t>
      </w:r>
      <w:r>
        <w:t xml:space="preserve"> </w:t>
      </w:r>
      <w:r>
        <w:t xml:space="preserve">already been reverse-coded in the source data so that higher values consistently</w:t>
      </w:r>
      <w:r>
        <w:t xml:space="preserve"> </w:t>
      </w:r>
      <w:r>
        <w:t xml:space="preserve">indicate better quality of life.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tbl-data-hea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first six observations (n). All variables are integer-coded</w:t>
      </w:r>
      <w:r>
        <w:t xml:space="preserve"> </w:t>
      </w:r>
      <w:r>
        <w:t xml:space="preserve">(1–5), reflecting the five-point Likert response format.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ata-hea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First rows of the WHOQOL-BREF dataset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tbl-descriptiv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presents the descriptive statistics for all 24 items. Means</w:t>
      </w:r>
      <w:r>
        <w:t xml:space="preserve"> </w:t>
      </w:r>
      <w:r>
        <w:t xml:space="preserve">range from approximately 3.0 to 4.0, with standard deviations around 0.8–1.1,</w:t>
      </w:r>
      <w:r>
        <w:t xml:space="preserve"> </w:t>
      </w:r>
      <w:r>
        <w:t xml:space="preserve">indicating moderate variability across items. No floor or ceiling effects are</w:t>
      </w:r>
      <w:r>
        <w:t xml:space="preserve"> </w:t>
      </w:r>
      <w:r>
        <w:t xml:space="preserve">evident, and skewness values are generally within acceptable bounds (|sk| &lt; 1),</w:t>
      </w:r>
      <w:r>
        <w:t xml:space="preserve"> </w:t>
      </w:r>
      <w:r>
        <w:t xml:space="preserve">supporting the use of polychoric correlations. These statistics are consistent</w:t>
      </w:r>
      <w:r>
        <w:t xml:space="preserve"> </w:t>
      </w:r>
      <w:r>
        <w:t xml:space="preserve">with the original validation study</w:t>
      </w:r>
      <w:r>
        <w:t xml:space="preserve"> </w:t>
      </w:r>
      <w:r>
        <w:t xml:space="preserve">(Rogers,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descriptiv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Descriptive statistics for all WHOQOL-BREF items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"/>
              <w:gridCol w:w="495"/>
              <w:gridCol w:w="495"/>
              <w:gridCol w:w="495"/>
              <w:gridCol w:w="495"/>
              <w:gridCol w:w="693"/>
              <w:gridCol w:w="792"/>
              <w:gridCol w:w="495"/>
              <w:gridCol w:w="396"/>
              <w:gridCol w:w="396"/>
              <w:gridCol w:w="594"/>
              <w:gridCol w:w="594"/>
              <w:gridCol w:w="891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trimmed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skew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kurtosis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dataset contains N = 1047 observations on 24 variables.</w:t>
            </w:r>
            <w:r>
              <w:t xml:space="preserve"> </w:t>
            </w:r>
            <w:r>
              <w:t xml:space="preserve">All items are measured on a 5-point Likert scale (1–5), representing ordinal</w:t>
            </w:r>
            <w:r>
              <w:t xml:space="preserve"> </w:t>
            </w:r>
            <w:r>
              <w:t xml:space="preserve">data. This ordinal nature is fundamental: it requires the use of polychoric</w:t>
            </w:r>
            <w:r>
              <w:t xml:space="preserve"> </w:t>
            </w:r>
            <w:r>
              <w:t xml:space="preserve">correlations and DWLS estimation rather than Pearson correlations and ML.</w:t>
            </w:r>
          </w:p>
        </w:tc>
      </w:tr>
    </w:tbl>
    <w:bookmarkEnd w:id="34"/>
    <w:bookmarkStart w:id="47" w:name="sec-popmodel"/>
    <w:p>
      <w:pPr>
        <w:pStyle w:val="Heading2"/>
      </w:pPr>
      <w:r>
        <w:t xml:space="preserve">4 Population Model</w:t>
      </w:r>
    </w:p>
    <w:p>
      <w:pPr>
        <w:pStyle w:val="FirstParagraph"/>
      </w:pPr>
      <w:r>
        <w:t xml:space="preserve">Before fitting CFA models to our sample data, we define a</w:t>
      </w:r>
      <w:r>
        <w:t xml:space="preserve"> </w:t>
      </w:r>
      <w:r>
        <w:rPr>
          <w:i/>
          <w:iCs/>
        </w:rPr>
        <w:t xml:space="preserve">population model</w:t>
      </w:r>
      <w:r>
        <w:t xml:space="preserve"> </w:t>
      </w:r>
      <w:r>
        <w:t xml:space="preserve">that serves two purposes: (1) computing Dynamic Fit Index (DFI) cutoffs</w:t>
      </w:r>
      <w:r>
        <w:t xml:space="preserve"> </w:t>
      </w:r>
      <w:r>
        <w:t xml:space="preserve">tailored to this specific model structure and sample size, and (2) conducting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power analysis via simulation.</w:t>
      </w:r>
    </w:p>
    <w:p>
      <w:pPr>
        <w:pStyle w:val="BodyText"/>
      </w:pPr>
      <w:r>
        <w:t xml:space="preserve">The population model is based on the meta-analytic factor loadings from</w:t>
      </w:r>
      <w:r>
        <w:t xml:space="preserve"> </w:t>
      </w:r>
      <w:r>
        <w:t xml:space="preserve">Lin &amp; Yao (2022)</w:t>
      </w:r>
      <w:r>
        <w:t xml:space="preserve">,</w:t>
      </w:r>
      <w:r>
        <w:t xml:space="preserve"> </w:t>
      </w:r>
      <w:r>
        <w:t xml:space="preserve">who validated the WHOQOL-BREF factor structure using a meta-analysis of</w:t>
      </w:r>
      <w:r>
        <w:t xml:space="preserve"> </w:t>
      </w:r>
      <w:r>
        <w:t xml:space="preserve">exploratory factor analyses combined with social network analysis. Factor</w:t>
      </w:r>
      <w:r>
        <w:t xml:space="preserve"> </w:t>
      </w:r>
      <w:r>
        <w:t xml:space="preserve">correlations were set at 0.3, reflecting the upper bound reported in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(range 0.08–0.30). Residual variances were derived analytically as 1 − λ²</w:t>
      </w:r>
      <w:r>
        <w:t xml:space="preserve"> </w:t>
      </w:r>
      <w:r>
        <w:t xml:space="preserve">(except for Q3 and Q4, whose residuals are adjusted for their predicted</w:t>
      </w:r>
      <w:r>
        <w:t xml:space="preserve"> </w:t>
      </w:r>
      <w:r>
        <w:t xml:space="preserve">correlation).</w:t>
      </w:r>
    </w:p>
    <w:p>
      <w:pPr>
        <w:pStyle w:val="BodyText"/>
      </w:pPr>
      <w:r>
        <w:t xml:space="preserve">Given the ordinal nature of the variables, we assume equidistant thresholds</w:t>
      </w:r>
      <w:r>
        <w:t xml:space="preserve"> </w:t>
      </w:r>
      <w:r>
        <w:t xml:space="preserve">following a linearity assumption with proportions of approximately 12%, 23%,</w:t>
      </w:r>
      <w:r>
        <w:t xml:space="preserve"> </w:t>
      </w:r>
      <w:r>
        <w:t xml:space="preserve">31%, 23%, and 12%. For a five-point Likert scale, this translates to threshold</w:t>
      </w:r>
      <w:r>
        <w:t xml:space="preserve"> </w:t>
      </w:r>
      <w:r>
        <w:t xml:space="preserve">values of −1.2, −0.4, 0.4, and 1.2. While it is unlikely that thresholds from</w:t>
      </w:r>
      <w:r>
        <w:t xml:space="preserve"> </w:t>
      </w:r>
      <w:r>
        <w:t xml:space="preserve">previous studies will be available, if response frequencies per category per item</w:t>
      </w:r>
      <w:r>
        <w:t xml:space="preserve"> </w:t>
      </w:r>
      <w:r>
        <w:t xml:space="preserve">are provided, thresholds can be estimated using the inverse normal distribution.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population model should be understood as a</w:t>
            </w:r>
            <w:r>
              <w:t xml:space="preserve"> </w:t>
            </w:r>
            <w:r>
              <w:rPr>
                <w:b/>
                <w:bCs/>
              </w:rPr>
              <w:t xml:space="preserve">teaching illustration</w:t>
            </w:r>
            <w:r>
              <w:t xml:space="preserve">. The</w:t>
            </w:r>
            <w:r>
              <w:t xml:space="preserve"> </w:t>
            </w:r>
            <w:r>
              <w:t xml:space="preserve">loadings from</w:t>
            </w:r>
            <w:r>
              <w:t xml:space="preserve"> </w:t>
            </w:r>
            <w:r>
              <w:t xml:space="preserve">Lin &amp; Yao (2022)</w:t>
            </w:r>
            <w:r>
              <w:t xml:space="preserve"> </w:t>
            </w:r>
            <w:r>
              <w:t xml:space="preserve">come primarily from exploratory factor analysis studies</w:t>
            </w:r>
            <w:r>
              <w:t xml:space="preserve"> </w:t>
            </w:r>
            <w:r>
              <w:t xml:space="preserve">using principal components with varimax rotation — a method that has well-known</w:t>
            </w:r>
            <w:r>
              <w:t xml:space="preserve"> </w:t>
            </w:r>
            <w:r>
              <w:t xml:space="preserve">limitations</w:t>
            </w:r>
            <w:r>
              <w:t xml:space="preserve"> </w:t>
            </w:r>
            <w:r>
              <w:t xml:space="preserve">(Rogers, 2022)</w:t>
            </w:r>
            <w:r>
              <w:t xml:space="preserve">. Ideally, one should seek a robust national survey</w:t>
            </w:r>
            <w:r>
              <w:t xml:space="preserve"> </w:t>
            </w:r>
            <w:r>
              <w:t xml:space="preserve">that has employed CFA with ordinal data for the WHOQOL-BREF, providing more</w:t>
            </w:r>
            <w:r>
              <w:t xml:space="preserve"> </w:t>
            </w:r>
            <w:r>
              <w:t xml:space="preserve">appropriate starting values.</w:t>
            </w:r>
          </w:p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Start w:id="46" w:name="sec-dfi"/>
    <w:p>
      <w:pPr>
        <w:pStyle w:val="Heading3"/>
      </w:pPr>
      <w:r>
        <w:t xml:space="preserve">4.1 Dynamic Fit Index (DFI)</w:t>
      </w:r>
    </w:p>
    <w:p>
      <w:pPr>
        <w:pStyle w:val="FirstParagraph"/>
      </w:pPr>
      <w:r>
        <w:t xml:space="preserve">The Dynamic Fit Index</w:t>
      </w:r>
      <w:r>
        <w:t xml:space="preserve"> </w:t>
      </w:r>
      <w:r>
        <w:t xml:space="preserve">(McNeish, 2023)</w:t>
      </w:r>
      <w:r>
        <w:t xml:space="preserve"> </w:t>
      </w:r>
      <w:r>
        <w:t xml:space="preserve">provides simulation-based cutoff values for</w:t>
      </w:r>
      <w:r>
        <w:t xml:space="preserve"> </w:t>
      </w:r>
      <w:r>
        <w:t xml:space="preserve">fit indices that are tailored to a specific model structure and sample size,</w:t>
      </w:r>
      <w:r>
        <w:t xml:space="preserve"> </w:t>
      </w:r>
      <w:r>
        <w:t xml:space="preserve">rather than relying on generic rules of thumb (e.g., CFI &gt; .95, RMSEA &lt; .06).</w:t>
      </w:r>
      <w:r>
        <w:t xml:space="preserve"> </w:t>
      </w:r>
      <w:r>
        <w:t xml:space="preserve">The DFI computation requires the population model defined above.</w:t>
      </w:r>
    </w:p>
    <w:p>
      <w:pPr>
        <w:pStyle w:val="SourceCode"/>
      </w:pPr>
      <w:r>
        <w:rPr>
          <w:rStyle w:val="VerbatimChar"/>
        </w:rPr>
        <w:t xml:space="preserve">Your DFI cutoffs: </w:t>
      </w:r>
      <w:r>
        <w:br/>
      </w:r>
      <w:r>
        <w:rPr>
          <w:rStyle w:val="VerbatimChar"/>
        </w:rPr>
        <w:t xml:space="preserve">            SRMR  RMSEA CFI   Magnitude</w:t>
      </w:r>
      <w:r>
        <w:br/>
      </w:r>
      <w:r>
        <w:rPr>
          <w:rStyle w:val="VerbatimChar"/>
        </w:rPr>
        <w:t xml:space="preserve">Level-0     0.024 0.012 0.998 NONE     </w:t>
      </w:r>
      <w:r>
        <w:br/>
      </w:r>
      <w:r>
        <w:rPr>
          <w:rStyle w:val="VerbatimChar"/>
        </w:rPr>
        <w:t xml:space="preserve">Specificity 95%   95%   95%            </w:t>
      </w:r>
      <w:r>
        <w:br/>
      </w:r>
      <w:r>
        <w:rPr>
          <w:rStyle w:val="VerbatimChar"/>
        </w:rPr>
        <w:t xml:space="preserve">                                       </w:t>
      </w:r>
      <w:r>
        <w:br/>
      </w:r>
      <w:r>
        <w:rPr>
          <w:rStyle w:val="VerbatimChar"/>
        </w:rPr>
        <w:t xml:space="preserve">Level-1     0.038 0.037 0.985 0.37     </w:t>
      </w:r>
      <w:r>
        <w:br/>
      </w:r>
      <w:r>
        <w:rPr>
          <w:rStyle w:val="VerbatimChar"/>
        </w:rPr>
        <w:t xml:space="preserve">Sensitivity 95%   95%   95%            </w:t>
      </w:r>
      <w:r>
        <w:br/>
      </w:r>
      <w:r>
        <w:rPr>
          <w:rStyle w:val="VerbatimChar"/>
        </w:rPr>
        <w:t xml:space="preserve">                                       </w:t>
      </w:r>
      <w:r>
        <w:br/>
      </w:r>
      <w:r>
        <w:rPr>
          <w:rStyle w:val="VerbatimChar"/>
        </w:rPr>
        <w:t xml:space="preserve">Level-2     0.064 0.083 0.934 0.599    </w:t>
      </w:r>
      <w:r>
        <w:br/>
      </w:r>
      <w:r>
        <w:rPr>
          <w:rStyle w:val="VerbatimChar"/>
        </w:rPr>
        <w:t xml:space="preserve">Sensitivity 95%   95%   95%            </w:t>
      </w:r>
      <w:r>
        <w:br/>
      </w:r>
      <w:r>
        <w:rPr>
          <w:rStyle w:val="VerbatimChar"/>
        </w:rPr>
        <w:t xml:space="preserve">                                       </w:t>
      </w:r>
      <w:r>
        <w:br/>
      </w:r>
      <w:r>
        <w:rPr>
          <w:rStyle w:val="VerbatimChar"/>
        </w:rPr>
        <w:t xml:space="preserve">Level-3     0.078 0.105 0.904 0.58     </w:t>
      </w:r>
      <w:r>
        <w:br/>
      </w:r>
      <w:r>
        <w:rPr>
          <w:rStyle w:val="VerbatimChar"/>
        </w:rPr>
        <w:t xml:space="preserve">Sensitivity 95%   95%   95%            </w:t>
      </w:r>
      <w:r>
        <w:br/>
      </w:r>
      <w:r>
        <w:br/>
      </w:r>
      <w:r>
        <w:rPr>
          <w:rStyle w:val="VerbatimChar"/>
        </w:rPr>
        <w:t xml:space="preserve"> Notes:</w:t>
      </w:r>
      <w:r>
        <w:br/>
      </w:r>
      <w:r>
        <w:rPr>
          <w:rStyle w:val="VerbatimChar"/>
        </w:rPr>
        <w:t xml:space="preserve">  -Number of levels is based on the number of factors in the model</w:t>
      </w:r>
      <w:r>
        <w:br/>
      </w:r>
      <w:r>
        <w:rPr>
          <w:rStyle w:val="VerbatimChar"/>
        </w:rPr>
        <w:t xml:space="preserve">  -'Sensitivity' is % of hypothetically misspecified models correctly identified by cutoff in DFI simulation</w:t>
      </w:r>
      <w:r>
        <w:br/>
      </w:r>
      <w:r>
        <w:rPr>
          <w:rStyle w:val="VerbatimChar"/>
        </w:rPr>
        <w:t xml:space="preserve">  -Cutoffs with 95% sensitivity are reported when possible</w:t>
      </w:r>
      <w:r>
        <w:br/>
      </w:r>
      <w:r>
        <w:rPr>
          <w:rStyle w:val="VerbatimChar"/>
        </w:rPr>
        <w:t xml:space="preserve">  -If sensitivity is &lt;50%, cutoffs will be supressed </w:t>
      </w:r>
      <w:r>
        <w:br/>
      </w:r>
      <w:r>
        <w:br/>
      </w:r>
      <w:r>
        <w:rPr>
          <w:rStyle w:val="VerbatimChar"/>
        </w:rPr>
        <w:t xml:space="preserve"> The distributions for each level are in the Plots tab </w:t>
      </w:r>
      <w:r>
        <w:br/>
      </w:r>
      <w:r>
        <w:rPr>
          <w:rStyle w:val="VerbatimChar"/>
        </w:rPr>
        <w:t xml:space="preserve">[[1]]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compute-dfi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[[2]]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ndex_files/figure-docx/compute-dfi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[[3]]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dex_files/figure-docx/compute-dfi-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Note that we could compute a separate DFI for each estimated model (assuming</w:t>
      </w:r>
      <w:r>
        <w:t xml:space="preserve"> </w:t>
      </w:r>
      <w:r>
        <w:t xml:space="preserve">each in turn as the population model). However, this would sacrifice</w:t>
      </w:r>
      <w:r>
        <w:t xml:space="preserve"> </w:t>
      </w:r>
      <w:r>
        <w:t xml:space="preserve">comparability across models. Moreover, DFI methods for bifactor models are not</w:t>
      </w:r>
      <w:r>
        <w:t xml:space="preserve"> </w:t>
      </w:r>
      <w:r>
        <w:t xml:space="preserve">yet available, and those for hierarchical models are still in development.</w:t>
      </w:r>
    </w:p>
    <w:bookmarkEnd w:id="46"/>
    <w:bookmarkEnd w:id="47"/>
    <w:bookmarkStart w:id="79" w:name="sec-4f"/>
    <w:p>
      <w:pPr>
        <w:pStyle w:val="Heading2"/>
      </w:pPr>
      <w:r>
        <w:t xml:space="preserve">5 4-Factor CFA Model</w:t>
      </w:r>
    </w:p>
    <w:p>
      <w:pPr>
        <w:pStyle w:val="FirstParagraph"/>
      </w:pPr>
      <w:r>
        <w:t xml:space="preserve">The first model tested is the standard four correlated factor model, which</w:t>
      </w:r>
      <w:r>
        <w:t xml:space="preserve"> </w:t>
      </w:r>
      <w:r>
        <w:t xml:space="preserve">represents the theoretical structure of the WHOQOL-BREF</w:t>
      </w:r>
      <w:r>
        <w:t xml:space="preserve"> </w:t>
      </w:r>
      <w:r>
        <w:t xml:space="preserve">(Lin &amp; Yao, 2022)</w:t>
      </w:r>
      <w:r>
        <w:t xml:space="preserve">.</w:t>
      </w:r>
    </w:p>
    <w:bookmarkStart w:id="48" w:name="model-specification"/>
    <w:p>
      <w:pPr>
        <w:pStyle w:val="Heading3"/>
      </w:pPr>
      <w:r>
        <w:t xml:space="preserve">5.1 Model Specification</w:t>
      </w:r>
    </w:p>
    <w:p>
      <w:pPr>
        <w:pStyle w:val="FirstParagraph"/>
      </w:pPr>
      <w:r>
        <w:t xml:space="preserve">Each of the 24 items loads on exactly one of the four latent factors: Psychological</w:t>
      </w:r>
      <w:r>
        <w:t xml:space="preserve"> </w:t>
      </w:r>
      <w:r>
        <w:t xml:space="preserve">(6 items), Physical (7 items), Social (3 items), and Environment (8 items). Latent</w:t>
      </w:r>
      <w:r>
        <w:t xml:space="preserve"> </w:t>
      </w:r>
      <w:r>
        <w:t xml:space="preserve">factors are allowed to freely correlate, reflecting the expected interrelations</w:t>
      </w:r>
      <w:r>
        <w:t xml:space="preserve"> </w:t>
      </w:r>
      <w:r>
        <w:t xml:space="preserve">among quality of life domains. A residual covariance between items Q3 and Q4 is</w:t>
      </w:r>
      <w:r>
        <w:t xml:space="preserve"> </w:t>
      </w:r>
      <w:r>
        <w:t xml:space="preserve">included based on prior theoretical and empirical evidence, as both items assess</w:t>
      </w:r>
      <w:r>
        <w:t xml:space="preserve"> </w:t>
      </w:r>
      <w:r>
        <w:t xml:space="preserve">related aspects within the Physical domain.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48"/>
    <w:bookmarkStart w:id="49" w:name="model-estimation"/>
    <w:p>
      <w:pPr>
        <w:pStyle w:val="Heading3"/>
      </w:pPr>
      <w:r>
        <w:t xml:space="preserve">5.2 Model Estimation</w:t>
      </w:r>
    </w:p>
    <w:p>
      <w:pPr>
        <w:pStyle w:val="FirstParagraph"/>
      </w:pPr>
      <w:r>
        <w:t xml:space="preserve">The estimation uses DWLS (WLSMV in lavaan) with all items declared as ordinal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ordered = TRUE</w:t>
      </w:r>
      <w:r>
        <w:t xml:space="preserve">), and factor variances are fixed to 1 (</w:t>
      </w:r>
      <w:r>
        <w:rPr>
          <w:rStyle w:val="VerbatimChar"/>
        </w:rPr>
        <w:t xml:space="preserve">std.lv = TRUE</w:t>
      </w:r>
      <w:r>
        <w:t xml:space="preserve">) for</w:t>
      </w:r>
      <w:r>
        <w:t xml:space="preserve"> </w:t>
      </w:r>
      <w:r>
        <w:t xml:space="preserve">identification.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49"/>
    <w:bookmarkStart w:id="70" w:name="sec-eval-4f"/>
    <w:p>
      <w:pPr>
        <w:pStyle w:val="Heading3"/>
      </w:pPr>
      <w:r>
        <w:t xml:space="preserve">5.3 Model Evaluation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CFA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evaluating a CFA model, watch for: (1)</w:t>
            </w:r>
            <w:r>
              <w:t xml:space="preserve"> </w:t>
            </w:r>
            <w:r>
              <w:rPr>
                <w:b/>
                <w:bCs/>
              </w:rPr>
              <w:t xml:space="preserve">Heywood cases</w:t>
            </w:r>
            <w:r>
              <w:t xml:space="preserve"> </w:t>
            </w:r>
            <w:r>
              <w:t xml:space="preserve">— standardized</w:t>
            </w:r>
            <w:r>
              <w:t xml:space="preserve"> </w:t>
            </w:r>
            <w:r>
              <w:t xml:space="preserve">loadings &gt; 1 or negative variance estimates, which indicate estimation problems;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rPr>
                <w:b/>
                <w:bCs/>
              </w:rPr>
              <w:t xml:space="preserve">Overall fit</w:t>
            </w:r>
            <w:r>
              <w:t xml:space="preserve"> </w:t>
            </w:r>
            <w:r>
              <w:t xml:space="preserve">— SRMR &lt; .08, RMSEA &lt; .06, CFI/TLI &gt; .95 using the scaled</w:t>
            </w:r>
            <w:r>
              <w:t xml:space="preserve"> </w:t>
            </w:r>
            <w:r>
              <w:t xml:space="preserve">versions for WLSMV (For reference only, as the correct approach would be to use the</w:t>
            </w:r>
            <w:r>
              <w:t xml:space="preserve"> </w:t>
            </w:r>
            <w:r>
              <w:t xml:space="preserve">cutoffs derived from the DFI); (3)</w:t>
            </w:r>
            <w:r>
              <w:t xml:space="preserve"> </w:t>
            </w:r>
            <w:r>
              <w:rPr>
                <w:b/>
                <w:bCs/>
              </w:rPr>
              <w:t xml:space="preserve">Local fit</w:t>
            </w:r>
            <w:r>
              <w:t xml:space="preserve"> </w:t>
            </w:r>
            <w:r>
              <w:t xml:space="preserve">— standardized residuals &gt; |2|, and</w:t>
            </w:r>
            <w:r>
              <w:t xml:space="preserve"> </w:t>
            </w:r>
            <w:r>
              <w:t xml:space="preserve">modification indices (MI) &gt; 3.84; (4)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— GLB and</w:t>
            </w:r>
            <w:r>
              <w:t xml:space="preserve"> </w:t>
            </w:r>
            <w:r>
              <w:t xml:space="preserve">composite reliability (omega) should exceed .70 for adequate internal</w:t>
            </w:r>
            <w:r>
              <w:t xml:space="preserve"> </w:t>
            </w:r>
            <w:r>
              <w:t xml:space="preserve">consistency.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fit-4f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Fit indices for the 4-factor CFA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 90% CI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1732.82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[0.073, 0.08]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loadings-4f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Standardized factor loadings for the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Std.Loading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cor-4f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Factor correlations for the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Examining the output, the scaled chi-square test is statistically significant</w:t>
      </w:r>
      <w:r>
        <w:t xml:space="preserve"> </w:t>
      </w:r>
      <w:r>
        <w:t xml:space="preserve">(expected for large N), but this alone is not informative for model evaluation.</w:t>
      </w:r>
      <w:r>
        <w:t xml:space="preserve"> </w:t>
      </w:r>
      <w:r>
        <w:t xml:space="preserve">The scaled fit indices reveal a mediocre fit: the CFI and TLI values fall</w:t>
      </w:r>
      <w:r>
        <w:t xml:space="preserve"> </w:t>
      </w:r>
      <w:r>
        <w:t xml:space="preserve">slightly below the conventional .95 threshold, and the RMSEA exceeds .06. The</w:t>
      </w:r>
      <w:r>
        <w:t xml:space="preserve"> </w:t>
      </w:r>
      <w:r>
        <w:t xml:space="preserve">SRMR is within acceptable range. This pattern is consistent with a Level 2</w:t>
      </w:r>
      <w:r>
        <w:t xml:space="preserve"> </w:t>
      </w:r>
      <w:r>
        <w:t xml:space="preserve">misspecification according to DFI standards — the model captures the general</w:t>
      </w:r>
      <w:r>
        <w:t xml:space="preserve"> </w:t>
      </w:r>
      <w:r>
        <w:t xml:space="preserve">structure but has notable local misfits.</w:t>
      </w:r>
    </w:p>
    <w:p>
      <w:pPr>
        <w:pStyle w:val="BodyText"/>
      </w:pPr>
      <w:r>
        <w:t xml:space="preserve">Regarding factor loadings, most items show adequate standardized loadings</w:t>
      </w:r>
      <w:r>
        <w:t xml:space="preserve"> </w:t>
      </w:r>
      <w:r>
        <w:t xml:space="preserve">(Std.all &gt; .50), indicating substantial association with their respective</w:t>
      </w:r>
      <w:r>
        <w:t xml:space="preserve"> </w:t>
      </w:r>
      <w:r>
        <w:t xml:space="preserve">factors. However, Q4 (Physical) shows a relatively lower loading, and the</w:t>
      </w:r>
      <w:r>
        <w:t xml:space="preserve"> </w:t>
      </w:r>
      <w:r>
        <w:t xml:space="preserve">R² values for Q4 (Physical) and Q24 (Environment) are notably low, suggesting</w:t>
      </w:r>
      <w:r>
        <w:t xml:space="preserve"> </w:t>
      </w:r>
      <w:r>
        <w:t xml:space="preserve">these items are not well-explained by their assigned factor.</w:t>
      </w:r>
    </w:p>
    <w:bookmarkStart w:id="60" w:name="modification-indices"/>
    <w:p>
      <w:pPr>
        <w:pStyle w:val="Heading4"/>
      </w:pPr>
      <w:r>
        <w:t xml:space="preserve">5.3.1 Modification Indices</w:t>
      </w:r>
    </w:p>
    <w:p>
      <w:pPr>
        <w:pStyle w:val="FirstParagraph"/>
      </w:pPr>
      <w:r>
        <w:t xml:space="preserve">Modification indices (MI) estimate the expected decrease in the chi-square</w:t>
      </w:r>
      <w:r>
        <w:t xml:space="preserve"> </w:t>
      </w:r>
      <w:r>
        <w:t xml:space="preserve">statistic if a currently fixed parameter were freed. An MI &gt; 3.84 is</w:t>
      </w:r>
      <w:r>
        <w:t xml:space="preserve"> </w:t>
      </w:r>
      <w:r>
        <w:t xml:space="preserve">statistically significant at α = .05, and practically relevant MIs typically</w:t>
      </w:r>
      <w:r>
        <w:t xml:space="preserve"> </w:t>
      </w:r>
      <w:r>
        <w:t xml:space="preserve">exceed 10. However, not all high MIs should be acted upon — only those with</w:t>
      </w:r>
      <w:r>
        <w:t xml:space="preserve"> </w:t>
      </w:r>
      <w:r>
        <w:t xml:space="preserve">theoretical justification.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mi-4f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Top 20 modification indices for the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175.788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92.645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48.628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44.099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Q5_P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The modification indices reveal a critical finding:</w:t>
      </w:r>
      <w:r>
        <w:t xml:space="preserve"> </w:t>
      </w:r>
      <w:r>
        <w:rPr>
          <w:b/>
          <w:bCs/>
        </w:rPr>
        <w:t xml:space="preserve">item Q5 appears in</w:t>
      </w:r>
      <w:r>
        <w:rPr>
          <w:b/>
          <w:bCs/>
        </w:rPr>
        <w:t xml:space="preserve"> </w:t>
      </w:r>
      <w:r>
        <w:rPr>
          <w:b/>
          <w:bCs/>
        </w:rPr>
        <w:t xml:space="preserve">multiple high-MI entries</w:t>
      </w:r>
      <w:r>
        <w:t xml:space="preserve">, suggesting cross-loadings on factors other than</w:t>
      </w:r>
      <w:r>
        <w:t xml:space="preserve"> </w:t>
      </w:r>
      <w:r>
        <w:t xml:space="preserve">Psychological. This is a strong empirical signal that Q5 may not function as</w:t>
      </w:r>
      <w:r>
        <w:t xml:space="preserve"> </w:t>
      </w:r>
      <w:r>
        <w:t xml:space="preserve">intended within the four-factor structure. Additionally, several MIs suggest</w:t>
      </w:r>
      <w:r>
        <w:t xml:space="preserve"> </w:t>
      </w:r>
      <w:r>
        <w:t xml:space="preserve">correlated residuals between items across domains, reflecting the high</w:t>
      </w:r>
      <w:r>
        <w:t xml:space="preserve"> </w:t>
      </w:r>
      <w:r>
        <w:t xml:space="preserve">correlation between Physical and Psychological factors.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Red Flag: Item Q5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 single item appears repeatedly among the highest modification indices,</w:t>
            </w:r>
            <w:r>
              <w:t xml:space="preserve"> </w:t>
            </w:r>
            <w:r>
              <w:t xml:space="preserve">this suggests a systematic misfit rather than isolated local strain. Freeing</w:t>
            </w:r>
            <w:r>
              <w:t xml:space="preserve"> </w:t>
            </w:r>
            <w:r>
              <w:t xml:space="preserve">individual parameters (e.g., adding cross-loadings) is generally not recommended</w:t>
            </w:r>
            <w:r>
              <w:t xml:space="preserve"> </w:t>
            </w:r>
            <w:r>
              <w:t xml:space="preserve">as a post hoc strategy — it risks capitalizing on sample-specific patterns. The</w:t>
            </w:r>
            <w:r>
              <w:t xml:space="preserve"> </w:t>
            </w:r>
            <w:r>
              <w:t xml:space="preserve">better approach is to evaluate whether the item should be removed from the</w:t>
            </w:r>
            <w:r>
              <w:t xml:space="preserve"> </w:t>
            </w:r>
            <w:r>
              <w:t xml:space="preserve">model.</w:t>
            </w:r>
          </w:p>
        </w:tc>
      </w:tr>
    </w:tbl>
    <w:bookmarkEnd w:id="60"/>
    <w:bookmarkStart w:id="66" w:name="residual-correlations"/>
    <w:p>
      <w:pPr>
        <w:pStyle w:val="Heading4"/>
      </w:pPr>
      <w:r>
        <w:t xml:space="preserve">5.3.2 Residual Correlations</w:t>
      </w:r>
    </w:p>
    <w:p>
      <w:pPr>
        <w:pStyle w:val="FirstParagraph"/>
      </w:pPr>
      <w:r>
        <w:t xml:space="preserve">Standardized residuals greater than |2| indicate item pairs whose empirical</w:t>
      </w:r>
      <w:r>
        <w:t xml:space="preserve"> </w:t>
      </w:r>
      <w:r>
        <w:t xml:space="preserve">correlation is poorly reproduced by the model. The correlation residuals below</w:t>
      </w:r>
      <w:r>
        <w:t xml:space="preserve"> </w:t>
      </w:r>
      <w:r>
        <w:t xml:space="preserve">show the discrepancies between model-implied and observed correlations.</w:t>
      </w:r>
    </w:p>
    <w:bookmarkStart w:id="65" w:name="cell-fig-residuals-4f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residuals-4f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residuals-4f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Heatmap of standardized residual correlations for the 4-factor model</w:t>
            </w:r>
          </w:p>
          <w:bookmarkEnd w:id="6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65"/>
    <w:p>
      <w:pPr>
        <w:pStyle w:val="BodyText"/>
      </w:pPr>
      <w:hyperlink w:anchor="fig-residuals-4f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global view of local misfit. Color intensity reflects the absolute magnitude of standardized residuals — darker red indicates poorer reproduction of that pairwise correlation by the model, regardless of direction. Cell labels retain the sign: positive values indicate the model underestimates the correlation, negative values indicate overestimation. Pairs exceeding |2| deserve closer inspection.</w:t>
      </w:r>
    </w:p>
    <w:p>
      <w:pPr>
        <w:pStyle w:val="BodyText"/>
      </w:pPr>
      <w:r>
        <w:t xml:space="preserve">The residual analysis confirms the patterns identified by the modification indices: the largest standardized residuals involve Q5 and items from other domains, reinforcing the conclusion that this item introduces systematic misfit.</w:t>
      </w:r>
    </w:p>
    <w:bookmarkEnd w:id="66"/>
    <w:bookmarkStart w:id="68" w:name="reliability-coefficients"/>
    <w:p>
      <w:pPr>
        <w:pStyle w:val="Heading4"/>
      </w:pPr>
      <w:r>
        <w:t xml:space="preserve">5.3.3 Reliability Coefficients</w:t>
      </w:r>
    </w:p>
    <w:p>
      <w:pPr>
        <w:pStyle w:val="FirstParagraph"/>
      </w:pPr>
      <w:r>
        <w:t xml:space="preserve">We compute reliability using</w:t>
      </w:r>
      <w:r>
        <w:t xml:space="preserve"> </w:t>
      </w:r>
      <w:r>
        <w:rPr>
          <w:rStyle w:val="VerbatimChar"/>
        </w:rPr>
        <w:t xml:space="preserve">semTools::reliability()</w:t>
      </w:r>
      <w:r>
        <w:t xml:space="preserve">, which provides: alpha</w:t>
      </w:r>
      <w:r>
        <w:t xml:space="preserve"> </w:t>
      </w:r>
      <w:r>
        <w:t xml:space="preserve">(Cronbach’s), omega (composite reliability, preferred for CFA), omega2</w:t>
      </w:r>
      <w:r>
        <w:t xml:space="preserve"> </w:t>
      </w:r>
      <w:r>
        <w:t xml:space="preserve">(Bentler’s), omega3 (McDonald’s), and AVE (average variance extracted). AVE &gt;</w:t>
      </w:r>
      <w:r>
        <w:t xml:space="preserve"> </w:t>
      </w:r>
      <w:r>
        <w:t xml:space="preserve">.50 indicates that the factor captures more variance from its items than is due</w:t>
      </w:r>
      <w:r>
        <w:t xml:space="preserve"> </w:t>
      </w:r>
      <w:r>
        <w:t xml:space="preserve">to measurement error.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reliability-4f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Reliability coefficients for the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environment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alpha.ord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avevar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All four domains show composite reliability (omega) above .70, indicating</w:t>
      </w:r>
      <w:r>
        <w:t xml:space="preserve"> </w:t>
      </w:r>
      <w:r>
        <w:t xml:space="preserve">adequate internal consistency. The AVE values are acceptable for most domains,</w:t>
      </w:r>
      <w:r>
        <w:t xml:space="preserve"> </w:t>
      </w:r>
      <w:r>
        <w:t xml:space="preserve">with the Environment domain showing a slightly lower value — consistent with</w:t>
      </w:r>
      <w:r>
        <w:t xml:space="preserve"> </w:t>
      </w:r>
      <w:r>
        <w:t xml:space="preserve">its broader and more heterogeneous item content. The Social domain, despite</w:t>
      </w:r>
      <w:r>
        <w:t xml:space="preserve"> </w:t>
      </w:r>
      <w:r>
        <w:t xml:space="preserve">having only three items, shows strong reliability due to the high factor</w:t>
      </w:r>
      <w:r>
        <w:t xml:space="preserve"> </w:t>
      </w:r>
      <w:r>
        <w:t xml:space="preserve">loadings of Q20, Q21, and Q22.</w:t>
      </w:r>
    </w:p>
    <w:bookmarkEnd w:id="68"/>
    <w:bookmarkStart w:id="69" w:name="preliminary-evaluation-summary"/>
    <w:p>
      <w:pPr>
        <w:pStyle w:val="Heading4"/>
      </w:pPr>
      <w:r>
        <w:t xml:space="preserve">5.3.4 Preliminary Evaluation Summary</w:t>
      </w:r>
    </w:p>
    <w:p>
      <w:pPr>
        <w:pStyle w:val="FirstParagraph"/>
      </w:pPr>
      <w:r>
        <w:t xml:space="preserve">Based on the overall and local fit analysis: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Overall fit is mediocre</w:t>
      </w:r>
      <w:r>
        <w:t xml:space="preserve">, compatible with a Level 2 misspecification (DFI)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indices indicate</w:t>
      </w:r>
      <w:r>
        <w:t xml:space="preserve">: (a) high correlation between Physical and</w:t>
      </w:r>
      <w:r>
        <w:t xml:space="preserve"> </w:t>
      </w:r>
      <w:r>
        <w:t xml:space="preserve">Psychological factors (suggesting potential hierarchical structure);</w:t>
      </w:r>
    </w:p>
    <w:p>
      <w:pPr>
        <w:pStyle w:val="Compact"/>
        <w:numPr>
          <w:ilvl w:val="1"/>
          <w:numId w:val="1002"/>
        </w:numPr>
      </w:pPr>
      <w:r>
        <w:t xml:space="preserve">low factor loadings for Q4 and Q24; (c)</w:t>
      </w:r>
      <w:r>
        <w:t xml:space="preserve"> </w:t>
      </w:r>
      <w:r>
        <w:rPr>
          <w:b/>
          <w:bCs/>
        </w:rPr>
        <w:t xml:space="preserve">item Q5 is systematically</w:t>
      </w:r>
      <w:r>
        <w:rPr>
          <w:b/>
          <w:bCs/>
        </w:rPr>
        <w:t xml:space="preserve"> </w:t>
      </w:r>
      <w:r>
        <w:rPr>
          <w:b/>
          <w:bCs/>
        </w:rPr>
        <w:t xml:space="preserve">problematic</w:t>
      </w:r>
      <w:r>
        <w:t xml:space="preserve"> </w:t>
      </w:r>
      <w:r>
        <w:t xml:space="preserve">— it appears in many high MIs and contributes to local misfit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Reliability is adequate</w:t>
      </w:r>
      <w:r>
        <w:t xml:space="preserve"> </w:t>
      </w:r>
      <w:r>
        <w:t xml:space="preserve">for all domains</w:t>
      </w:r>
    </w:p>
    <w:bookmarkEnd w:id="69"/>
    <w:bookmarkEnd w:id="70"/>
    <w:bookmarkStart w:id="78" w:name="path-diagrams"/>
    <w:p>
      <w:pPr>
        <w:pStyle w:val="Heading3"/>
      </w:pPr>
      <w:r>
        <w:t xml:space="preserve">5.4 Path Diagrams</w:t>
      </w:r>
    </w:p>
    <w:p>
      <w:pPr>
        <w:pStyle w:val="FirstParagraph"/>
      </w:pPr>
      <w:r>
        <w:t xml:space="preserve">The path diagram below visualize the estimated model. Latent factors are shown</w:t>
      </w:r>
      <w:r>
        <w:t xml:space="preserve"> </w:t>
      </w:r>
      <w:r>
        <w:t xml:space="preserve">as ovals, observed items as rectangles, and standardized factor loadings as edge</w:t>
      </w:r>
      <w:r>
        <w:t xml:space="preserve"> </w:t>
      </w:r>
      <w:r>
        <w:t xml:space="preserve">labels. The circle layout better displays interfactor correlations.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Layout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this layout for educational purposes, as for your article you should create something better formatted, which will almost always be done by hand.</w:t>
            </w:r>
          </w:p>
        </w:tc>
      </w:tr>
    </w:tbl>
    <w:bookmarkStart w:id="77" w:name="cell-fig-diagram-4f-circ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diagram-4f-circle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diagram-4f-circle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Path diagram of the 4-factor CFA model (circle layout)</w:t>
            </w:r>
          </w:p>
          <w:bookmarkEnd w:id="7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77"/>
    <w:p>
      <w:pPr>
        <w:pStyle w:val="BodyText"/>
      </w:pPr>
      <w:r>
        <w:t xml:space="preserve">The circle layout in</w:t>
      </w:r>
      <w:r>
        <w:t xml:space="preserve"> </w:t>
      </w:r>
      <w:hyperlink w:anchor="fig-diagram-4f-circle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reveals the strong correlations</w:t>
      </w:r>
      <w:r>
        <w:t xml:space="preserve"> </w:t>
      </w:r>
      <w:r>
        <w:t xml:space="preserve">among all four factors, particularly between Psychological and Physical domains.</w:t>
      </w:r>
      <w:r>
        <w:t xml:space="preserve"> </w:t>
      </w:r>
      <w:r>
        <w:t xml:space="preserve">This pattern motivates the exploration of bifactor and second-order models in the</w:t>
      </w:r>
      <w:r>
        <w:t xml:space="preserve"> </w:t>
      </w:r>
      <w:r>
        <w:t xml:space="preserve">following sections.</w:t>
      </w:r>
    </w:p>
    <w:bookmarkEnd w:id="78"/>
    <w:bookmarkEnd w:id="79"/>
    <w:bookmarkStart w:id="103" w:name="sec-bifactor"/>
    <w:p>
      <w:pPr>
        <w:pStyle w:val="Heading2"/>
      </w:pPr>
      <w:r>
        <w:t xml:space="preserve">6 4-Factor Bifactor Model</w:t>
      </w:r>
    </w:p>
    <w:p>
      <w:pPr>
        <w:pStyle w:val="FirstParagraph"/>
      </w:pPr>
      <w:r>
        <w:t xml:space="preserve">Given the high interfactor correlations observed in the 4-factor model, a</w:t>
      </w:r>
      <w:r>
        <w:t xml:space="preserve"> </w:t>
      </w:r>
      <w:r>
        <w:t xml:space="preserve">bifactor structure is a natural alternative. In a bifactor model, a general</w:t>
      </w:r>
      <w:r>
        <w:t xml:space="preserve"> </w:t>
      </w:r>
      <w:r>
        <w:t xml:space="preserve">factor (here, overall Quality of Life — QOL) loads directly on all items</w:t>
      </w:r>
      <w:r>
        <w:t xml:space="preserve"> </w:t>
      </w:r>
      <w:r>
        <w:t xml:space="preserve">alongside specific group factors for each domain. The critical assumption is</w:t>
      </w:r>
      <w:r>
        <w:t xml:space="preserve"> </w:t>
      </w:r>
      <w:r>
        <w:t xml:space="preserve">that all factors — general and specific —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(uncorrelated).</w:t>
      </w:r>
    </w:p>
    <w:p>
      <w:pPr>
        <w:pStyle w:val="BodyText"/>
      </w:pPr>
      <w:r>
        <w:t xml:space="preserve">This model tests whether there is a meaningful general QOL construct underlying</w:t>
      </w:r>
      <w:r>
        <w:t xml:space="preserve"> </w:t>
      </w:r>
      <w:r>
        <w:t xml:space="preserve">all items, and how much unique variance remains in each specific domain after</w:t>
      </w:r>
      <w:r>
        <w:t xml:space="preserve"> </w:t>
      </w:r>
      <w:r>
        <w:t xml:space="preserve">accounting for the general factor. Item Q5 is excluded from this model due to</w:t>
      </w:r>
      <w:r>
        <w:t xml:space="preserve"> </w:t>
      </w:r>
      <w:r>
        <w:t xml:space="preserve">convergence problems, which further supports the preliminary evidence that Q5 is</w:t>
      </w:r>
      <w:r>
        <w:t xml:space="preserve"> </w:t>
      </w:r>
      <w:r>
        <w:t xml:space="preserve">problematic.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 Bifactor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Bifactor models have gained popularity in psychometrics because they often</w:t>
            </w:r>
            <w:r>
              <w:t xml:space="preserve"> </w:t>
            </w:r>
            <w:r>
              <w:t xml:space="preserve">provide better fit indices than correlated-factor models. However, as discussed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Rogers (2024)</w:t>
            </w:r>
            <w:r>
              <w:t xml:space="preserve">, some authors argue that this improved fit is partly an artifact</w:t>
            </w:r>
            <w:r>
              <w:t xml:space="preserve"> </w:t>
            </w:r>
            <w:r>
              <w:t xml:space="preserve">of the greater number of parameters, and that the orthogonality assumption</w:t>
            </w:r>
            <w:r>
              <w:t xml:space="preserve"> </w:t>
            </w:r>
            <w:r>
              <w:t xml:space="preserve">rarely holds in practice. These considerations will be important when comparing</w:t>
            </w:r>
            <w:r>
              <w:t xml:space="preserve"> </w:t>
            </w:r>
            <w:r>
              <w:t xml:space="preserve">models.</w:t>
            </w:r>
          </w:p>
        </w:tc>
      </w:tr>
    </w:tbl>
    <w:bookmarkStart w:id="82" w:name="model-specification-1"/>
    <w:p>
      <w:pPr>
        <w:pStyle w:val="Heading3"/>
      </w:pPr>
      <w:r>
        <w:t xml:space="preserve">6.1 Model Specification</w:t>
      </w:r>
    </w:p>
    <w:p>
      <w:pPr>
        <w:pStyle w:val="FirstParagraph"/>
      </w:pPr>
      <w:r>
        <w:t xml:space="preserve">In bifactor model syntax, the</w:t>
      </w:r>
      <w:r>
        <w:t xml:space="preserve"> </w:t>
      </w:r>
      <w:r>
        <w:rPr>
          <w:b/>
          <w:bCs/>
        </w:rPr>
        <w:t xml:space="preserve">general factor must be specified first</w:t>
      </w:r>
      <w:r>
        <w:t xml:space="preserve">. The</w:t>
      </w:r>
      <w:r>
        <w:t xml:space="preserve"> </w:t>
      </w:r>
      <w:r>
        <w:t xml:space="preserve">Q3–Q4 residual correlation is no longer needed because both items now load on</w:t>
      </w:r>
      <w:r>
        <w:t xml:space="preserve"> </w:t>
      </w:r>
      <w:r>
        <w:t xml:space="preserve">the general factor, which absorbs their shared variance.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82"/>
    <w:bookmarkStart w:id="83" w:name="model-estimation-1"/>
    <w:p>
      <w:pPr>
        <w:pStyle w:val="Heading3"/>
      </w:pPr>
      <w:r>
        <w:t xml:space="preserve">6.2 Model Estimation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orthogonal = TRUE</w:t>
      </w:r>
      <w:r>
        <w:t xml:space="preserve"> </w:t>
      </w:r>
      <w:r>
        <w:t xml:space="preserve">argument 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 bifactor models, enforcing</w:t>
      </w:r>
      <w:r>
        <w:t xml:space="preserve"> </w:t>
      </w:r>
      <w:r>
        <w:t xml:space="preserve">zero correlations between all factors.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83"/>
    <w:bookmarkStart w:id="94" w:name="model-evaluation"/>
    <w:p>
      <w:pPr>
        <w:pStyle w:val="Heading3"/>
      </w:pPr>
      <w:r>
        <w:t xml:space="preserve">6.3 Model Evaluation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fit-4f-bi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Fit indices for the bifactor 4-factor CFA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 90% CI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1212.68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[0.064, 0.072]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loadings-4f-bi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Standardized factor loadings for the bifactor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Std.Loading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The bifactor model shows improved fit compared to the original 4-factor model,</w:t>
      </w:r>
      <w:r>
        <w:t xml:space="preserve"> </w:t>
      </w:r>
      <w:r>
        <w:t xml:space="preserve">with slightly better CFI, TLI, and RMSEA values. However, the improvement is</w:t>
      </w:r>
      <w:r>
        <w:t xml:space="preserve"> </w:t>
      </w:r>
      <w:r>
        <w:t xml:space="preserve">modest and the fit remains in the mediocre range (Level 2 of DFI).</w:t>
      </w:r>
    </w:p>
    <w:p>
      <w:pPr>
        <w:pStyle w:val="BodyText"/>
      </w:pPr>
      <w:r>
        <w:t xml:space="preserve">Examining the standardized loadings, the general QOL factor captures substantial</w:t>
      </w:r>
      <w:r>
        <w:t xml:space="preserve"> </w:t>
      </w:r>
      <w:r>
        <w:t xml:space="preserve">variance from most items. Notably, the</w:t>
      </w:r>
      <w:r>
        <w:t xml:space="preserve"> </w:t>
      </w:r>
      <w:r>
        <w:rPr>
          <w:b/>
          <w:bCs/>
        </w:rPr>
        <w:t xml:space="preserve">Psychological specific factor shows</w:t>
      </w:r>
      <w:r>
        <w:rPr>
          <w:b/>
          <w:bCs/>
        </w:rPr>
        <w:t xml:space="preserve"> </w:t>
      </w:r>
      <w:r>
        <w:rPr>
          <w:b/>
          <w:bCs/>
        </w:rPr>
        <w:t xml:space="preserve">very low loadings</w:t>
      </w:r>
      <w:r>
        <w:t xml:space="preserve"> </w:t>
      </w:r>
      <w:r>
        <w:t xml:space="preserve">— most of the variance that was previously attributed to the</w:t>
      </w:r>
      <w:r>
        <w:t xml:space="preserve"> </w:t>
      </w:r>
      <w:r>
        <w:t xml:space="preserve">Psychological domain is now absorbed by the general factor. This pattern</w:t>
      </w:r>
      <w:r>
        <w:t xml:space="preserve"> </w:t>
      </w:r>
      <w:r>
        <w:t xml:space="preserve">suggests that psychological well-being items are primarily indicators of overall</w:t>
      </w:r>
      <w:r>
        <w:t xml:space="preserve"> </w:t>
      </w:r>
      <w:r>
        <w:t xml:space="preserve">QOL rather than a distinct 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i-bifacto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Top 20 modification indices for the bifactor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58.434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46.170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-0.198</w:t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Start w:id="91" w:name="cell-fig-residuals-4f-bi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residuals-4f-bi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residuals-4f-bi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Heatmap of standardized residual correlations for the bifactor 4-factor model</w:t>
            </w:r>
          </w:p>
          <w:bookmarkEnd w:id="9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91"/>
    <w:bookmarkStart w:id="92" w:name="reliability"/>
    <w:p>
      <w:pPr>
        <w:pStyle w:val="Heading4"/>
      </w:pPr>
      <w:r>
        <w:t xml:space="preserve">6.3.1 Reliability</w:t>
      </w:r>
    </w:p>
    <w:p>
      <w:pPr>
        <w:pStyle w:val="FirstParagraph"/>
      </w:pPr>
      <w:r>
        <w:t xml:space="preserve">For bifactor models, omega from</w:t>
      </w:r>
      <w:r>
        <w:t xml:space="preserve"> </w:t>
      </w:r>
      <w:r>
        <w:rPr>
          <w:rStyle w:val="VerbatimChar"/>
        </w:rPr>
        <w:t xml:space="preserve">psych::omegaFromSem()</w:t>
      </w:r>
      <w:r>
        <w:t xml:space="preserve"> </w:t>
      </w:r>
      <w:r>
        <w:t xml:space="preserve">provides the most</w:t>
      </w:r>
      <w:r>
        <w:t xml:space="preserve"> </w:t>
      </w:r>
      <w:r>
        <w:t xml:space="preserve">appropriate reliability decomposition:</w:t>
      </w:r>
      <w:r>
        <w:t xml:space="preserve"> </w:t>
      </w:r>
      <w:r>
        <w:rPr>
          <w:b/>
          <w:bCs/>
        </w:rPr>
        <w:t xml:space="preserve">omega hierarchical (ωH)</w:t>
      </w:r>
      <w:r>
        <w:t xml:space="preserve"> </w:t>
      </w:r>
      <w:r>
        <w:t xml:space="preserve">estimates</w:t>
      </w:r>
      <w:r>
        <w:t xml:space="preserve"> </w:t>
      </w:r>
      <w:r>
        <w:t xml:space="preserve">the proportion of total score variance attributable to the general factor, while</w:t>
      </w:r>
      <w:r>
        <w:t xml:space="preserve"> </w:t>
      </w:r>
      <w:r>
        <w:rPr>
          <w:b/>
          <w:bCs/>
        </w:rPr>
        <w:t xml:space="preserve">omega subscale (ωS)</w:t>
      </w:r>
      <w:r>
        <w:t xml:space="preserve"> </w:t>
      </w:r>
      <w:r>
        <w:t xml:space="preserve">estimates the proportion attributable to each specific</w:t>
      </w:r>
      <w:r>
        <w:t xml:space="preserve"> </w:t>
      </w:r>
      <w:r>
        <w:t xml:space="preserve">factor after controlling for the general factor.</w:t>
      </w:r>
    </w:p>
    <w:p>
      <w:pPr>
        <w:pStyle w:val="TableCaption"/>
      </w:pPr>
      <w:r>
        <w:t xml:space="preserve">Omega Coefficients - Bifactor Model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mega Coefficients - Bifactor Model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ωT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ωH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ωS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Psychological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The omega hierarchical value indicates that the general QOL factor accounts for</w:t>
      </w:r>
      <w:r>
        <w:t xml:space="preserve"> </w:t>
      </w:r>
      <w:r>
        <w:t xml:space="preserve">a substantial proportion of reliable variance. The Psychological specific</w:t>
      </w:r>
      <w:r>
        <w:t xml:space="preserve"> </w:t>
      </w:r>
      <w:r>
        <w:t xml:space="preserve">factor contributes very little unique reliable variance beyond the general</w:t>
      </w:r>
      <w:r>
        <w:t xml:space="preserve"> </w:t>
      </w:r>
      <w:r>
        <w:t xml:space="preserve">factor, confirming the pattern observed in the loadings. The Physical,</w:t>
      </w:r>
      <w:r>
        <w:t xml:space="preserve"> </w:t>
      </w:r>
      <w:r>
        <w:t xml:space="preserve">Social, and Environment specific factors retain more meaningful unique variance.</w:t>
      </w:r>
    </w:p>
    <w:bookmarkEnd w:id="92"/>
    <w:bookmarkStart w:id="93" w:name="preliminary-evaluation-summary-1"/>
    <w:p>
      <w:pPr>
        <w:pStyle w:val="Heading4"/>
      </w:pPr>
      <w:r>
        <w:t xml:space="preserve">6.3.2 Preliminary Evaluation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Overall fit has improved</w:t>
      </w:r>
      <w:r>
        <w:t xml:space="preserve"> </w:t>
      </w:r>
      <w:r>
        <w:t xml:space="preserve">but remains mediocre (Level 2 of DFI, although not directly comparable)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general (G) factor is statistically relevant</w:t>
      </w:r>
      <w:r>
        <w:t xml:space="preserve"> </w:t>
      </w:r>
      <w:r>
        <w:t xml:space="preserve">and explains substantial</w:t>
      </w:r>
      <w:r>
        <w:t xml:space="preserve"> </w:t>
      </w:r>
      <w:r>
        <w:t xml:space="preserve">variance across all items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Psychological specific factor loses most of its importance</w:t>
      </w:r>
      <w:r>
        <w:t xml:space="preserve"> </w:t>
      </w:r>
      <w:r>
        <w:t xml:space="preserve">— its</w:t>
      </w:r>
      <w:r>
        <w:t xml:space="preserve"> </w:t>
      </w:r>
      <w:r>
        <w:t xml:space="preserve">variance is almost entirely captured by the general QOL factor</w:t>
      </w:r>
    </w:p>
    <w:p>
      <w:pPr>
        <w:pStyle w:val="Compact"/>
        <w:numPr>
          <w:ilvl w:val="0"/>
          <w:numId w:val="1003"/>
        </w:numPr>
      </w:pPr>
      <w:r>
        <w:t xml:space="preserve">The orthogonality assumption required for this model is a strong restriction</w:t>
      </w:r>
      <w:r>
        <w:t xml:space="preserve"> </w:t>
      </w:r>
      <w:r>
        <w:t xml:space="preserve">that may not hold empirically</w:t>
      </w:r>
    </w:p>
    <w:bookmarkEnd w:id="93"/>
    <w:bookmarkEnd w:id="94"/>
    <w:bookmarkStart w:id="102" w:name="path-diagram"/>
    <w:p>
      <w:pPr>
        <w:pStyle w:val="Heading3"/>
      </w:pPr>
      <w:r>
        <w:t xml:space="preserve">6.4 Path Diagram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tree3</w:t>
      </w:r>
      <w:r>
        <w:t xml:space="preserve"> </w:t>
      </w:r>
      <w:r>
        <w:t xml:space="preserve">layout is specifically designed for bifactor diagrams, placing the</w:t>
      </w:r>
      <w:r>
        <w:t xml:space="preserve"> </w:t>
      </w:r>
      <w:r>
        <w:t xml:space="preserve">general factor centrally and specific factors on the sides.</w:t>
      </w:r>
    </w:p>
    <w:bookmarkStart w:id="99" w:name="cell-fig-diagram-bifactor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iagram-bifactor"/>
          <w:p>
            <w:pPr>
              <w:pStyle w:val="Compact"/>
              <w:jc w:val="center"/>
            </w:pPr>
            <w:r>
              <w:drawing>
                <wp:inline>
                  <wp:extent cx="5334000" cy="66675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diagram-bifactor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6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Path diagram of the bifactor CFA model</w:t>
            </w:r>
          </w:p>
          <w:bookmarkEnd w:id="9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99"/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Path Diagram Layout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test other formatting parameters (edge.label.cex, label.cex, edge.label.position, etc) to simulate path diagrams with better layouts.</w:t>
            </w:r>
          </w:p>
        </w:tc>
      </w:tr>
    </w:tbl>
    <w:bookmarkEnd w:id="102"/>
    <w:bookmarkEnd w:id="103"/>
    <w:bookmarkStart w:id="126" w:name="sec-2nd"/>
    <w:p>
      <w:pPr>
        <w:pStyle w:val="Heading2"/>
      </w:pPr>
      <w:r>
        <w:t xml:space="preserve">7 Second-Order CFA Model</w:t>
      </w:r>
    </w:p>
    <w:p>
      <w:pPr>
        <w:pStyle w:val="FirstParagraph"/>
      </w:pPr>
      <w:r>
        <w:t xml:space="preserve">An alternative to the bifactor model is the second-order (hierarchical) model.</w:t>
      </w:r>
      <w:r>
        <w:t xml:space="preserve"> </w:t>
      </w:r>
      <w:r>
        <w:t xml:space="preserve">Here, the general QOL factor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load directly on items. Instead, it</w:t>
      </w:r>
      <w:r>
        <w:t xml:space="preserve"> </w:t>
      </w:r>
      <w:r>
        <w:t xml:space="preserve">loads on the four first-order factors, which in turn load on the observed items.</w:t>
      </w:r>
      <w:r>
        <w:t xml:space="preserve"> </w:t>
      </w:r>
      <w:r>
        <w:t xml:space="preserve">This structure implies that the influence of the general factor on individual</w:t>
      </w:r>
      <w:r>
        <w:t xml:space="preserve"> </w:t>
      </w:r>
      <w:r>
        <w:t xml:space="preserve">items is</w:t>
      </w:r>
      <w:r>
        <w:t xml:space="preserve"> </w:t>
      </w:r>
      <w:r>
        <w:rPr>
          <w:i/>
          <w:iCs/>
        </w:rPr>
        <w:t xml:space="preserve">mediated</w:t>
      </w:r>
      <w:r>
        <w:t xml:space="preserve"> </w:t>
      </w:r>
      <w:r>
        <w:t xml:space="preserve">by the domain-specific factors — a conceptually different</w:t>
      </w:r>
      <w:r>
        <w:t xml:space="preserve"> </w:t>
      </w:r>
      <w:r>
        <w:t xml:space="preserve">interpretation from the bifactor model.</w:t>
      </w:r>
    </w:p>
    <w:bookmarkStart w:id="106" w:name="model-specification-2"/>
    <w:p>
      <w:pPr>
        <w:pStyle w:val="Heading3"/>
      </w:pPr>
      <w:r>
        <w:t xml:space="preserve">7.1 Model Specification</w:t>
      </w:r>
    </w:p>
    <w:p>
      <w:pPr>
        <w:pStyle w:val="FirstParagraph"/>
      </w:pPr>
      <w:r>
        <w:t xml:space="preserve">Item Q5 is excluded for comparability with the bifactor model. A technical</w:t>
      </w:r>
      <w:r>
        <w:t xml:space="preserve"> </w:t>
      </w:r>
      <w:r>
        <w:t xml:space="preserve">requirement is that the Psychological factor variance must be fixed to zero</w:t>
      </w:r>
      <w:r>
        <w:t xml:space="preserve"> </w:t>
      </w:r>
      <w:r>
        <w:t xml:space="preserve">for model convergence (empirical underidentification), suggesting that</w:t>
      </w:r>
      <w:r>
        <w:t xml:space="preserve"> </w:t>
      </w:r>
      <w:r>
        <w:t xml:space="preserve">essentially all Psychological domain variance is explained by the higher-order</w:t>
      </w:r>
      <w:r>
        <w:t xml:space="preserve"> </w:t>
      </w:r>
      <w:r>
        <w:t xml:space="preserve">QOL factor.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Convergence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Fixing the Psychological factor variance to zero (</w:t>
            </w:r>
            <w:r>
              <w:rPr>
                <w:rStyle w:val="VerbatimChar"/>
              </w:rPr>
              <w:t xml:space="preserve">psycho ~~ 0*psycho</w:t>
            </w:r>
            <w:r>
              <w:t xml:space="preserve">) is</w:t>
            </w:r>
            <w:r>
              <w:t xml:space="preserve"> </w:t>
            </w:r>
            <w:r>
              <w:t xml:space="preserve">necessary for model convergence. This is not merely a technical trick — it has</w:t>
            </w:r>
            <w:r>
              <w:t xml:space="preserve"> </w:t>
            </w:r>
            <w:r>
              <w:t xml:space="preserve">substantive meaning: nearly all variance in the Psychological domain is captured</w:t>
            </w:r>
            <w:r>
              <w:t xml:space="preserve"> </w:t>
            </w:r>
            <w:r>
              <w:t xml:space="preserve">by the general QOL factor. This finding is consistent with the bifactor results,</w:t>
            </w:r>
            <w:r>
              <w:t xml:space="preserve"> </w:t>
            </w:r>
            <w:r>
              <w:t xml:space="preserve">where the Psychological specific factor had minimal importance.</w:t>
            </w:r>
          </w:p>
        </w:tc>
      </w:tr>
    </w:tbl>
    <w:bookmarkEnd w:id="106"/>
    <w:bookmarkStart w:id="107" w:name="model-estimation-2"/>
    <w:p>
      <w:pPr>
        <w:pStyle w:val="Heading3"/>
      </w:pPr>
      <w:r>
        <w:t xml:space="preserve">7.2 Model Estimation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std.lv</w:t>
      </w:r>
      <w:r>
        <w:t xml:space="preserve"> </w:t>
      </w:r>
      <w:r>
        <w:t xml:space="preserve">is not used here because the second-order structure imposes</w:t>
      </w:r>
      <w:r>
        <w:t xml:space="preserve"> </w:t>
      </w:r>
      <w:r>
        <w:t xml:space="preserve">its own identification constraints through the higher-order factor loadings.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07"/>
    <w:bookmarkStart w:id="119" w:name="model-evaluation-1"/>
    <w:p>
      <w:pPr>
        <w:pStyle w:val="Heading3"/>
      </w:pPr>
      <w:r>
        <w:t xml:space="preserve">7.3 Model Evaluation</w:t>
      </w:r>
    </w:p>
    <w:p>
      <w:pPr>
        <w:pStyle w:val="FirstParagraph"/>
      </w:pPr>
      <w:r>
        <w:t xml:space="preserve">The second-order model fit is comparable to the other models, though the</w:t>
      </w:r>
      <w:r>
        <w:t xml:space="preserve"> </w:t>
      </w:r>
      <w:r>
        <w:t xml:space="preserve">convergence issue with the Psychological domain is a notable limitation.</w:t>
      </w:r>
      <w:r>
        <w:t xml:space="preserve"> </w:t>
      </w:r>
      <w:r>
        <w:t xml:space="preserve">The second-order loadings (QOL → first-order factors) reveal the relative</w:t>
      </w:r>
      <w:r>
        <w:t xml:space="preserve"> </w:t>
      </w:r>
      <w:r>
        <w:t xml:space="preserve">contribution of each domain to overall quality of life.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fit-4f-2o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11: Fit indices for the 2nd order 4-factor CFA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 90% CI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[0.063, 0.071]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adings-4f-2o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12: Standardized factor loadings for the 2nd order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Std.Loading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mi-2o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13: Top 20 modification indices for the 2nd order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115.469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82.991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36.682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Start w:id="115" w:name="cell-fig-residuals-4f-2or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residuals-4f-2or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residuals-4f-2or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Heatmap of standardized residual correlations for the 2nd order 4-factor model</w:t>
            </w:r>
          </w:p>
          <w:bookmarkEnd w:id="11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15"/>
    <w:bookmarkStart w:id="118" w:name="reliability-1"/>
    <w:p>
      <w:pPr>
        <w:pStyle w:val="Heading4"/>
      </w:pPr>
      <w:r>
        <w:t xml:space="preserve">7.3.1 Reliability</w:t>
      </w:r>
    </w:p>
    <w:p>
      <w:pPr>
        <w:pStyle w:val="FirstParagraph"/>
      </w:pPr>
      <w:r>
        <w:t xml:space="preserve">For the first-order factors, we use</w:t>
      </w:r>
      <w:r>
        <w:t xml:space="preserve"> </w:t>
      </w:r>
      <w:r>
        <w:rPr>
          <w:rStyle w:val="VerbatimChar"/>
        </w:rPr>
        <w:t xml:space="preserve">semTools::reliability()</w:t>
      </w:r>
      <w:r>
        <w:t xml:space="preserve">. For the</w:t>
      </w:r>
      <w:r>
        <w:t xml:space="preserve"> </w:t>
      </w:r>
      <w:r>
        <w:t xml:space="preserve">second-order QOL factor,</w:t>
      </w:r>
      <w:r>
        <w:t xml:space="preserve"> </w:t>
      </w:r>
      <w:r>
        <w:rPr>
          <w:rStyle w:val="VerbatimChar"/>
        </w:rPr>
        <w:t xml:space="preserve">semTools::reliabilityL2()</w:t>
      </w:r>
      <w:r>
        <w:t xml:space="preserve"> </w:t>
      </w:r>
      <w:r>
        <w:t xml:space="preserve">provides the appropriate</w:t>
      </w:r>
      <w:r>
        <w:t xml:space="preserve"> </w:t>
      </w:r>
      <w:r>
        <w:t xml:space="preserve">decomposition.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reliability-2o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14: Reliability coefficients for first-order factors (second-order model)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environment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alpha.ord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avevar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reliability-2or-l2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15: Second-order factor (QOL) reliability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omegaL1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omegaL2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partialOmegaL1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The second-order QOL factor shows adequate reliability, indicating that the</w:t>
      </w:r>
      <w:r>
        <w:t xml:space="preserve"> </w:t>
      </w:r>
      <w:r>
        <w:t xml:space="preserve">four first-order domains collectively serve as reliable indicators of overall</w:t>
      </w:r>
      <w:r>
        <w:t xml:space="preserve"> </w:t>
      </w:r>
      <w:r>
        <w:t xml:space="preserve">quality of life. First-order reliability values remain consistent with those</w:t>
      </w:r>
      <w:r>
        <w:t xml:space="preserve"> </w:t>
      </w:r>
      <w:r>
        <w:t xml:space="preserve">observed in the standard 4-factor model.</w:t>
      </w:r>
    </w:p>
    <w:bookmarkEnd w:id="118"/>
    <w:bookmarkEnd w:id="119"/>
    <w:bookmarkStart w:id="125" w:name="path-diagram-1"/>
    <w:p>
      <w:pPr>
        <w:pStyle w:val="Heading3"/>
      </w:pPr>
      <w:r>
        <w:t xml:space="preserve">7.4 Path Diagram</w:t>
      </w:r>
    </w:p>
    <w:bookmarkStart w:id="124" w:name="cell-fig-diagram-2or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iagram-2or"/>
          <w:p>
            <w:pPr>
              <w:pStyle w:val="Compact"/>
              <w:jc w:val="center"/>
            </w:pPr>
            <w:r>
              <w:drawing>
                <wp:inline>
                  <wp:extent cx="5334000" cy="68580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diagram-2or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85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Path diagram of the second-order CFA model</w:t>
            </w:r>
          </w:p>
          <w:bookmarkEnd w:id="12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24"/>
    <w:bookmarkEnd w:id="125"/>
    <w:bookmarkEnd w:id="126"/>
    <w:bookmarkStart w:id="146" w:name="sec-4fb"/>
    <w:p>
      <w:pPr>
        <w:pStyle w:val="Heading2"/>
      </w:pPr>
      <w:r>
        <w:t xml:space="preserve">8 4-Factor Model Without Item Q5</w:t>
      </w:r>
    </w:p>
    <w:p>
      <w:pPr>
        <w:pStyle w:val="FirstParagraph"/>
      </w:pPr>
      <w:r>
        <w:t xml:space="preserve">The analyses above converged on a consistent finding:</w:t>
      </w:r>
      <w:r>
        <w:t xml:space="preserve"> </w:t>
      </w:r>
      <w:r>
        <w:rPr>
          <w:b/>
          <w:bCs/>
        </w:rPr>
        <w:t xml:space="preserve">item Q5 is</w:t>
      </w:r>
      <w:r>
        <w:rPr>
          <w:b/>
          <w:bCs/>
        </w:rPr>
        <w:t xml:space="preserve"> </w:t>
      </w:r>
      <w:r>
        <w:rPr>
          <w:b/>
          <w:bCs/>
        </w:rPr>
        <w:t xml:space="preserve">problematic</w:t>
      </w:r>
      <w:r>
        <w:t xml:space="preserve">. It appeared in multiple high modification indices in the original</w:t>
      </w:r>
      <w:r>
        <w:t xml:space="preserve"> </w:t>
      </w:r>
      <w:r>
        <w:t xml:space="preserve">4-factor model, caused convergence problems in the bifactor model, and its</w:t>
      </w:r>
      <w:r>
        <w:t xml:space="preserve"> </w:t>
      </w:r>
      <w:r>
        <w:t xml:space="preserve">removal was necessary for comparability across alternative models. This is a</w:t>
      </w:r>
      <w:r>
        <w:t xml:space="preserve"> </w:t>
      </w:r>
      <w:r>
        <w:t xml:space="preserve">common scenario in applied CFA — items that appear sound from a content validity</w:t>
      </w:r>
      <w:r>
        <w:t xml:space="preserve"> </w:t>
      </w:r>
      <w:r>
        <w:t xml:space="preserve">perspective may not perform well empirically in a given sample or cultural</w:t>
      </w:r>
      <w:r>
        <w:t xml:space="preserve"> </w:t>
      </w:r>
      <w:r>
        <w:t xml:space="preserve">context.</w:t>
      </w:r>
    </w:p>
    <w:bookmarkStart w:id="127" w:name="model-specification-3"/>
    <w:p>
      <w:pPr>
        <w:pStyle w:val="Heading3"/>
      </w:pPr>
      <w:r>
        <w:t xml:space="preserve">8.1 Model Specification</w:t>
      </w:r>
    </w:p>
    <w:p>
      <w:pPr>
        <w:pStyle w:val="FirstParagraph"/>
      </w:pPr>
      <w:r>
        <w:t xml:space="preserve">This section presents the revised 4-factor model excluding Q5, retaining the</w:t>
      </w:r>
      <w:r>
        <w:t xml:space="preserve"> </w:t>
      </w:r>
      <w:r>
        <w:t xml:space="preserve">correlated residuals between Q3 and Q4. This model will serve as the basis for</w:t>
      </w:r>
      <w:r>
        <w:t xml:space="preserve"> </w:t>
      </w:r>
      <w:r>
        <w:t xml:space="preserve">the final model comparison and post hoc power analysis.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27"/>
    <w:bookmarkStart w:id="128" w:name="model-estimation-3"/>
    <w:p>
      <w:pPr>
        <w:pStyle w:val="Heading3"/>
      </w:pPr>
      <w:r>
        <w:t xml:space="preserve">8.2 Model Estimation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28"/>
    <w:bookmarkStart w:id="139" w:name="model-evaluation-2"/>
    <w:p>
      <w:pPr>
        <w:pStyle w:val="Heading3"/>
      </w:pPr>
      <w:r>
        <w:t xml:space="preserve">8.3 Model Evaluation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fit-4f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Fit indices for the 4-factor CFA model (Q5 excluded)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χ²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 90% CI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[0.064, 0.071]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</w:tr>
          </w:tbl>
          <w:bookmarkEnd w:id="12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loadings-4f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Standardized factor loadings for the 4-factor model (Q5 excluded)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Std.Loading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tbl-cor-4f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Factor correlations for the 4-factor model (Q5 excluded)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3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After removing Q5, the overall fit shows improvement. All remaining items</w:t>
      </w:r>
      <w:r>
        <w:t xml:space="preserve"> </w:t>
      </w:r>
      <w:r>
        <w:t xml:space="preserve">exhibit adequate standardized loadings, and the model converges without issues.</w:t>
      </w:r>
      <w:r>
        <w:t xml:space="preserve"> </w:t>
      </w:r>
      <w:r>
        <w:t xml:space="preserve">The Q5 removal resolves the most prominent source of local misfit identified in</w:t>
      </w:r>
      <w:r>
        <w:t xml:space="preserve"> </w:t>
      </w:r>
      <w:r>
        <w:t xml:space="preserve">the original 4-factor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mi-4f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Top 20 modification indices for the 4-factor model (Q5 excluded)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Q21_S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Q15_F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~~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Q23_A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=~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</w:t>
                  </w:r>
                </w:p>
              </w:tc>
            </w:tr>
          </w:tbl>
          <w:bookmarkEnd w:id="13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The modification indices are notably reduced compared to the original model.</w:t>
      </w:r>
      <w:r>
        <w:t xml:space="preserve"> </w:t>
      </w:r>
      <w:r>
        <w:t xml:space="preserve">While some MIs remain above 3.84, they are smaller in magnitude and do not</w:t>
      </w:r>
      <w:r>
        <w:t xml:space="preserve"> </w:t>
      </w:r>
      <w:r>
        <w:t xml:space="preserve">show the systematic pattern of misfit associated with Q5.</w:t>
      </w:r>
    </w:p>
    <w:bookmarkStart w:id="137" w:name="cell-fig-residuals-4fb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residuals-4fb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residuals-4fb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Heatmap of standardized residual correlations for the 4-factor model (Q5 excluded)</w:t>
            </w:r>
          </w:p>
          <w:bookmarkEnd w:id="13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3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reliability-4fb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Reliability coefficients for the revised 4-factor model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psycho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social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environment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alpha.ord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omega3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avevar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</w:t>
                  </w:r>
                </w:p>
              </w:tc>
            </w:tr>
          </w:tbl>
          <w:bookmarkEnd w:id="13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Reliability for the Psychological domain remains adequate even after removing</w:t>
      </w:r>
      <w:r>
        <w:t xml:space="preserve"> </w:t>
      </w:r>
      <w:r>
        <w:t xml:space="preserve">Q5, confirming that the item was not essential for capturing the construct. The</w:t>
      </w:r>
      <w:r>
        <w:t xml:space="preserve"> </w:t>
      </w:r>
      <w:r>
        <w:t xml:space="preserve">remaining five items (Q6, Q7, Q11, Q19, Q26) provide a reliable measurement</w:t>
      </w:r>
      <w:r>
        <w:t xml:space="preserve"> </w:t>
      </w:r>
      <w:r>
        <w:t xml:space="preserve">of psychological well-being. All other domains maintain their previous</w:t>
      </w:r>
      <w:r>
        <w:t xml:space="preserve"> </w:t>
      </w:r>
      <w:r>
        <w:t xml:space="preserve">reliability levels.</w:t>
      </w:r>
    </w:p>
    <w:bookmarkEnd w:id="139"/>
    <w:bookmarkStart w:id="145" w:name="path-diagram-2"/>
    <w:p>
      <w:pPr>
        <w:pStyle w:val="Heading3"/>
      </w:pPr>
      <w:r>
        <w:t xml:space="preserve">8.4 Path Diagram</w:t>
      </w:r>
    </w:p>
    <w:bookmarkStart w:id="144" w:name="cell-fig-diagram-4fb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iagram-4f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diagram-4fb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Path diagram of the revised 4-factor CFA model (without Q5)</w:t>
            </w:r>
          </w:p>
          <w:bookmarkEnd w:id="1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44"/>
    <w:bookmarkEnd w:id="145"/>
    <w:bookmarkEnd w:id="146"/>
    <w:bookmarkStart w:id="150" w:name="sec-comparison"/>
    <w:p>
      <w:pPr>
        <w:pStyle w:val="Heading2"/>
      </w:pPr>
      <w:r>
        <w:t xml:space="preserve">9 Model Comparison</w:t>
      </w:r>
    </w:p>
    <w:p>
      <w:pPr>
        <w:pStyle w:val="FirstParagraph"/>
      </w:pPr>
      <w:r>
        <w:t xml:space="preserve">We now systematically compare the four models on key fit indices: SRMR,</w:t>
      </w:r>
      <w:r>
        <w:t xml:space="preserve"> </w:t>
      </w:r>
      <w:r>
        <w:t xml:space="preserve">RMSEA (scaled), and CFI (scaled). These three indices capture complementary</w:t>
      </w:r>
      <w:r>
        <w:t xml:space="preserve"> </w:t>
      </w:r>
      <w:r>
        <w:t xml:space="preserve">aspects of model fit — SRMR assesses the average discrepancy in correlations,</w:t>
      </w:r>
      <w:r>
        <w:t xml:space="preserve"> </w:t>
      </w:r>
      <w:r>
        <w:t xml:space="preserve">RMSEA penalizes for model complexity, and CFI compares the model against a</w:t>
      </w:r>
      <w:r>
        <w:t xml:space="preserve"> </w:t>
      </w:r>
      <w:r>
        <w:t xml:space="preserve">baseline independence model.</w:t>
      </w:r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model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21: Fit indices comparison across all CFA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4-Factor (all items)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Bifactor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Second-Order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4-Factor (no Q5)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</w:tr>
          </w:tbl>
          <w:bookmarkEnd w:id="14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hyperlink w:anchor="tbl-model-comparison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shows that the four models exhibit a similar level of</w:t>
      </w:r>
      <w:r>
        <w:t xml:space="preserve"> </w:t>
      </w:r>
      <w:r>
        <w:t xml:space="preserve">misspecification, although the original 4-factor model (with all items) performs</w:t>
      </w:r>
      <w:r>
        <w:t xml:space="preserve"> </w:t>
      </w:r>
      <w:r>
        <w:t xml:space="preserve">slightly worse. The bifactor model shows a marginally better fit, which aligns</w:t>
      </w:r>
      <w:r>
        <w:t xml:space="preserve"> </w:t>
      </w:r>
      <w:r>
        <w:t xml:space="preserve">with findings in the literature — this is likely due to the greater number of</w:t>
      </w:r>
      <w:r>
        <w:t xml:space="preserve"> </w:t>
      </w:r>
      <w:r>
        <w:t xml:space="preserve">free parameters in bifactor structures, which mechanically tend to improve fit</w:t>
      </w:r>
      <w:r>
        <w:t xml:space="preserve"> </w:t>
      </w:r>
      <w:r>
        <w:t xml:space="preserve">indices. As noted by</w:t>
      </w:r>
      <w:r>
        <w:t xml:space="preserve"> </w:t>
      </w:r>
      <w:r>
        <w:t xml:space="preserve">Rogers (2024)</w:t>
      </w:r>
      <w:r>
        <w:t xml:space="preserve">, some authors argue that bifactor models have</w:t>
      </w:r>
      <w:r>
        <w:t xml:space="preserve"> </w:t>
      </w:r>
      <w:r>
        <w:t xml:space="preserve">been used to</w:t>
      </w:r>
      <w:r>
        <w:t xml:space="preserve"> </w:t>
      </w:r>
      <w:r>
        <w:t xml:space="preserve">“salvage”</w:t>
      </w:r>
      <w:r>
        <w:t xml:space="preserve"> </w:t>
      </w:r>
      <w:r>
        <w:t xml:space="preserve">traditional scales that are no longer sustainable under</w:t>
      </w:r>
      <w:r>
        <w:t xml:space="preserve"> </w:t>
      </w:r>
      <w:r>
        <w:t xml:space="preserve">modern estimation and item selection techniques.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Selection Recommendation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known limitation of bifactor models is the assumption that specific factors</w:t>
            </w:r>
            <w:r>
              <w:t xml:space="preserve"> </w:t>
            </w:r>
            <w:r>
              <w:t xml:space="preserve">are uncorrelated — an assumption that frequently does not hold in practice.</w:t>
            </w:r>
            <w:r>
              <w:t xml:space="preserve"> </w:t>
            </w:r>
            <w:r>
              <w:t xml:space="preserve">Additionally, bifactor models can suffer from empirical underidentification and</w:t>
            </w:r>
            <w:r>
              <w:t xml:space="preserve"> </w:t>
            </w:r>
            <w:r>
              <w:t xml:space="preserve">may capitalize on sample-specific variance.</w:t>
            </w:r>
          </w:p>
          <w:p>
            <w:pPr>
              <w:pStyle w:val="BodyText"/>
            </w:pPr>
            <w:r>
              <w:t xml:space="preserve">The second-order model also showed convergence problems, requiring the</w:t>
            </w:r>
            <w:r>
              <w:t xml:space="preserve"> </w:t>
            </w:r>
            <w:r>
              <w:t xml:space="preserve">Psychological factor variance to be fixed to zero.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Based on empirical evidence and practical considerations, the four correlated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 model excluding item Q5 is recommended</w:t>
            </w:r>
            <w:r>
              <w:t xml:space="preserve"> </w:t>
            </w:r>
            <w:r>
              <w:t xml:space="preserve">for measuring WHOQOL-BREF in</w:t>
            </w:r>
            <w:r>
              <w:t xml:space="preserve"> </w:t>
            </w:r>
            <w:r>
              <w:t xml:space="preserve">this sample. This model: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Has acceptable overall and local fit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Avoids the strong orthogonality assumption of bifactor models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Is easier to interpret and communicate to non-technical audiences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Has no convergence issues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Maintains adequate reliability (omega &gt; .70) across all domains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Is the most parsimonious adequate representation of the data</w:t>
            </w:r>
          </w:p>
        </w:tc>
      </w:tr>
    </w:tbl>
    <w:bookmarkEnd w:id="150"/>
    <w:bookmarkStart w:id="178" w:name="sec-power"/>
    <w:p>
      <w:pPr>
        <w:pStyle w:val="Heading2"/>
      </w:pPr>
      <w:r>
        <w:t xml:space="preserve">10 Post Hoc Power Analysis</w:t>
      </w:r>
    </w:p>
    <w:p>
      <w:pPr>
        <w:pStyle w:val="FirstParagraph"/>
      </w:pPr>
      <w:r>
        <w:t xml:space="preserve">The final step in our CFA workflow is a post hoc power analysis assessing</w:t>
      </w:r>
      <w:r>
        <w:t xml:space="preserve"> </w:t>
      </w:r>
      <w:r>
        <w:t xml:space="preserve">whether the sample size (N = 1047) provides adequate statistical power for</w:t>
      </w:r>
      <w:r>
        <w:t xml:space="preserve"> </w:t>
      </w:r>
      <w:r>
        <w:t xml:space="preserve">parameter estimation and misfit detection. We use Monte Carlo simulation via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package: data are repeatedly generated from the fitted model and</w:t>
      </w:r>
      <w:r>
        <w:t xml:space="preserve"> </w:t>
      </w:r>
      <w:r>
        <w:t xml:space="preserve">re-estimated, yielding empirical distributions of parameter estimates and fit</w:t>
      </w:r>
      <w:r>
        <w:t xml:space="preserve"> </w:t>
      </w:r>
      <w:r>
        <w:t xml:space="preserve">indices.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Post Hoc Power Analysis?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is ideal for study planning,</w:t>
            </w:r>
            <w:r>
              <w:t xml:space="preserve"> </w:t>
            </w:r>
            <w:r>
              <w:rPr>
                <w:i/>
                <w:iCs/>
              </w:rPr>
              <w:t xml:space="preserve">post hoc</w:t>
            </w:r>
            <w:r>
              <w:t xml:space="preserve"> </w:t>
            </w:r>
            <w:r>
              <w:t xml:space="preserve">simulation-based power analysis provides essential information about: (1)</w:t>
            </w:r>
            <w:r>
              <w:t xml:space="preserve"> </w:t>
            </w:r>
            <w:r>
              <w:rPr>
                <w:b/>
                <w:bCs/>
              </w:rPr>
              <w:t xml:space="preserve">parameter stability</w:t>
            </w:r>
            <w:r>
              <w:t xml:space="preserve"> </w:t>
            </w:r>
            <w:r>
              <w:t xml:space="preserve">— whether estimates are consistent across replications;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rPr>
                <w:b/>
                <w:bCs/>
              </w:rPr>
              <w:t xml:space="preserve">power to detect non-zero parameters</w:t>
            </w:r>
            <w:r>
              <w:t xml:space="preserve"> </w:t>
            </w:r>
            <w:r>
              <w:t xml:space="preserve">— whether loadings and correlations</w:t>
            </w:r>
            <w:r>
              <w:t xml:space="preserve"> </w:t>
            </w:r>
            <w:r>
              <w:t xml:space="preserve">are reliably different from zero; (3)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— whether 95% confidence</w:t>
            </w:r>
            <w:r>
              <w:t xml:space="preserve"> </w:t>
            </w:r>
            <w:r>
              <w:t xml:space="preserve">intervals perform as expected; and (4)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— whether estimates and standard</w:t>
            </w:r>
            <w:r>
              <w:t xml:space="preserve"> </w:t>
            </w:r>
            <w:r>
              <w:t xml:space="preserve">errors are unbiased.</w:t>
            </w:r>
          </w:p>
        </w:tc>
      </w:tr>
    </w:tbl>
    <w:p>
      <w:pPr>
        <w:pStyle w:val="BodyText"/>
      </w:pPr>
      <w:r>
        <w:t xml:space="preserve">We use the revised four-factor model (without Q5) as both the generating and</w:t>
      </w:r>
      <w:r>
        <w:t xml:space="preserve"> </w:t>
      </w:r>
      <w:r>
        <w:t xml:space="preserve">analysis model. By generating data from the fitted lavaan object, we preserve</w:t>
      </w:r>
      <w:r>
        <w:t xml:space="preserve"> </w:t>
      </w:r>
      <w:r>
        <w:t xml:space="preserve">the ordinal nature of the items and the estimated polychoric structure.</w:t>
      </w:r>
    </w:p>
    <w:bookmarkStart w:id="153" w:name="define-cutoff-values"/>
    <w:p>
      <w:pPr>
        <w:pStyle w:val="Heading3"/>
      </w:pPr>
      <w:r>
        <w:t xml:space="preserve">10.1 Define Cutoff Values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53"/>
    <w:bookmarkStart w:id="156" w:name="run-simulation"/>
    <w:p>
      <w:pPr>
        <w:pStyle w:val="Heading3"/>
      </w:pPr>
      <w:r>
        <w:t xml:space="preserve">10.2 Run Simulation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reduce computational time, we run 100 replications. For final published</w:t>
            </w:r>
            <w:r>
              <w:t xml:space="preserve"> </w:t>
            </w:r>
            <w:r>
              <w:t xml:space="preserve">results, 1,000–5,000 replications are recommended for stable estimates. More</w:t>
            </w:r>
            <w:r>
              <w:t xml:space="preserve"> </w:t>
            </w:r>
            <w:r>
              <w:t xml:space="preserve">replications yield narrower confidence intervals around power estimates but</w:t>
            </w:r>
            <w:r>
              <w:t xml:space="preserve"> </w:t>
            </w:r>
            <w:r>
              <w:t xml:space="preserve">increase computation time proportionally.</w:t>
            </w:r>
          </w:p>
        </w:tc>
      </w:tr>
    </w:tbl>
    <w:bookmarkEnd w:id="156"/>
    <w:bookmarkStart w:id="158" w:name="fit-index-cutoffs"/>
    <w:p>
      <w:pPr>
        <w:pStyle w:val="Heading3"/>
      </w:pPr>
      <w:r>
        <w:t xml:space="preserve">10.3 Fit Index Cutoffs</w:t>
      </w:r>
    </w:p>
    <w:p>
      <w:pPr>
        <w:pStyle w:val="FirstParagraph"/>
      </w:pPr>
      <w:r>
        <w:t xml:space="preserve">Simulation-based cutoffs at α = .05 provide model-specific and sample-specific</w:t>
      </w:r>
      <w:r>
        <w:t xml:space="preserve"> </w:t>
      </w:r>
      <w:r>
        <w:t xml:space="preserve">alternatives to generic rules of thumb. These cutoffs represent the 95th (or</w:t>
      </w:r>
      <w:r>
        <w:t xml:space="preserve"> </w:t>
      </w:r>
      <w:r>
        <w:t xml:space="preserve">5th, for CFI) percentile of fit index distributions under the assumption that</w:t>
      </w:r>
      <w:r>
        <w:t xml:space="preserve"> </w:t>
      </w:r>
      <w:r>
        <w:t xml:space="preserve">the model is correctly specified.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cutoff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22: Simulation-based fit index cutoffs at alpha = 0.05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rmsea.scaled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cfi.scaled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</w:tr>
          </w:tbl>
          <w:bookmarkEnd w:id="15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58"/>
    <w:bookmarkStart w:id="162" w:name="power-to-detect-misfit"/>
    <w:p>
      <w:pPr>
        <w:pStyle w:val="Heading3"/>
      </w:pPr>
      <w:r>
        <w:t xml:space="preserve">10.4 Power to Detect Misfit</w:t>
      </w:r>
    </w:p>
    <w:p>
      <w:pPr>
        <w:pStyle w:val="FirstParagraph"/>
      </w:pPr>
      <w:hyperlink w:anchor="tbl-power-fit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shows the proportion of replications where fit indices exceeded</w:t>
      </w:r>
      <w:r>
        <w:t xml:space="preserve"> </w:t>
      </w:r>
      <w:r>
        <w:t xml:space="preserve">rule-of-thumb cutoffs. Low values (near 0) indicate that the correctly specified</w:t>
      </w:r>
      <w:r>
        <w:t xml:space="preserve"> </w:t>
      </w:r>
      <w:r>
        <w:t xml:space="preserve">model consistently shows good fit — which is the desired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power-f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23: Proportion of replications indicating worse fit than rule-of-thumb cutoffs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cfi.scaled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rmsea.scaled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5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Power to Detect Misfit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Low proportions in</w:t>
            </w:r>
            <w:r>
              <w:t xml:space="preserve"> </w:t>
            </w:r>
            <w:hyperlink w:anchor="tbl-power-fit">
              <w:r>
                <w:rPr>
                  <w:rStyle w:val="Hyperlink"/>
                </w:rPr>
                <w:t xml:space="preserve">Table 23</w:t>
              </w:r>
            </w:hyperlink>
            <w:r>
              <w:t xml:space="preserve"> </w:t>
            </w:r>
            <w:r>
              <w:t xml:space="preserve">mean that the model fits well in most</w:t>
            </w:r>
            <w:r>
              <w:t xml:space="preserve"> </w:t>
            </w:r>
            <w:r>
              <w:t xml:space="preserve">replications — we have low power to reject it when it is correctly specified,</w:t>
            </w:r>
            <w:r>
              <w:t xml:space="preserve"> </w:t>
            </w:r>
            <w:r>
              <w:t xml:space="preserve">which is exactly what we want. If these proportions were high, it would suggest</w:t>
            </w:r>
            <w:r>
              <w:t xml:space="preserve"> </w:t>
            </w:r>
            <w:r>
              <w:t xml:space="preserve">that even when the model is correct, our sample size causes the fit indices to</w:t>
            </w:r>
            <w:r>
              <w:t xml:space="preserve"> </w:t>
            </w:r>
            <w:r>
              <w:t xml:space="preserve">exceed cutoffs (i.e., the cutoffs are too strict for our model and N).</w:t>
            </w:r>
          </w:p>
        </w:tc>
      </w:tr>
    </w:tbl>
    <w:bookmarkEnd w:id="162"/>
    <w:bookmarkStart w:id="173" w:name="sampling-distributions-of-fit-indices"/>
    <w:p>
      <w:pPr>
        <w:pStyle w:val="Heading3"/>
      </w:pPr>
      <w:r>
        <w:t xml:space="preserve">10.5 Sampling Distributions of Fit Indices</w:t>
      </w:r>
    </w:p>
    <w:p>
      <w:pPr>
        <w:pStyle w:val="FirstParagraph"/>
      </w:pPr>
      <w:hyperlink w:anchor="fig-power-fit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empirical distributions of SRMR, RMSEA, and CFI across</w:t>
      </w:r>
      <w:r>
        <w:t xml:space="preserve"> </w:t>
      </w:r>
      <w:r>
        <w:t xml:space="preserve">100 replications, with rule-of-thumb cutoffs overlaid as vertical lines. The</w:t>
      </w:r>
      <w:r>
        <w:t xml:space="preserve"> </w:t>
      </w:r>
      <w:r>
        <w:t xml:space="preserve">distributions should be concentrated well below (SRMR, RMSEA) or above (CFI)</w:t>
      </w:r>
      <w:r>
        <w:t xml:space="preserve"> </w:t>
      </w:r>
      <w:r>
        <w:t xml:space="preserve">the cutoffs.</w:t>
      </w:r>
    </w:p>
    <w:bookmarkStart w:id="167" w:name="cell-fig-power-fit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power-fit"/>
          <w:p>
            <w:pPr>
              <w:pStyle w:val="Compact"/>
              <w:jc w:val="center"/>
            </w:pPr>
            <w:r>
              <w:drawing>
                <wp:inline>
                  <wp:extent cx="5334000" cy="21336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wer-fi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Sampling distributions of fit indices — Power of rejecting misspecified models</w:t>
            </w:r>
          </w:p>
          <w:bookmarkEnd w:id="16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67"/>
    <w:p>
      <w:pPr>
        <w:pStyle w:val="BodyText"/>
      </w:pPr>
      <w:hyperlink w:anchor="fig-cutoff-plot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presents the same distributions with simulation-based cutoffs</w:t>
      </w:r>
      <w:r>
        <w:t xml:space="preserve"> </w:t>
      </w:r>
      <w:r>
        <w:t xml:space="preserve">at α = .05. The shaded areas represent the rejection regions.</w:t>
      </w:r>
    </w:p>
    <w:bookmarkStart w:id="172" w:name="cell-fig-cutoff-plot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utoff-plot"/>
          <w:p>
            <w:pPr>
              <w:pStyle w:val="Compact"/>
              <w:jc w:val="center"/>
            </w:pPr>
            <w:r>
              <w:drawing>
                <wp:inline>
                  <wp:extent cx="5334000" cy="21336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cutoff-plot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Sampling distributions of fit indices with simulation-based cutoffs at alpha = 0.05</w:t>
            </w:r>
          </w:p>
          <w:bookmarkEnd w:id="17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bookmarkEnd w:id="172"/>
    <w:bookmarkEnd w:id="173"/>
    <w:bookmarkStart w:id="177" w:name="detailed-parameter-summary"/>
    <w:p>
      <w:pPr>
        <w:pStyle w:val="Heading3"/>
      </w:pPr>
      <w:r>
        <w:t xml:space="preserve">10.6 Detailed Parameter Summary</w:t>
      </w:r>
    </w:p>
    <w:p>
      <w:pPr>
        <w:pStyle w:val="FirstParagraph"/>
      </w:pPr>
      <w:r>
        <w:t xml:space="preserve">The comprehensive parameter summary below reports, for each model parameter: coverage (proportion of 95% CIs containing the true value), power (proportion rejecting H₀: parameter = 0), relative bias in estimates, and relative bias in standard errors.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simulation-performan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24: Simulation Performance Statistics (n = 1,047, replications = 100)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Bias 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 Bias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psycho=~Q26_P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social=~Q20_S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social=~Q21_S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social=~Q22_S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environment=~Q25_A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Q3_F~~Q4_F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-0.124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Only few threshold parameters show power below .80 (see full report), and thresholds are generally</w:t>
      </w:r>
      <w:r>
        <w:t xml:space="preserve"> </w:t>
      </w:r>
      <w:r>
        <w:t xml:space="preserve">not parameters of interest in CFA. All factor loadings and factor correlations</w:t>
      </w:r>
      <w:r>
        <w:t xml:space="preserve"> </w:t>
      </w:r>
      <w:r>
        <w:t xml:space="preserve">are estimated with adequate power, indicating that the sample size is sufficient</w:t>
      </w:r>
      <w:r>
        <w:t xml:space="preserve"> </w:t>
      </w:r>
      <w:r>
        <w:t xml:space="preserve">for reliable parameter estimation.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the Parameter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Key benchmarks for evaluating simulation quality</w:t>
            </w:r>
            <w:r>
              <w:t xml:space="preserve"> </w:t>
            </w:r>
            <w:r>
              <w:t xml:space="preserve">(Rogers,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Power &gt; .80</w:t>
            </w:r>
            <w:r>
              <w:t xml:space="preserve">: Adequate power to detect non-zero parameters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Coverage 0.91–0.98</w:t>
            </w:r>
            <w:r>
              <w:t xml:space="preserve">: Confidence intervals perform as expected (neither too</w:t>
            </w:r>
            <w:r>
              <w:t xml:space="preserve"> </w:t>
            </w:r>
            <w:r>
              <w:t xml:space="preserve">liberal nor too conservative)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Relative Bias &lt; |0.10|</w:t>
            </w:r>
            <w:r>
              <w:t xml:space="preserve">: Parameter estimates are unbiased (within 10% of</w:t>
            </w:r>
            <w:r>
              <w:t xml:space="preserve"> </w:t>
            </w:r>
            <w:r>
              <w:t xml:space="preserve">true values)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Relative SE Bias &lt; |0.10|</w:t>
            </w:r>
            <w:r>
              <w:t xml:space="preserve">: Standard errors accurately estimate sampling</w:t>
            </w:r>
            <w:r>
              <w:t xml:space="preserve"> </w:t>
            </w:r>
            <w:r>
              <w:t xml:space="preserve">variability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Parameters outside these ranges deserve attention. However,</w:t>
            </w:r>
            <w:r>
              <w:t xml:space="preserve"> </w:t>
            </w:r>
            <w:r>
              <w:rPr>
                <w:b/>
                <w:bCs/>
              </w:rPr>
              <w:t xml:space="preserve">thresholds are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generally not parameters of interest</w:t>
            </w:r>
            <w:r>
              <w:t xml:space="preserve"> </w:t>
            </w:r>
            <w:r>
              <w:t xml:space="preserve">in CFA. The focus should be on factor loadings,</w:t>
            </w:r>
            <w:r>
              <w:t xml:space="preserve"> </w:t>
            </w:r>
            <w:r>
              <w:t xml:space="preserve">factor correlations, and residual variances.</w:t>
            </w:r>
          </w:p>
        </w:tc>
      </w:tr>
    </w:tbl>
    <w:p>
      <w:pPr>
        <w:pStyle w:val="BodyText"/>
      </w:pPr>
      <w:r>
        <w:t xml:space="preserve">The simulation results confirm that the sample size of N = 1047 provides</w:t>
      </w:r>
      <w:r>
        <w:t xml:space="preserve"> </w:t>
      </w:r>
      <w:r>
        <w:t xml:space="preserve">adequate power for estimating all parameters of substantive interest. Factor</w:t>
      </w:r>
      <w:r>
        <w:t xml:space="preserve"> </w:t>
      </w:r>
      <w:r>
        <w:t xml:space="preserve">loadings and correlations are estimated with power &gt; .80, coverage near .95,</w:t>
      </w:r>
      <w:r>
        <w:t xml:space="preserve"> </w:t>
      </w:r>
      <w:r>
        <w:t xml:space="preserve">and negligible bias. This supports the reliability and generalizability of</w:t>
      </w:r>
      <w:r>
        <w:t xml:space="preserve"> </w:t>
      </w:r>
      <w:r>
        <w:t xml:space="preserve">the CFA results presented throughout this tutorial.</w:t>
      </w:r>
    </w:p>
    <w:bookmarkEnd w:id="177"/>
    <w:bookmarkEnd w:id="178"/>
    <w:bookmarkStart w:id="184" w:name="sec-conclusions"/>
    <w:p>
      <w:pPr>
        <w:pStyle w:val="Heading2"/>
      </w:pPr>
      <w:r>
        <w:t xml:space="preserve">11 Summary and Conclusions</w:t>
      </w:r>
    </w:p>
    <w:p>
      <w:pPr>
        <w:pStyle w:val="FirstParagraph"/>
      </w:pPr>
      <w:r>
        <w:t xml:space="preserve">This supplementary material demonstrated a complete CFA workflow for ordinal</w:t>
      </w:r>
      <w:r>
        <w:t xml:space="preserve"> </w:t>
      </w:r>
      <w:r>
        <w:t xml:space="preserve">data using the WHOQOL-BREF instrument, implementing the best practices</w:t>
      </w:r>
      <w:r>
        <w:t xml:space="preserve"> </w:t>
      </w:r>
      <w:r>
        <w:t xml:space="preserve">described in</w:t>
      </w:r>
      <w:r>
        <w:t xml:space="preserve"> </w:t>
      </w:r>
      <w:r>
        <w:t xml:space="preserve">Rogers (2024)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preparation</w:t>
      </w:r>
      <w:r>
        <w:t xml:space="preserve"> </w:t>
      </w:r>
      <w:r>
        <w:t xml:space="preserve">(</w:t>
      </w:r>
      <w:hyperlink w:anchor="sec-etl">
        <w:r>
          <w:rPr>
            <w:rStyle w:val="Hyperlink"/>
          </w:rPr>
          <w:t xml:space="preserve">Section 3</w:t>
        </w:r>
      </w:hyperlink>
      <w:r>
        <w:t xml:space="preserve">): Loaded data directly from Mendeley Data</w:t>
      </w:r>
      <w:r>
        <w:t xml:space="preserve"> </w:t>
      </w:r>
      <w:r>
        <w:t xml:space="preserve">repository, verified structure and descriptive statistics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</w:t>
      </w:r>
      <w:hyperlink w:anchor="sec-popmodel">
        <w:r>
          <w:rPr>
            <w:rStyle w:val="Hyperlink"/>
          </w:rPr>
          <w:t xml:space="preserve">Section 4</w:t>
        </w:r>
      </w:hyperlink>
      <w:r>
        <w:t xml:space="preserve">): Defined a teaching example based on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with analytically derived residual variances and equidistant</w:t>
      </w:r>
      <w:r>
        <w:t xml:space="preserve"> </w:t>
      </w:r>
      <w:r>
        <w:t xml:space="preserve">thresholds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specification and estimation</w:t>
      </w:r>
      <w:r>
        <w:t xml:space="preserve">: Tested four competing structures:</w:t>
      </w:r>
    </w:p>
    <w:p>
      <w:pPr>
        <w:pStyle w:val="Compact"/>
        <w:numPr>
          <w:ilvl w:val="1"/>
          <w:numId w:val="1007"/>
        </w:numPr>
      </w:pPr>
      <w:r>
        <w:t xml:space="preserve">Original 4-factor model with all 24 items (</w:t>
      </w:r>
      <w:hyperlink w:anchor="sec-4f">
        <w:r>
          <w:rPr>
            <w:rStyle w:val="Hyperlink"/>
          </w:rPr>
          <w:t xml:space="preserve">Section 5</w:t>
        </w:r>
      </w:hyperlink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Bifactor model with general QOL factor (</w:t>
      </w:r>
      <w:hyperlink w:anchor="sec-bifactor">
        <w:r>
          <w:rPr>
            <w:rStyle w:val="Hyperlink"/>
          </w:rPr>
          <w:t xml:space="preserve">Section 6</w:t>
        </w:r>
      </w:hyperlink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Second-order hierarchical model (</w:t>
      </w:r>
      <w:hyperlink w:anchor="sec-2nd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1"/>
          <w:numId w:val="1007"/>
        </w:numPr>
      </w:pPr>
      <w:r>
        <w:t xml:space="preserve">Revised 4-factor model excluding problematic item Q5 (</w:t>
      </w:r>
      <w:hyperlink w:anchor="sec-4fb">
        <w:r>
          <w:rPr>
            <w:rStyle w:val="Hyperlink"/>
          </w:rPr>
          <w:t xml:space="preserve">Section 8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evaluation</w:t>
      </w:r>
      <w:r>
        <w:t xml:space="preserve">: Applied DWLS estimation appropriate for ordinal data,</w:t>
      </w:r>
      <w:r>
        <w:t xml:space="preserve"> </w:t>
      </w:r>
      <w:r>
        <w:t xml:space="preserve">examining overall fit (SRMR, RMSEA, CFI), local fit (MI, residuals),</w:t>
      </w:r>
      <w:r>
        <w:t xml:space="preserve"> </w:t>
      </w:r>
      <w:r>
        <w:t xml:space="preserve">reliability (alpha, omega, AVE), and path diagrams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comparison</w:t>
      </w:r>
      <w:r>
        <w:t xml:space="preserve"> </w:t>
      </w:r>
      <w:r>
        <w:t xml:space="preserve">(</w:t>
      </w:r>
      <w:hyperlink w:anchor="sec-comparison">
        <w:r>
          <w:rPr>
            <w:rStyle w:val="Hyperlink"/>
          </w:rPr>
          <w:t xml:space="preserve">Section 9</w:t>
        </w:r>
      </w:hyperlink>
      <w:r>
        <w:t xml:space="preserve">): Systematically compared all models,</w:t>
      </w:r>
      <w:r>
        <w:t xml:space="preserve"> </w:t>
      </w:r>
      <w:r>
        <w:t xml:space="preserve">recommending the revised 4-factor model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(</w:t>
      </w:r>
      <w:hyperlink w:anchor="sec-power">
        <w:r>
          <w:rPr>
            <w:rStyle w:val="Hyperlink"/>
          </w:rPr>
          <w:t xml:space="preserve">Section 10</w:t>
        </w:r>
      </w:hyperlink>
      <w:r>
        <w:t xml:space="preserve">): Assessed statistical adequacy via Monte</w:t>
      </w:r>
      <w:r>
        <w:t xml:space="preserve"> </w:t>
      </w:r>
      <w:r>
        <w:t xml:space="preserve">Carlo simulation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Always use appropriate estimators for ordinal data</w:t>
            </w:r>
            <w:r>
              <w:t xml:space="preserve">: DWLS/WLSMV operates</w:t>
            </w:r>
            <w:r>
              <w:t xml:space="preserve"> </w:t>
            </w:r>
            <w:r>
              <w:t xml:space="preserve">on polychoric correlations and does not assume normality of observed</w:t>
            </w:r>
            <w:r>
              <w:t xml:space="preserve"> </w:t>
            </w:r>
            <w:r>
              <w:t xml:space="preserve">variables — using ML with ordinal Likert data leads to biased estimates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Item Q5 is systematically problematic</w:t>
            </w:r>
            <w:r>
              <w:t xml:space="preserve"> </w:t>
            </w:r>
            <w:r>
              <w:t xml:space="preserve">across multiple model structures</w:t>
            </w:r>
            <w:r>
              <w:t xml:space="preserve"> </w:t>
            </w:r>
            <w:r>
              <w:t xml:space="preserve">and should be excluded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revised 4-factor correlated model</w:t>
            </w:r>
            <w:r>
              <w:t xml:space="preserve"> </w:t>
            </w:r>
            <w:r>
              <w:t xml:space="preserve">(without Q5) provides the best</w:t>
            </w:r>
            <w:r>
              <w:t xml:space="preserve"> </w:t>
            </w:r>
            <w:r>
              <w:t xml:space="preserve">balance of fit, interpretability, and statistical properties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Bifactor models improve fit mechanically</w:t>
            </w:r>
            <w:r>
              <w:t xml:space="preserve"> </w:t>
            </w:r>
            <w:r>
              <w:t xml:space="preserve">but impose strong orthogonality</w:t>
            </w:r>
            <w:r>
              <w:t xml:space="preserve"> </w:t>
            </w:r>
            <w:r>
              <w:t xml:space="preserve">assumptions that rarely hold; they should not be preferred solely on the</w:t>
            </w:r>
            <w:r>
              <w:t xml:space="preserve"> </w:t>
            </w:r>
            <w:r>
              <w:t xml:space="preserve">basis of fit indices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All four domains</w:t>
            </w:r>
            <w:r>
              <w:t xml:space="preserve"> </w:t>
            </w:r>
            <w:r>
              <w:t xml:space="preserve">show adequate reliability (omega &gt; .70) in the</w:t>
            </w:r>
            <w:r>
              <w:t xml:space="preserve"> </w:t>
            </w:r>
            <w:r>
              <w:t xml:space="preserve">recommended model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Sample size N = 1047</w:t>
            </w:r>
            <w:r>
              <w:t xml:space="preserve"> </w:t>
            </w:r>
            <w:r>
              <w:t xml:space="preserve">provides adequate power for all parameters of</w:t>
            </w:r>
            <w:r>
              <w:t xml:space="preserve"> </w:t>
            </w:r>
            <w:r>
              <w:t xml:space="preserve">substantive interest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Examine both overall and local fit</w:t>
            </w:r>
            <w:r>
              <w:t xml:space="preserve"> </w:t>
            </w:r>
            <w:r>
              <w:t xml:space="preserve">— global indices can mask specific,</w:t>
            </w:r>
            <w:r>
              <w:t xml:space="preserve"> </w:t>
            </w:r>
            <w:r>
              <w:t xml:space="preserve">actionable problems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Modification indices should guide, not dictate</w:t>
            </w:r>
            <w:r>
              <w:t xml:space="preserve">: Only make theoretically</w:t>
            </w:r>
            <w:r>
              <w:t xml:space="preserve"> </w:t>
            </w:r>
            <w:r>
              <w:t xml:space="preserve">justified changes, and be alert to items that appear repeatedly in high MIs</w:t>
            </w:r>
          </w:p>
        </w:tc>
      </w:tr>
    </w:tbl>
    <w:p>
      <w:pPr>
        <w:pStyle w:val="FirstParagraph"/>
      </w:pPr>
      <w:r>
        <w:t xml:space="preserve">For the full theoretical and methodological framework underlying these analyses,</w:t>
      </w:r>
      <w:r>
        <w:t xml:space="preserve"> </w:t>
      </w:r>
      <w:r>
        <w:t xml:space="preserve">including parallel</w:t>
      </w:r>
      <w:r>
        <w:t xml:space="preserve"> </w:t>
      </w:r>
      <w:hyperlink r:id="rId181">
        <w:r>
          <w:rPr>
            <w:rStyle w:val="Hyperlink"/>
          </w:rPr>
          <w:t xml:space="preserve">JASP implementations</w:t>
        </w:r>
      </w:hyperlink>
      <w:r>
        <w:t xml:space="preserve">, see</w:t>
      </w:r>
      <w:r>
        <w:t xml:space="preserve"> </w:t>
      </w:r>
      <w:r>
        <w:t xml:space="preserve">Rogers (2024)</w:t>
      </w:r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OSF repository</w:t>
        </w:r>
      </w:hyperlink>
      <w:r>
        <w:t xml:space="preserve">, and</w:t>
      </w:r>
      <w:r>
        <w:t xml:space="preserve"> </w:t>
      </w:r>
      <w:hyperlink r:id="rId183">
        <w:r>
          <w:rPr>
            <w:rStyle w:val="Hyperlink"/>
          </w:rPr>
          <w:t xml:space="preserve">Github Repository</w:t>
        </w:r>
      </w:hyperlink>
    </w:p>
    <w:bookmarkEnd w:id="184"/>
    <w:bookmarkStart w:id="196" w:name="references"/>
    <w:p>
      <w:pPr>
        <w:pStyle w:val="Heading2"/>
      </w:pPr>
      <w:r>
        <w:t xml:space="preserve">References</w:t>
      </w:r>
    </w:p>
    <w:bookmarkStart w:id="195" w:name="refs"/>
    <w:bookmarkStart w:id="186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exploration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185">
        <w:r>
          <w:rPr>
            <w:rStyle w:val="Hyperlink"/>
          </w:rPr>
          <w:t xml:space="preserve">https://doi.org/10.1037/pas0001122</w:t>
        </w:r>
      </w:hyperlink>
    </w:p>
    <w:bookmarkEnd w:id="186"/>
    <w:bookmarkStart w:id="188" w:name="ref-mcneish2023likert"/>
    <w:p>
      <w:pPr>
        <w:pStyle w:val="Bibliography"/>
      </w:pPr>
      <w:r>
        <w:t xml:space="preserve">McNeish, D. (2023). Dynamic</w:t>
      </w:r>
      <w:r>
        <w:t xml:space="preserve"> </w:t>
      </w:r>
      <w:r>
        <w:t xml:space="preserve">Fit Index Cutoffs</w:t>
      </w:r>
      <w:r>
        <w:t xml:space="preserve"> </w:t>
      </w:r>
      <w:r>
        <w:t xml:space="preserve">for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with</w:t>
      </w:r>
      <w:r>
        <w:t xml:space="preserve"> </w:t>
      </w:r>
      <w:r>
        <w:t xml:space="preserve">Likert</w:t>
      </w:r>
      <w:r>
        <w:t xml:space="preserve">,</w:t>
      </w:r>
      <w:r>
        <w:t xml:space="preserve"> </w:t>
      </w:r>
      <w:r>
        <w:t xml:space="preserve">Ordinal</w:t>
      </w:r>
      <w:r>
        <w:t xml:space="preserve">, or</w:t>
      </w:r>
      <w:r>
        <w:t xml:space="preserve"> </w:t>
      </w:r>
      <w:r>
        <w:t xml:space="preserve">Binary Responses</w:t>
      </w:r>
      <w:r>
        <w:t xml:space="preserve">.</w:t>
      </w:r>
      <w:r>
        <w:t xml:space="preserve"> </w:t>
      </w:r>
      <w:r>
        <w:rPr>
          <w:i/>
          <w:iCs/>
        </w:rPr>
        <w:t xml:space="preserve">PsyArXiv Preprints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https://doi.org/10.31234/osf.io/tp35s</w:t>
        </w:r>
      </w:hyperlink>
    </w:p>
    <w:bookmarkEnd w:id="188"/>
    <w:bookmarkStart w:id="190" w:name="ref-rogers2021"/>
    <w:p>
      <w:pPr>
        <w:pStyle w:val="Bibliography"/>
      </w:pPr>
      <w:r>
        <w:t xml:space="preserve">Rogers, P. (2021). Data for "</w:t>
      </w:r>
      <w:r>
        <w:t xml:space="preserve">Best 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 A</w:t>
      </w:r>
      <w:r>
        <w:t xml:space="preserve"> </w:t>
      </w:r>
      <w:r>
        <w:t xml:space="preserve">Factor Tutorial</w:t>
      </w:r>
      <w:r>
        <w:t xml:space="preserve">" [dataset]. In</w:t>
      </w:r>
      <w:r>
        <w:t xml:space="preserve"> </w:t>
      </w:r>
      <w:r>
        <w:rPr>
          <w:i/>
          <w:iCs/>
        </w:rPr>
        <w:t xml:space="preserve">RAC-Revista de Administração Contemporânea</w:t>
      </w:r>
      <w:r>
        <w:t xml:space="preserve">. Mendeley Data, V2.</w:t>
      </w:r>
      <w:r>
        <w:t xml:space="preserve"> </w:t>
      </w:r>
      <w:hyperlink r:id="rId189">
        <w:r>
          <w:rPr>
            <w:rStyle w:val="Hyperlink"/>
          </w:rPr>
          <w:t xml:space="preserve">https://doi.org/10.17632/rdky78bk8r.2</w:t>
        </w:r>
      </w:hyperlink>
    </w:p>
    <w:bookmarkEnd w:id="190"/>
    <w:bookmarkStart w:id="192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191">
        <w:r>
          <w:rPr>
            <w:rStyle w:val="Hyperlink"/>
          </w:rPr>
          <w:t xml:space="preserve">https://doi.org/10.1590/1982-7849rac2022210085.en</w:t>
        </w:r>
      </w:hyperlink>
    </w:p>
    <w:bookmarkEnd w:id="192"/>
    <w:bookmarkStart w:id="194" w:name="ref-rogers2024"/>
    <w:p>
      <w:pPr>
        <w:pStyle w:val="Bibliography"/>
      </w:pPr>
      <w:r>
        <w:t xml:space="preserve">Rogers, P. (2024). Best practices for your confirmatory factor analysis:</w:t>
      </w:r>
      <w:r>
        <w:t xml:space="preserve"> </w:t>
      </w:r>
      <w:r>
        <w:t xml:space="preserve">A JASP</w:t>
      </w:r>
      <w:r>
        <w:t xml:space="preserve"> </w:t>
      </w:r>
      <w:r>
        <w:t xml:space="preserve">and lavaan tutorial.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https://doi.org/10.3758/s13428-024-02375-7</w:t>
        </w:r>
      </w:hyperlink>
    </w:p>
    <w:bookmarkEnd w:id="194"/>
    <w:bookmarkEnd w:id="195"/>
    <w:bookmarkEnd w:id="1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50" Target="media/rId50.png" /><Relationship Type="http://schemas.openxmlformats.org/officeDocument/2006/relationships/image" Id="rId57" Target="media/rId57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168" Target="media/rId168.png" /><Relationship Type="http://schemas.openxmlformats.org/officeDocument/2006/relationships/image" Id="rId120" Target="media/rId120.png" /><Relationship Type="http://schemas.openxmlformats.org/officeDocument/2006/relationships/image" Id="rId73" Target="media/rId73.png" /><Relationship Type="http://schemas.openxmlformats.org/officeDocument/2006/relationships/image" Id="rId140" Target="media/rId140.png" /><Relationship Type="http://schemas.openxmlformats.org/officeDocument/2006/relationships/image" Id="rId95" Target="media/rId95.png" /><Relationship Type="http://schemas.openxmlformats.org/officeDocument/2006/relationships/image" Id="rId163" Target="media/rId163.png" /><Relationship Type="http://schemas.openxmlformats.org/officeDocument/2006/relationships/image" Id="rId61" Target="media/rId61.png" /><Relationship Type="http://schemas.openxmlformats.org/officeDocument/2006/relationships/image" Id="rId111" Target="media/rId111.png" /><Relationship Type="http://schemas.openxmlformats.org/officeDocument/2006/relationships/image" Id="rId87" Target="media/rId87.png" /><Relationship Type="http://schemas.openxmlformats.org/officeDocument/2006/relationships/image" Id="rId133" Target="media/rId133.png" /><Relationship Type="http://schemas.openxmlformats.org/officeDocument/2006/relationships/hyperlink" Id="rId185" Target="https://doi.org/10.1037/pas0001122" TargetMode="External" /><Relationship Type="http://schemas.openxmlformats.org/officeDocument/2006/relationships/hyperlink" Id="rId191" Target="https://doi.org/10.1590/1982-7849rac2022210085.en" TargetMode="External" /><Relationship Type="http://schemas.openxmlformats.org/officeDocument/2006/relationships/hyperlink" Id="rId189" Target="https://doi.org/10.17632/rdky78bk8r.2" TargetMode="External" /><Relationship Type="http://schemas.openxmlformats.org/officeDocument/2006/relationships/hyperlink" Id="rId187" Target="https://doi.org/10.31234/osf.io/tp35s" TargetMode="External" /><Relationship Type="http://schemas.openxmlformats.org/officeDocument/2006/relationships/hyperlink" Id="rId193" Target="https://doi.org/10.3758/s13428-024-02375-7" TargetMode="External" /><Relationship Type="http://schemas.openxmlformats.org/officeDocument/2006/relationships/hyperlink" Id="rId183" Target="https://github.com/phdpablo/cfa-brm" TargetMode="External" /><Relationship Type="http://schemas.openxmlformats.org/officeDocument/2006/relationships/hyperlink" Id="rId181" Target="https://github.com/phdpablo/cfa-brm/tree/main/jasp" TargetMode="External" /><Relationship Type="http://schemas.openxmlformats.org/officeDocument/2006/relationships/hyperlink" Id="rId182" Target="https://osf.io/cv8wb/overview" TargetMode="External" /><Relationship Type="http://schemas.openxmlformats.org/officeDocument/2006/relationships/hyperlink" Id="rId20" Target="https://phdpablo.github.io/cfa-brm/index-preview.html" TargetMode="External" /><Relationship Type="http://schemas.openxmlformats.org/officeDocument/2006/relationships/hyperlink" Id="rId25" Target="https://phdpablo.github.io/cfa-brm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5" Target="https://doi.org/10.1037/pas0001122" TargetMode="External" /><Relationship Type="http://schemas.openxmlformats.org/officeDocument/2006/relationships/hyperlink" Id="rId191" Target="https://doi.org/10.1590/1982-7849rac2022210085.en" TargetMode="External" /><Relationship Type="http://schemas.openxmlformats.org/officeDocument/2006/relationships/hyperlink" Id="rId189" Target="https://doi.org/10.17632/rdky78bk8r.2" TargetMode="External" /><Relationship Type="http://schemas.openxmlformats.org/officeDocument/2006/relationships/hyperlink" Id="rId187" Target="https://doi.org/10.31234/osf.io/tp35s" TargetMode="External" /><Relationship Type="http://schemas.openxmlformats.org/officeDocument/2006/relationships/hyperlink" Id="rId193" Target="https://doi.org/10.3758/s13428-024-02375-7" TargetMode="External" /><Relationship Type="http://schemas.openxmlformats.org/officeDocument/2006/relationships/hyperlink" Id="rId183" Target="https://github.com/phdpablo/cfa-brm" TargetMode="External" /><Relationship Type="http://schemas.openxmlformats.org/officeDocument/2006/relationships/hyperlink" Id="rId181" Target="https://github.com/phdpablo/cfa-brm/tree/main/jasp" TargetMode="External" /><Relationship Type="http://schemas.openxmlformats.org/officeDocument/2006/relationships/hyperlink" Id="rId182" Target="https://osf.io/cv8wb/overview" TargetMode="External" /><Relationship Type="http://schemas.openxmlformats.org/officeDocument/2006/relationships/hyperlink" Id="rId20" Target="https://phdpablo.github.io/cfa-brm/index-preview.html" TargetMode="External" /><Relationship Type="http://schemas.openxmlformats.org/officeDocument/2006/relationships/hyperlink" Id="rId25" Target="https://phdpablo.github.io/cfa-brm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practices for your confirmatory factor analysis</dc:title>
  <dc:creator>Pablo Rogers</dc:creator>
  <cp:keywords>Confirmatory Factor Analysis, Structural Equation Modeling, Internal Structural Validity, JASP, lavaan</cp:keywords>
  <dcterms:created xsi:type="dcterms:W3CDTF">2026-02-10T23:59:36Z</dcterms:created>
  <dcterms:modified xsi:type="dcterms:W3CDTF">2026-02-10T23:59:36Z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provides the complete R/lavaan implementation for the confirmatory factor analysis (CFA) tutorial presented in Rogers (2024). The analyses use the WHOQOL-BREF instrument — a 24-item quality of life measure covering four domains: Psychological, Physical, Social, and Environment — with data from a Brazilian sample of 1,047 respondents (Rogers, 2021). The codes that generates the outputs for this tutorial article can be found in the notebook: https://phdpablo.github.io/cfa-brm/index-preview.html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2024-03-13</vt:lpwstr>
  </property>
  <property fmtid="{D5CDD505-2E9C-101B-9397-08002B2CF9AE}" pid="12" name="editor">
    <vt:lpwstr/>
  </property>
  <property fmtid="{D5CDD505-2E9C-101B-9397-08002B2CF9AE}" pid="13" name="execute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open-graph">
    <vt:lpwstr>True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repo-url">
    <vt:lpwstr>https://github.com/phdpablo/cfa-brm/</vt:lpwstr>
  </property>
  <property fmtid="{D5CDD505-2E9C-101B-9397-08002B2CF9AE}" pid="26" name="site-url">
    <vt:lpwstr>https://phdpablo.github.io/cfa-brm/</vt:lpwstr>
  </property>
  <property fmtid="{D5CDD505-2E9C-101B-9397-08002B2CF9AE}" pid="27" name="subtitle">
    <vt:lpwstr>A JASP and lavaan tutorial</vt:lpwstr>
  </property>
  <property fmtid="{D5CDD505-2E9C-101B-9397-08002B2CF9AE}" pid="28" name="template-partials">
    <vt:lpwstr/>
  </property>
  <property fmtid="{D5CDD505-2E9C-101B-9397-08002B2CF9AE}" pid="29" name="theme">
    <vt:lpwstr>cosmo</vt:lpwstr>
  </property>
  <property fmtid="{D5CDD505-2E9C-101B-9397-08002B2CF9AE}" pid="30" name="title-block-style">
    <vt:lpwstr>manuscript</vt:lpwstr>
  </property>
  <property fmtid="{D5CDD505-2E9C-101B-9397-08002B2CF9AE}" pid="31" name="toc-title">
    <vt:lpwstr>Table of contents</vt:lpwstr>
  </property>
  <property fmtid="{D5CDD505-2E9C-101B-9397-08002B2CF9AE}" pid="32" name="unroll-markdown-cells">
    <vt:lpwstr>True</vt:lpwstr>
  </property>
</Properties>
</file>