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  <Override PartName="/word/media/rId9.png" ContentType="image/png"/>
  <Override PartName="/word/media/rId47.png" ContentType="image/png"/>
  <Override PartName="/word/media/rId35.png" ContentType="image/png"/>
  <Override PartName="/word/media/rId21.png" ContentType="image/png"/>
  <Override PartName="/word/media/rId28.png" ContentType="image/png"/>
  <Override PartName="/word/media/rId14.png" ContentType="image/png"/>
  <Override PartName="/word/media/rId62.png" ContentType="image/png"/>
  <Override PartName="/word/media/rId56.png" ContentType="image/png"/>
  <Override PartName="/word/media/rId75.png" ContentType="image/png"/>
  <Override PartName="/word/media/rId69.png" ContentType="image/png"/>
  <Override PartName="/word/media/rId94.png" ContentType="image/png"/>
  <Override PartName="/word/media/rId127.png" ContentType="image/png"/>
  <Override PartName="/word/media/rId140.png" ContentType="image/png"/>
  <Override PartName="/word/media/rId102.png" ContentType="image/png"/>
  <Override PartName="/word/media/rId89.png" ContentType="image/png"/>
  <Override PartName="/word/media/rId122.png" ContentType="image/png"/>
  <Override PartName="/word/media/rId135.png" ContentType="image/png"/>
  <Override PartName="/word/media/rId155.png" ContentType="image/png"/>
  <Override PartName="/word/media/rId168.png" ContentType="image/png"/>
  <Override PartName="/word/media/rId150.png" ContentType="image/png"/>
  <Override PartName="/word/media/rId163.png" ContentType="image/png"/>
  <Override PartName="/word/media/rId183.png" ContentType="image/png"/>
  <Override PartName="/word/media/rId176.png" ContentType="image/png"/>
  <Override PartName="/word/media/rId211.png" ContentType="image/png"/>
  <Override PartName="/word/media/rId193.png" ContentType="image/png"/>
  <Override PartName="/word/media/rId205.png" ContentType="image/png"/>
  <Override PartName="/word/media/rId1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Power Analysis for Confirmatory Factor Analysis: A Practical Tutorial</w:t>
      </w:r>
    </w:p>
    <w:p>
      <w:pPr>
        <w:pStyle w:val="Subtitle"/>
      </w:pPr>
      <w:r>
        <w:t xml:space="preserve">Analytical and Simulation-Based Approaches</w:t>
      </w:r>
    </w:p>
    <w:p>
      <w:pPr>
        <w:pStyle w:val="Author"/>
      </w:pPr>
      <w:r>
        <w:t xml:space="preserve">Pablo Rogers</w:t>
      </w:r>
    </w:p>
    <w:p>
      <w:pPr>
        <w:pStyle w:val="Date"/>
      </w:pPr>
      <w:r>
        <w:t xml:space="preserve">2026-04-21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tutorial presents a pedagogical introduction to statistical power analysis in Confirmatory Factor Analysis (CFA). Proper sample size planning requires assessing the probability of detecting overall model misfit, either through analytical methods or simulation-based approaches. Standard analytical tools rely on asymptotic normal theory, which can break down under non-normality or missing data. This tutorial demonstrates both strategies — analytical (using semPower with lavaan syntax) and Monte Carlo simulation (using simsem) — side by side, using the WHOQOL-BREF four-factor model as a unifying case study. We illustrate how simulation complements analytical calculations by enabling researchers to evaluate parameter-level power, coverage, and relative bias under realistic scenarios involving model misspecification, missing data, and non-normal continuous indicators. We argue that analytical methods provide a fast and theoretically grounded starting point for sample size planning, while simulation-based approaches allow those conclusions to be stress-tested against the specific population structure, misspecification form, and data conditions of the study at hand.</w:t>
      </w:r>
    </w:p>
    <w:bookmarkStart w:id="12" w:name="sec-intro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Statistical power in CFA is the probability of correctly rejecting a</w:t>
      </w:r>
      <w:r>
        <w:t xml:space="preserve"> </w:t>
      </w:r>
      <w:r>
        <w:t xml:space="preserve">misspecified model — or of detecting a parameter of interest when it is</w:t>
      </w:r>
      <w:r>
        <w:t xml:space="preserve"> </w:t>
      </w:r>
      <w:r>
        <w:t xml:space="preserve">truly non-zero in the population</w:t>
      </w:r>
      <w:r>
        <w:t xml:space="preserve"> </w:t>
      </w:r>
      <w:r>
        <w:t xml:space="preserve">(MacCallum et al., 1996)</w:t>
      </w:r>
      <w:r>
        <w:t xml:space="preserve">. Despite its</w:t>
      </w:r>
      <w:r>
        <w:t xml:space="preserve"> </w:t>
      </w:r>
      <w:r>
        <w:t xml:space="preserve">importance, power is rarely reported in applied CFA work: researchers</w:t>
      </w:r>
      <w:r>
        <w:t xml:space="preserve"> </w:t>
      </w:r>
      <w:r>
        <w:t xml:space="preserve">frequently fall back on arbitrary rules of thumb linking required sample</w:t>
      </w:r>
      <w:r>
        <w:t xml:space="preserve"> </w:t>
      </w:r>
      <w:r>
        <w:t xml:space="preserve">size to the number of observed variables or estimated parameters, rather</w:t>
      </w:r>
      <w:r>
        <w:t xml:space="preserve"> </w:t>
      </w:r>
      <w:r>
        <w:t xml:space="preserve">than conducting formal prospective calculations</w:t>
      </w:r>
      <w:r>
        <w:t xml:space="preserve"> </w:t>
      </w:r>
      <w:r>
        <w:t xml:space="preserve">(Aguirre-Urreta et al., 2024; Wolf et al., 2013)</w:t>
      </w:r>
      <w:r>
        <w:t xml:space="preserve">.</w:t>
      </w:r>
    </w:p>
    <w:p>
      <w:pPr>
        <w:pStyle w:val="BodyText"/>
      </w:pPr>
      <w:r>
        <w:t xml:space="preserve">Two main paradigms address power analysis in CFA: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Analytical methods</w:t>
      </w:r>
      <w:r>
        <w:t xml:space="preserve">: Rely on the non-central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to determine the sample size required for detecting</w:t>
      </w:r>
      <w:r>
        <w:t xml:space="preserve"> </w:t>
      </w:r>
      <w:r>
        <w:t xml:space="preserve">global or local model misfit, typically quantified through the RMSEA</w:t>
      </w:r>
      <w:r>
        <w:t xml:space="preserve"> </w:t>
      </w:r>
      <w:r>
        <w:t xml:space="preserve">(Jak et al., 2021; MacCallum et al., 1996)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Simulation-based methods</w:t>
      </w:r>
      <w:r>
        <w:t xml:space="preserve">: Use Monte Carlo data generation to</w:t>
      </w:r>
      <w:r>
        <w:t xml:space="preserve"> </w:t>
      </w:r>
      <w:r>
        <w:t xml:space="preserve">estimate power, bias, and coverage for specific parameters or</w:t>
      </w:r>
      <w:r>
        <w:t xml:space="preserve"> </w:t>
      </w:r>
      <w:r>
        <w:t xml:space="preserve">overall fit indices across varying sample sizes, without relying on</w:t>
      </w:r>
      <w:r>
        <w:t xml:space="preserve"> </w:t>
      </w:r>
      <w:r>
        <w:t xml:space="preserve">the asymptotic assumptions that constrain analytical solutions</w:t>
      </w:r>
      <w:r>
        <w:t xml:space="preserve"> </w:t>
      </w:r>
      <w:r>
        <w:t xml:space="preserve">(Muthén &amp; Muthén, 2002; Pornprasertmanit et al., 2021)</w:t>
      </w:r>
      <w:r>
        <w:t xml:space="preserve">.</w:t>
      </w:r>
    </w:p>
    <w:p>
      <w:pPr>
        <w:pStyle w:val="FirstParagraph"/>
      </w:pPr>
      <w:r>
        <w:t xml:space="preserve">This document provides a comprehensive tutorial covering both paradigms:</w:t>
      </w:r>
      <w:r>
        <w:t xml:space="preserve"> </w:t>
      </w:r>
      <w:r>
        <w:t xml:space="preserve">analytical power analysis using the</w:t>
      </w:r>
      <w:r>
        <w:t xml:space="preserve"> </w:t>
      </w:r>
      <w:r>
        <w:rPr>
          <w:rStyle w:val="VerbatimChar"/>
        </w:rPr>
        <w:t xml:space="preserve">semPower</w:t>
      </w:r>
      <w:r>
        <w:t xml:space="preserve"> </w:t>
      </w:r>
      <w:r>
        <w:t xml:space="preserve">package, and Monte Carlo</w:t>
      </w:r>
      <w:r>
        <w:t xml:space="preserve"> </w:t>
      </w:r>
      <w:r>
        <w:t xml:space="preserve">simulation using the</w:t>
      </w:r>
      <w:r>
        <w:t xml:space="preserve"> </w:t>
      </w:r>
      <w:r>
        <w:rPr>
          <w:rStyle w:val="VerbatimChar"/>
        </w:rPr>
        <w:t xml:space="preserve">simsem</w:t>
      </w:r>
      <w:r>
        <w:t xml:space="preserve"> </w:t>
      </w:r>
      <w:r>
        <w:t xml:space="preserve">package</w:t>
      </w:r>
      <w:r>
        <w:t xml:space="preserve"> </w:t>
      </w:r>
      <w:r>
        <w:t xml:space="preserve">(Moshagen &amp; Bader, 2024; Pornprasertmanit et al., 2021)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C:\Program Files\Quarto\share\formats\docx\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Reproducibility 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local development and computational convenience, simulations in this</w:t>
            </w:r>
            <w:r>
              <w:t xml:space="preserve"> </w:t>
            </w:r>
            <w:r>
              <w:t xml:space="preserve">tutorial use 1,500 replications. Production-quality applied research</w:t>
            </w:r>
            <w:r>
              <w:t xml:space="preserve"> </w:t>
            </w:r>
            <w:r>
              <w:t xml:space="preserve">should increase this to 5,000 or more. Results throughout this tutorial</w:t>
            </w:r>
            <w:r>
              <w:t xml:space="preserve"> </w:t>
            </w:r>
            <w:r>
              <w:t xml:space="preserve">therefore carry more sampling variability than would be expected in a</w:t>
            </w:r>
            <w:r>
              <w:t xml:space="preserve"> </w:t>
            </w:r>
            <w:r>
              <w:t xml:space="preserve">final study. All analytical and simulation parameters are centrally</w:t>
            </w:r>
            <w:r>
              <w:t xml:space="preserve"> </w:t>
            </w:r>
            <w:r>
              <w:t xml:space="preserve">defined in</w:t>
            </w:r>
            <w:r>
              <w:t xml:space="preserve"> </w:t>
            </w:r>
            <w:r>
              <w:rPr>
                <w:rStyle w:val="VerbatimChar"/>
              </w:rPr>
              <w:t xml:space="preserve">helpers.R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models.R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Scripts/DataAppendixScripts</w:t>
            </w:r>
            <w:r>
              <w:t xml:space="preserve">.</w:t>
            </w:r>
          </w:p>
          <w:p/>
        </w:tc>
      </w:tr>
    </w:tbl>
    <w:bookmarkEnd w:id="12"/>
    <w:bookmarkStart w:id="53" w:name="sec-popmodel"/>
    <w:p>
      <w:pPr>
        <w:pStyle w:val="Heading2"/>
      </w:pPr>
      <w:r>
        <w:t xml:space="preserve">2 The Running Example: WHOQOL-BREF Population CFA Model</w:t>
      </w:r>
    </w:p>
    <w:p>
      <w:pPr>
        <w:pStyle w:val="FirstParagraph"/>
      </w:pPr>
      <w:r>
        <w:t xml:space="preserve">All power analyses in this tutorial are anchored in the World Health</w:t>
      </w:r>
      <w:r>
        <w:t xml:space="preserve"> </w:t>
      </w:r>
      <w:r>
        <w:t xml:space="preserve">Organization Quality of Life-BREF (WHOQOL-BREF) four-factor measurement</w:t>
      </w:r>
      <w:r>
        <w:t xml:space="preserve"> </w:t>
      </w:r>
      <w:r>
        <w:t xml:space="preserve">model. Meaningful power analysis requires an explicit population</w:t>
      </w:r>
      <w:r>
        <w:t xml:space="preserve"> </w:t>
      </w:r>
      <w:r>
        <w:t xml:space="preserve">model — a formal representation of the</w:t>
      </w:r>
      <w:r>
        <w:t xml:space="preserve"> </w:t>
      </w:r>
      <w:r>
        <w:t xml:space="preserve">“true”</w:t>
      </w:r>
      <w:r>
        <w:t xml:space="preserve"> </w:t>
      </w:r>
      <w:r>
        <w:t xml:space="preserve">covariance structure from</w:t>
      </w:r>
      <w:r>
        <w:t xml:space="preserve"> </w:t>
      </w:r>
      <w:r>
        <w:t xml:space="preserve">which data are presumed to be generated</w:t>
      </w:r>
      <w:r>
        <w:t xml:space="preserve"> </w:t>
      </w:r>
      <w:r>
        <w:t xml:space="preserve">(Feng &amp; Hancock, 2023)</w:t>
      </w:r>
      <w:r>
        <w:t xml:space="preserve">. By grounding this</w:t>
      </w:r>
      <w:r>
        <w:t xml:space="preserve"> </w:t>
      </w:r>
      <w:r>
        <w:t xml:space="preserve">model in meta-analytic evidence rather than in arbitrary parameter</w:t>
      </w:r>
      <w:r>
        <w:t xml:space="preserve"> </w:t>
      </w:r>
      <w:r>
        <w:t xml:space="preserve">choices, we ensure that sample size targets reflect realistic</w:t>
      </w:r>
      <w:r>
        <w:t xml:space="preserve"> </w:t>
      </w:r>
      <w:r>
        <w:t xml:space="preserve">measurement conditions</w:t>
      </w:r>
      <w:r>
        <w:t xml:space="preserve"> </w:t>
      </w:r>
      <w:r>
        <w:t xml:space="preserve">(Lin &amp; Yao, 2022;</w:t>
      </w:r>
      <w:r>
        <w:t xml:space="preserve"> </w:t>
      </w:r>
      <w:r>
        <w:t xml:space="preserve">Mosqueira Taipe et al.</w:t>
      </w:r>
      <w:r>
        <w:t xml:space="preserve">, 2026)</w:t>
      </w:r>
      <w:r>
        <w:t xml:space="preserve">.</w:t>
      </w:r>
    </w:p>
    <w:p>
      <w:pPr>
        <w:pStyle w:val="BodyText"/>
      </w:pPr>
      <w:r>
        <w:t xml:space="preserve">We specify four population variants to support sensitivity analyses: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Meta-analytic</w:t>
      </w:r>
      <w:r>
        <w:t xml:space="preserve"> </w:t>
      </w:r>
      <w:r>
        <w:t xml:space="preserve">(</w:t>
      </w:r>
      <w:r>
        <w:rPr>
          <w:rStyle w:val="VerbatimChar"/>
        </w:rPr>
        <w:t xml:space="preserve">popmodel</w:t>
      </w:r>
      <w:r>
        <w:t xml:space="preserve">): Loadings and residual variances</w:t>
      </w:r>
      <w:r>
        <w:t xml:space="preserve"> </w:t>
      </w:r>
      <w:r>
        <w:t xml:space="preserve">matching the pooled estimates from 1.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Naive</w:t>
      </w:r>
      <w:r>
        <w:t xml:space="preserve"> </w:t>
      </w:r>
      <w:r>
        <w:t xml:space="preserve">(</w:t>
      </w:r>
      <w:r>
        <w:rPr>
          <w:rStyle w:val="VerbatimChar"/>
        </w:rPr>
        <w:t xml:space="preserve">naivemodel</w:t>
      </w:r>
      <w:r>
        <w:t xml:space="preserve">): A pessimistic baseline derived from the</w:t>
      </w:r>
      <w:r>
        <w:t xml:space="preserve"> </w:t>
      </w:r>
      <w:r>
        <w:t xml:space="preserve">lowest reported reliability values per domain</w:t>
      </w:r>
      <w:r>
        <w:t xml:space="preserve"> </w:t>
      </w:r>
      <w:r>
        <w:t xml:space="preserve">(</w:t>
      </w:r>
      <w:r>
        <w:t xml:space="preserve">Mosqueira Taipe et al.</w:t>
      </w:r>
      <w:r>
        <w:t xml:space="preserve">, 2026)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Optimistic</w:t>
      </w:r>
      <w:r>
        <w:t xml:space="preserve"> </w:t>
      </w:r>
      <w:r>
        <w:t xml:space="preserve">(</w:t>
      </w:r>
      <w:r>
        <w:rPr>
          <w:rStyle w:val="VerbatimChar"/>
        </w:rPr>
        <w:t xml:space="preserve">optmodel</w:t>
      </w:r>
      <w:r>
        <w:t xml:space="preserve">): A best-case scenario derived from the</w:t>
      </w:r>
      <w:r>
        <w:t xml:space="preserve"> </w:t>
      </w:r>
      <w:r>
        <w:t xml:space="preserve">highest reported reliability values per domain</w:t>
      </w:r>
      <w:r>
        <w:t xml:space="preserve"> </w:t>
      </w:r>
      <w:r>
        <w:t xml:space="preserve">(</w:t>
      </w:r>
      <w:r>
        <w:t xml:space="preserve">Mosqueira Taipe et al.</w:t>
      </w:r>
      <w:r>
        <w:t xml:space="preserve">, 2026)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Misspecification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h1model</w:t>
      </w:r>
      <w:r>
        <w:t xml:space="preserve">): A cross-loading model representing</w:t>
      </w:r>
      <w:r>
        <w:t xml:space="preserve"> </w:t>
      </w:r>
      <w:r>
        <w:t xml:space="preserve">the alternative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 with three additional</w:t>
      </w:r>
      <w:r>
        <w:t xml:space="preserve"> </w:t>
      </w:r>
      <w:r>
        <w:t xml:space="preserve">cross-loadings based on the meta-EFA results of 1.</w:t>
      </w:r>
    </w:p>
    <w:bookmarkStart w:id="19" w:name="population-model"/>
    <w:p>
      <w:pPr>
        <w:pStyle w:val="Heading3"/>
      </w:pPr>
      <w:r>
        <w:t xml:space="preserve">2.1 Population model</w:t>
      </w:r>
    </w:p>
    <w:p>
      <w:pPr>
        <w:pStyle w:val="FirstParagraph"/>
      </w:pPr>
      <w:r>
        <w:t xml:space="preserve">The primary population model (</w:t>
      </w:r>
      <w:r>
        <w:rPr>
          <w:rStyle w:val="VerbatimChar"/>
        </w:rPr>
        <w:t xml:space="preserve">popmodel</w:t>
      </w:r>
      <w:r>
        <w:t xml:space="preserve">) operationalizes a</w:t>
      </w:r>
      <w:r>
        <w:t xml:space="preserve"> </w:t>
      </w:r>
      <w:r>
        <w:t xml:space="preserve">meta-analytic scenario based on 1, whose pooled EFA estimates</w:t>
      </w:r>
      <w:r>
        <w:t xml:space="preserve"> </w:t>
      </w:r>
      <w:r>
        <w:t xml:space="preserve">across 16 international studies provide the factor loadings (</w:t>
      </w:r>
      <m:oMath>
        <m:r>
          <m:t>λ</m:t>
        </m:r>
      </m:oMath>
      <w:r>
        <w:t xml:space="preserve">).</w:t>
      </w:r>
      <w:r>
        <w:t xml:space="preserve"> </w:t>
      </w:r>
      <w:r>
        <w:t xml:space="preserve">Key features of this model are: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Interfactor correlations (</w:t>
      </w:r>
      <m:oMath>
        <m:r>
          <m:t>ϕ</m:t>
        </m:r>
      </m:oMath>
      <w:r>
        <w:rPr>
          <w:b/>
          <w:bCs/>
        </w:rPr>
        <w:t xml:space="preserve">)</w:t>
      </w:r>
      <w:r>
        <w:t xml:space="preserve">: Fixed at</w:t>
      </w:r>
      <w:r>
        <w:t xml:space="preserve"> </w:t>
      </w:r>
      <m:oMath>
        <m:r>
          <m:t>0.20</m:t>
        </m:r>
      </m:oMath>
      <w:r>
        <w:t xml:space="preserve">, a</w:t>
      </w:r>
      <w:r>
        <w:t xml:space="preserve"> </w:t>
      </w:r>
      <w:r>
        <w:t xml:space="preserve">conservative midpoint of the reported range</w:t>
      </w:r>
      <w:r>
        <w:t xml:space="preserve"> </w:t>
      </w:r>
      <m:oMath>
        <m:r>
          <m:t>0.08</m:t>
        </m:r>
      </m:oMath>
      <w:r>
        <w:t xml:space="preserve">–</w:t>
      </w:r>
      <m:oMath>
        <m:r>
          <m:t>0.31</m:t>
        </m:r>
      </m:oMath>
      <w:r>
        <w:t xml:space="preserve"> </w:t>
      </w:r>
      <w:r>
        <w:t xml:space="preserve">(Lin &amp; Yao, 2022)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Residual covariance</w:t>
      </w:r>
      <w:r>
        <w:t xml:space="preserve">: Items</w:t>
      </w:r>
      <w:r>
        <w:t xml:space="preserve"> </w:t>
      </w:r>
      <m:oMath>
        <m:r>
          <m:t>Q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4</m:t>
        </m:r>
      </m:oMath>
      <w:r>
        <w:t xml:space="preserve"> </w:t>
      </w:r>
      <w:r>
        <w:t xml:space="preserve">share a residual</w:t>
      </w:r>
      <w:r>
        <w:t xml:space="preserve"> </w:t>
      </w:r>
      <w:r>
        <w:t xml:space="preserve">covariance (</w:t>
      </w:r>
      <m:oMath>
        <m:sSub>
          <m:e>
            <m:r>
              <m:t>r</m:t>
            </m:r>
          </m:e>
          <m:sub>
            <m:r>
              <m:t>Q</m:t>
            </m:r>
            <m:r>
              <m:t>3</m:t>
            </m:r>
            <m:r>
              <m:rPr>
                <m:sty m:val="p"/>
              </m:rPr>
              <m:t>,</m:t>
            </m:r>
            <m:r>
              <m:t>Q</m:t>
            </m:r>
            <m:r>
              <m:t>4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</m:rPr>
              <m:t>physical</m:t>
            </m:r>
          </m:sub>
        </m:sSub>
        <m:r>
          <m:rPr>
            <m:sty m:val="p"/>
          </m:rPr>
          <m:t>=</m:t>
        </m:r>
        <m:r>
          <m:t>0.30</m:t>
        </m:r>
      </m:oMath>
      <w:r>
        <w:t xml:space="preserve">), preserving</w:t>
      </w:r>
      <w:r>
        <w:t xml:space="preserve"> </w:t>
      </w:r>
      <w:r>
        <w:t xml:space="preserve">the subfactor signal identified in the five-factor EFA solution</w:t>
      </w:r>
      <w:r>
        <w:t xml:space="preserve"> </w:t>
      </w:r>
      <w:r>
        <w:t xml:space="preserve">(Lin &amp; Yao, 2022)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Factor structure</w:t>
      </w:r>
      <w:r>
        <w:t xml:space="preserve">: Item</w:t>
      </w:r>
      <w:r>
        <w:t xml:space="preserve"> </w:t>
      </w:r>
      <m:oMath>
        <m:r>
          <m:t>Q</m:t>
        </m:r>
        <m:r>
          <m:t>8</m:t>
        </m:r>
      </m:oMath>
      <w:r>
        <w:t xml:space="preserve"> </w:t>
      </w:r>
      <w:r>
        <w:t xml:space="preserve">is retained in the Environmental</w:t>
      </w:r>
      <w:r>
        <w:t xml:space="preserve"> </w:t>
      </w:r>
      <w:r>
        <w:t xml:space="preserve">domain despite loading more strongly on the Psychological domain in</w:t>
      </w:r>
      <w:r>
        <w:t xml:space="preserve"> </w:t>
      </w:r>
      <w:r>
        <w:t xml:space="preserve">the meta-EFA. This constitutes the null hypothesis (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)</w:t>
      </w:r>
      <w:r>
        <w:t xml:space="preserve"> </w:t>
      </w:r>
      <w:r>
        <w:t xml:space="preserve">version of the population, strictly maintaining the original</w:t>
      </w:r>
      <w:r>
        <w:t xml:space="preserve"> </w:t>
      </w:r>
      <w:r>
        <w:t xml:space="preserve">four-factor structure without cross-loadings.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lavaan</w:t>
      </w:r>
      <w:r>
        <w:t xml:space="preserve"> </w:t>
      </w:r>
      <w:r>
        <w:t xml:space="preserve">syntax for this model is shown below;</w:t>
      </w:r>
      <w:r>
        <w:t xml:space="preserve"> </w:t>
      </w:r>
      <w:hyperlink w:anchor="fig-diagram-popmode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provides a visual representation.</w:t>
      </w:r>
    </w:p>
    <w:p>
      <w:pPr>
        <w:pStyle w:val="SourceCode"/>
      </w:pPr>
      <w:r>
        <w:br/>
      </w:r>
      <w:r>
        <w:rPr>
          <w:rStyle w:val="VerbatimChar"/>
        </w:rPr>
        <w:t xml:space="preserve">  # ── Factor loadings: empirical estimates from Lin &amp; Yao (2022) ────────────</w:t>
      </w:r>
      <w:r>
        <w:br/>
      </w:r>
      <w:r>
        <w:rPr>
          <w:rStyle w:val="VerbatimChar"/>
        </w:rPr>
        <w:t xml:space="preserve">  psycho      =~ 0.92*Q5  + 0.81*Q6  + 0.94*Q7  +</w:t>
      </w:r>
      <w:r>
        <w:br/>
      </w:r>
      <w:r>
        <w:rPr>
          <w:rStyle w:val="VerbatimChar"/>
        </w:rPr>
        <w:t xml:space="preserve">                 0.73*Q11 + 0.75*Q19 + 0.63*Q26</w:t>
      </w:r>
      <w:r>
        <w:br/>
      </w:r>
      <w:r>
        <w:br/>
      </w:r>
      <w:r>
        <w:rPr>
          <w:rStyle w:val="VerbatimChar"/>
        </w:rPr>
        <w:t xml:space="preserve">  physical    =~ 0.84*Q3  + 0.83*Q4  + 0.63*Q10 +</w:t>
      </w:r>
      <w:r>
        <w:br/>
      </w:r>
      <w:r>
        <w:rPr>
          <w:rStyle w:val="VerbatimChar"/>
        </w:rPr>
        <w:t xml:space="preserve">                 0.71*Q15 + 0.68*Q16 + 0.89*Q17  + 0.61*Q18</w:t>
      </w:r>
      <w:r>
        <w:br/>
      </w:r>
      <w:r>
        <w:br/>
      </w:r>
      <w:r>
        <w:rPr>
          <w:rStyle w:val="VerbatimChar"/>
        </w:rPr>
        <w:t xml:space="preserve">  social      =~ 0.94*Q20 + 0.89*Q21 + 0.78*Q22</w:t>
      </w:r>
      <w:r>
        <w:br/>
      </w:r>
      <w:r>
        <w:br/>
      </w:r>
      <w:r>
        <w:rPr>
          <w:rStyle w:val="VerbatimChar"/>
        </w:rPr>
        <w:t xml:space="preserve">  environment =~ 0.37*Q8  + 0.49*Q9  + 0.79*Q12 + 0.81*Q13 +</w:t>
      </w:r>
      <w:r>
        <w:br/>
      </w:r>
      <w:r>
        <w:rPr>
          <w:rStyle w:val="VerbatimChar"/>
        </w:rPr>
        <w:t xml:space="preserve">                 0.77*Q14 + 0.75*Q23  + 0.64*Q24 + 0.73*Q25</w:t>
      </w:r>
      <w:r>
        <w:br/>
      </w:r>
      <w:r>
        <w:br/>
      </w:r>
      <w:r>
        <w:rPr>
          <w:rStyle w:val="VerbatimChar"/>
        </w:rPr>
        <w:t xml:space="preserve">  # ── Residual covariance Q3~~Q4 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# r(Q3,Q4|physical) = 0.30 (method bias / conceptual proximity)</w:t>
      </w:r>
      <w:r>
        <w:br/>
      </w:r>
      <w:r>
        <w:rPr>
          <w:rStyle w:val="VerbatimChar"/>
        </w:rPr>
        <w:t xml:space="preserve">  # cov = 0.30 × sqrt(1-0.84²) × sqrt(1-0.83²) = 0.0908</w:t>
      </w:r>
      <w:r>
        <w:br/>
      </w:r>
      <w:r>
        <w:rPr>
          <w:rStyle w:val="VerbatimChar"/>
        </w:rPr>
        <w:t xml:space="preserve">  Q4 ~~ 0.0908*Q3</w:t>
      </w:r>
      <w:r>
        <w:br/>
      </w:r>
      <w:r>
        <w:br/>
      </w:r>
      <w:r>
        <w:rPr>
          <w:rStyle w:val="VerbatimChar"/>
        </w:rPr>
        <w:t xml:space="preserve">  # ── Factor variances (=1) and interfactor correlations ────────────────────</w:t>
      </w:r>
      <w:r>
        <w:br/>
      </w:r>
      <w:r>
        <w:rPr>
          <w:rStyle w:val="VerbatimChar"/>
        </w:rPr>
        <w:t xml:space="preserve">  # Range reported in Lin &amp; Yao (2022): 0.08 to 0.31</w:t>
      </w:r>
      <w:r>
        <w:br/>
      </w:r>
      <w:r>
        <w:rPr>
          <w:rStyle w:val="VerbatimChar"/>
        </w:rPr>
        <w:t xml:space="preserve">  # Conservative midpoint = 0.20 for all pairs</w:t>
      </w:r>
      <w:r>
        <w:br/>
      </w:r>
      <w:r>
        <w:rPr>
          <w:rStyle w:val="VerbatimChar"/>
        </w:rPr>
        <w:t xml:space="preserve">  psycho      ~~ 1*psycho      + 0.2*physical + 0.2*social + 0.2*environment</w:t>
      </w:r>
      <w:r>
        <w:br/>
      </w:r>
      <w:r>
        <w:rPr>
          <w:rStyle w:val="VerbatimChar"/>
        </w:rPr>
        <w:t xml:space="preserve">  physical    ~~ 1*physical    + 0.2*social   + 0.2*environment</w:t>
      </w:r>
      <w:r>
        <w:br/>
      </w:r>
      <w:r>
        <w:rPr>
          <w:rStyle w:val="VerbatimChar"/>
        </w:rPr>
        <w:t xml:space="preserve">  social      ~~ 1*social      + 0.2*environment</w:t>
      </w:r>
      <w:r>
        <w:br/>
      </w:r>
      <w:r>
        <w:rPr>
          <w:rStyle w:val="VerbatimChar"/>
        </w:rPr>
        <w:t xml:space="preserve">  environment ~~ 1*environment</w:t>
      </w:r>
      <w:r>
        <w:br/>
      </w:r>
      <w:r>
        <w:br/>
      </w:r>
      <w:r>
        <w:rPr>
          <w:rStyle w:val="VerbatimChar"/>
        </w:rPr>
        <w:t xml:space="preserve">  # ── Residual variances: θ = 1 − λ² (standardised indicators) ─────────────</w:t>
      </w:r>
      <w:r>
        <w:br/>
      </w:r>
      <w:r>
        <w:rPr>
          <w:rStyle w:val="VerbatimChar"/>
        </w:rPr>
        <w:t xml:space="preserve">  Q5  ~~ 0.1536*Q5    # 1 − 0.92²</w:t>
      </w:r>
      <w:r>
        <w:br/>
      </w:r>
      <w:r>
        <w:rPr>
          <w:rStyle w:val="VerbatimChar"/>
        </w:rPr>
        <w:t xml:space="preserve">  Q6  ~~ 0.3439*Q6    # 1 − 0.81²</w:t>
      </w:r>
      <w:r>
        <w:br/>
      </w:r>
      <w:r>
        <w:rPr>
          <w:rStyle w:val="VerbatimChar"/>
        </w:rPr>
        <w:t xml:space="preserve">  Q7  ~~ 0.1164*Q7    # 1 − 0.94²</w:t>
      </w:r>
      <w:r>
        <w:br/>
      </w:r>
      <w:r>
        <w:rPr>
          <w:rStyle w:val="VerbatimChar"/>
        </w:rPr>
        <w:t xml:space="preserve">  Q11 ~~ 0.4671*Q11   # 1 − 0.73²</w:t>
      </w:r>
      <w:r>
        <w:br/>
      </w:r>
      <w:r>
        <w:rPr>
          <w:rStyle w:val="VerbatimChar"/>
        </w:rPr>
        <w:t xml:space="preserve">  Q19 ~~ 0.4375*Q19   # 1 − 0.75²</w:t>
      </w:r>
      <w:r>
        <w:br/>
      </w:r>
      <w:r>
        <w:rPr>
          <w:rStyle w:val="VerbatimChar"/>
        </w:rPr>
        <w:t xml:space="preserve">  Q26 ~~ 0.6031*Q26   # 1 − 0.63²</w:t>
      </w:r>
      <w:r>
        <w:br/>
      </w:r>
      <w:r>
        <w:rPr>
          <w:rStyle w:val="VerbatimChar"/>
        </w:rPr>
        <w:t xml:space="preserve">  Q3  ~~ 0.2944*Q3    # 1 − 0.84²</w:t>
      </w:r>
      <w:r>
        <w:br/>
      </w:r>
      <w:r>
        <w:rPr>
          <w:rStyle w:val="VerbatimChar"/>
        </w:rPr>
        <w:t xml:space="preserve">  Q4  ~~ 0.3111*Q4    # 1 − 0.83²</w:t>
      </w:r>
      <w:r>
        <w:br/>
      </w:r>
      <w:r>
        <w:rPr>
          <w:rStyle w:val="VerbatimChar"/>
        </w:rPr>
        <w:t xml:space="preserve">  Q10 ~~ 0.6031*Q10   # 1 − 0.63²</w:t>
      </w:r>
      <w:r>
        <w:br/>
      </w:r>
      <w:r>
        <w:rPr>
          <w:rStyle w:val="VerbatimChar"/>
        </w:rPr>
        <w:t xml:space="preserve">  Q15 ~~ 0.4959*Q15   # 1 − 0.71²</w:t>
      </w:r>
      <w:r>
        <w:br/>
      </w:r>
      <w:r>
        <w:rPr>
          <w:rStyle w:val="VerbatimChar"/>
        </w:rPr>
        <w:t xml:space="preserve">  Q16 ~~ 0.5376*Q16   # 1 − 0.68²</w:t>
      </w:r>
      <w:r>
        <w:br/>
      </w:r>
      <w:r>
        <w:rPr>
          <w:rStyle w:val="VerbatimChar"/>
        </w:rPr>
        <w:t xml:space="preserve">  Q17 ~~ 0.2079*Q17   # 1 − 0.89²</w:t>
      </w:r>
      <w:r>
        <w:br/>
      </w:r>
      <w:r>
        <w:rPr>
          <w:rStyle w:val="VerbatimChar"/>
        </w:rPr>
        <w:t xml:space="preserve">  Q18 ~~ 0.6279*Q18   # 1 − 0.61²</w:t>
      </w:r>
      <w:r>
        <w:br/>
      </w:r>
      <w:r>
        <w:rPr>
          <w:rStyle w:val="VerbatimChar"/>
        </w:rPr>
        <w:t xml:space="preserve">  Q20 ~~ 0.1164*Q20   # 1 − 0.94²</w:t>
      </w:r>
      <w:r>
        <w:br/>
      </w:r>
      <w:r>
        <w:rPr>
          <w:rStyle w:val="VerbatimChar"/>
        </w:rPr>
        <w:t xml:space="preserve">  Q21 ~~ 0.2079*Q21   # 1 − 0.89²</w:t>
      </w:r>
      <w:r>
        <w:br/>
      </w:r>
      <w:r>
        <w:rPr>
          <w:rStyle w:val="VerbatimChar"/>
        </w:rPr>
        <w:t xml:space="preserve">  Q22 ~~ 0.3916*Q22   # 1 − 0.78²</w:t>
      </w:r>
      <w:r>
        <w:br/>
      </w:r>
      <w:r>
        <w:rPr>
          <w:rStyle w:val="VerbatimChar"/>
        </w:rPr>
        <w:t xml:space="preserve">  Q8  ~~ 0.8631*Q8    # 1 − 0.37² — lowest loading; bridge item (betweenness=40.5)</w:t>
      </w:r>
      <w:r>
        <w:br/>
      </w:r>
      <w:r>
        <w:rPr>
          <w:rStyle w:val="VerbatimChar"/>
        </w:rPr>
        <w:t xml:space="preserve">  Q9  ~~ 0.7599*Q9    # 1 − 0.49²</w:t>
      </w:r>
      <w:r>
        <w:br/>
      </w:r>
      <w:r>
        <w:rPr>
          <w:rStyle w:val="VerbatimChar"/>
        </w:rPr>
        <w:t xml:space="preserve">  Q12 ~~ 0.3759*Q12   # 1 − 0.79²</w:t>
      </w:r>
      <w:r>
        <w:br/>
      </w:r>
      <w:r>
        <w:rPr>
          <w:rStyle w:val="VerbatimChar"/>
        </w:rPr>
        <w:t xml:space="preserve">  Q13 ~~ 0.3439*Q13   # 1 − 0.81²</w:t>
      </w:r>
      <w:r>
        <w:br/>
      </w:r>
      <w:r>
        <w:rPr>
          <w:rStyle w:val="VerbatimChar"/>
        </w:rPr>
        <w:t xml:space="preserve">  Q14 ~~ 0.4071*Q14   # 1 − 0.77²</w:t>
      </w:r>
      <w:r>
        <w:br/>
      </w:r>
      <w:r>
        <w:rPr>
          <w:rStyle w:val="VerbatimChar"/>
        </w:rPr>
        <w:t xml:space="preserve">  Q23 ~~ 0.4375*Q23   # 1 − 0.75²</w:t>
      </w:r>
      <w:r>
        <w:br/>
      </w:r>
      <w:r>
        <w:rPr>
          <w:rStyle w:val="VerbatimChar"/>
        </w:rPr>
        <w:t xml:space="preserve">  Q24 ~~ 0.5904*Q24   # 1 − 0.64²</w:t>
      </w:r>
      <w:r>
        <w:br/>
      </w:r>
      <w:r>
        <w:rPr>
          <w:rStyle w:val="VerbatimChar"/>
        </w:rPr>
        <w:t xml:space="preserve">  Q25 ~~ 0.4671*Q25   # 1 − 0.73²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3">
        <w:r>
          <w:rPr>
            <w:rStyle w:val="Hyperlink"/>
            <w:vertAlign w:val="subscript"/>
          </w:rPr>
          <w:t xml:space="preserve">Population Models</w:t>
        </w:r>
      </w:hyperlink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fig-diagram-popmodel"/>
          <w:p>
            <w:pPr>
              <w:pStyle w:val="Compact"/>
              <w:jc w:val="center"/>
            </w:pPr>
            <w:r>
              <w:drawing>
                <wp:inline>
                  <wp:extent cx="5334000" cy="4667249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1_population_models-fig-diagram-popmodel-output-1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Path diagram of the popmodel</w:t>
            </w:r>
          </w:p>
          <w:bookmarkEnd w:id="17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8">
        <w:r>
          <w:rPr>
            <w:rStyle w:val="Hyperlink"/>
            <w:vertAlign w:val="subscript"/>
          </w:rPr>
          <w:t xml:space="preserve">Population Models</w:t>
        </w:r>
      </w:hyperlink>
    </w:p>
    <w:bookmarkEnd w:id="19"/>
    <w:bookmarkStart w:id="26" w:name="naive-model"/>
    <w:p>
      <w:pPr>
        <w:pStyle w:val="Heading3"/>
      </w:pPr>
      <w:r>
        <w:t xml:space="preserve">2.2 Naive model</w:t>
      </w:r>
    </w:p>
    <w:p>
      <w:pPr>
        <w:pStyle w:val="FirstParagraph"/>
      </w:pPr>
      <w:r>
        <w:t xml:space="preserve">The naive model provides an empirically grounded pessimistic scenario.</w:t>
      </w:r>
      <w:r>
        <w:t xml:space="preserve"> </w:t>
      </w:r>
      <w:r>
        <w:t xml:space="preserve">Factor loadings are derived via the Spearman-Brown prediction formula</w:t>
      </w:r>
      <w:r>
        <w:t xml:space="preserve"> </w:t>
      </w:r>
      <w:r>
        <w:t xml:space="preserve">from the lowest Cronbach’s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values identified in the literature</w:t>
      </w:r>
      <w:r>
        <w:t xml:space="preserve"> </w:t>
      </w:r>
      <w:r>
        <w:t xml:space="preserve">(</w:t>
      </w:r>
      <w:r>
        <w:t xml:space="preserve">Mosqueira Taipe et al.</w:t>
      </w:r>
      <w:r>
        <w:t xml:space="preserve">, 2026)</w:t>
      </w:r>
      <w:r>
        <w:t xml:space="preserve">, yielding conservative parameter estimates that</w:t>
      </w:r>
      <w:r>
        <w:t xml:space="preserve"> </w:t>
      </w:r>
      <w:r>
        <w:t xml:space="preserve">push sample size requirements upward: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Approach</w:t>
      </w:r>
      <w:r>
        <w:t xml:space="preserve">: Assuming equal loadings within each domain,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α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Alpha sources</w:t>
      </w:r>
      <w:r>
        <w:t xml:space="preserve">: Lowest domain alphas from a single study</w:t>
      </w:r>
      <w:r>
        <w:t xml:space="preserve"> </w:t>
      </w:r>
      <w:r>
        <w:t xml:space="preserve">identified in the systematic review by</w:t>
      </w:r>
      <w:r>
        <w:t xml:space="preserve"> </w:t>
      </w:r>
      <w:r>
        <w:t xml:space="preserve">Mosqueira Taipe et al.</w:t>
      </w:r>
      <w:r>
        <w:t xml:space="preserve"> </w:t>
      </w:r>
      <w:r>
        <w:t xml:space="preserve">(2026)</w:t>
      </w:r>
      <w:r>
        <w:t xml:space="preserve"> </w:t>
      </w:r>
      <w:r>
        <w:t xml:space="preserve">(Physical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0.672</m:t>
        </m:r>
      </m:oMath>
      <w:r>
        <w:t xml:space="preserve">; Psychological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0.704</m:t>
        </m:r>
      </m:oMath>
      <w:r>
        <w:t xml:space="preserve">; Social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0.630</m:t>
        </m:r>
      </m:oMath>
      <w:r>
        <w:t xml:space="preserve">; Environmental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0.709</m:t>
        </m:r>
      </m:oMath>
      <w:r>
        <w:t xml:space="preserve">), all within the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1</m:t>
        </m:r>
        <m:r>
          <m:t>S</m:t>
        </m:r>
        <m:r>
          <m:t>D</m:t>
        </m:r>
      </m:oMath>
      <w:r>
        <w:t xml:space="preserve"> </w:t>
      </w:r>
      <w:r>
        <w:t xml:space="preserve">range reported by 1.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Interfactor correlations (</w:t>
      </w:r>
      <m:oMath>
        <m:r>
          <m:t>ϕ</m:t>
        </m:r>
      </m:oMath>
      <w:r>
        <w:rPr>
          <w:b/>
          <w:bCs/>
        </w:rPr>
        <w:t xml:space="preserve">)</w:t>
      </w:r>
      <w:r>
        <w:t xml:space="preserve">: Fixed at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(the upper</w:t>
      </w:r>
      <w:r>
        <w:t xml:space="preserve"> </w:t>
      </w:r>
      <w:r>
        <w:t xml:space="preserve">bound from 1), making factors harder to distinguish and</w:t>
      </w:r>
      <w:r>
        <w:t xml:space="preserve"> </w:t>
      </w:r>
      <w:r>
        <w:t xml:space="preserve">yielding a deliberately conservative power estimate.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Derived parameters</w:t>
      </w:r>
      <w:r>
        <w:t xml:space="preserve">: Physical (</w:t>
      </w:r>
      <m:oMath>
        <m:r>
          <m:t>λ</m:t>
        </m:r>
        <m:r>
          <m:rPr>
            <m:sty m:val="p"/>
          </m:rPr>
          <m:t>=</m:t>
        </m:r>
        <m:r>
          <m:t>0.4758</m:t>
        </m:r>
      </m:oMath>
      <w:r>
        <w:t xml:space="preserve">,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0.7736</m:t>
        </m:r>
      </m:oMath>
      <w:r>
        <w:t xml:space="preserve">); Psychological (</w:t>
      </w:r>
      <m:oMath>
        <m:r>
          <m:t>λ</m:t>
        </m:r>
        <m:r>
          <m:rPr>
            <m:sty m:val="p"/>
          </m:rPr>
          <m:t>=</m:t>
        </m:r>
        <m:r>
          <m:t>0.5328</m:t>
        </m:r>
      </m:oMath>
      <w:r>
        <w:t xml:space="preserve">,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0.7161</m:t>
        </m:r>
      </m:oMath>
      <w:r>
        <w:t xml:space="preserve">); Social (</w:t>
      </w:r>
      <m:oMath>
        <m:r>
          <m:t>λ</m:t>
        </m:r>
        <m:r>
          <m:rPr>
            <m:sty m:val="p"/>
          </m:rPr>
          <m:t>=</m:t>
        </m:r>
        <m:r>
          <m:t>0.6017</m:t>
        </m:r>
      </m:oMath>
      <w:r>
        <w:t xml:space="preserve">,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0.6379</m:t>
        </m:r>
      </m:oMath>
      <w:r>
        <w:t xml:space="preserve">); Environmental (</w:t>
      </w:r>
      <m:oMath>
        <m:r>
          <m:t>λ</m:t>
        </m:r>
        <m:r>
          <m:rPr>
            <m:sty m:val="p"/>
          </m:rPr>
          <m:t>=</m:t>
        </m:r>
        <m:r>
          <m:t>0.4832</m:t>
        </m:r>
      </m:oMath>
      <w:r>
        <w:t xml:space="preserve">,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0.7665</m:t>
        </m:r>
      </m:oMath>
      <w:r>
        <w:t xml:space="preserve">). The residual covariance between</w:t>
      </w:r>
      <w:r>
        <w:t xml:space="preserve"> </w:t>
      </w:r>
      <m:oMath>
        <m:r>
          <m:t>Q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4</m:t>
        </m:r>
      </m:oMath>
      <w:r>
        <w:t xml:space="preserve"> </w:t>
      </w:r>
      <w:r>
        <w:t xml:space="preserve">is adjusted to</w:t>
      </w:r>
      <w:r>
        <w:t xml:space="preserve"> </w:t>
      </w:r>
      <m:oMath>
        <m:r>
          <m:t>0.2321</m:t>
        </m:r>
      </m:oMath>
      <w:r>
        <w:t xml:space="preserve">.</w:t>
      </w:r>
    </w:p>
    <w:p>
      <w:pPr>
        <w:pStyle w:val="SourceCode"/>
      </w:pPr>
      <w:r>
        <w:br/>
      </w:r>
      <w:r>
        <w:rPr>
          <w:rStyle w:val="VerbatimChar"/>
        </w:rPr>
        <w:t xml:space="preserve">  # ── Factor loadings: tau-equivalent (uniform λ per domain) ───────────────</w:t>
      </w:r>
      <w:r>
        <w:br/>
      </w:r>
      <w:r>
        <w:rPr>
          <w:rStyle w:val="VerbatimChar"/>
        </w:rPr>
        <w:t xml:space="preserve">  psycho      =~ 0.5328*Q5  + 0.5328*Q6  + 0.5328*Q7  +</w:t>
      </w:r>
      <w:r>
        <w:br/>
      </w:r>
      <w:r>
        <w:rPr>
          <w:rStyle w:val="VerbatimChar"/>
        </w:rPr>
        <w:t xml:space="preserve">                 0.5328*Q11 + 0.5328*Q19 + 0.5328*Q26</w:t>
      </w:r>
      <w:r>
        <w:br/>
      </w:r>
      <w:r>
        <w:br/>
      </w:r>
      <w:r>
        <w:rPr>
          <w:rStyle w:val="VerbatimChar"/>
        </w:rPr>
        <w:t xml:space="preserve">  physical    =~ 0.4758*Q3  + 0.4758*Q4  + 0.4758*Q10 +</w:t>
      </w:r>
      <w:r>
        <w:br/>
      </w:r>
      <w:r>
        <w:rPr>
          <w:rStyle w:val="VerbatimChar"/>
        </w:rPr>
        <w:t xml:space="preserve">                 0.4758*Q15 + 0.4758*Q16 + 0.4758*Q17  + 0.4758*Q18</w:t>
      </w:r>
      <w:r>
        <w:br/>
      </w:r>
      <w:r>
        <w:br/>
      </w:r>
      <w:r>
        <w:rPr>
          <w:rStyle w:val="VerbatimChar"/>
        </w:rPr>
        <w:t xml:space="preserve">  social      =~ 0.6017*Q20 + 0.6017*Q21 + 0.6017*Q22</w:t>
      </w:r>
      <w:r>
        <w:br/>
      </w:r>
      <w:r>
        <w:br/>
      </w:r>
      <w:r>
        <w:rPr>
          <w:rStyle w:val="VerbatimChar"/>
        </w:rPr>
        <w:t xml:space="preserve">  environment =~ 0.4832*Q8  + 0.4832*Q9  + 0.4832*Q12 + 0.4832*Q13 +</w:t>
      </w:r>
      <w:r>
        <w:br/>
      </w:r>
      <w:r>
        <w:rPr>
          <w:rStyle w:val="VerbatimChar"/>
        </w:rPr>
        <w:t xml:space="preserve">                 0.4832*Q14 + 0.4832*Q23  + 0.4832*Q24 + 0.4832*Q25</w:t>
      </w:r>
      <w:r>
        <w:br/>
      </w:r>
      <w:r>
        <w:br/>
      </w:r>
      <w:r>
        <w:rPr>
          <w:rStyle w:val="VerbatimChar"/>
        </w:rPr>
        <w:t xml:space="preserve">  # ── Residual covariance Q3~~Q4 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# r(Q3,Q4|physical) = 0.30; cov = 0.30 × (1 − 0.4758²) = 0.2321</w:t>
      </w:r>
      <w:r>
        <w:br/>
      </w:r>
      <w:r>
        <w:rPr>
          <w:rStyle w:val="VerbatimChar"/>
        </w:rPr>
        <w:t xml:space="preserve">  Q4 ~~ 0.2321*Q3</w:t>
      </w:r>
      <w:r>
        <w:br/>
      </w:r>
      <w:r>
        <w:br/>
      </w:r>
      <w:r>
        <w:rPr>
          <w:rStyle w:val="VerbatimChar"/>
        </w:rPr>
        <w:t xml:space="preserve">  # ── Factor variances (=1) and interfactor correlations ────────────────────</w:t>
      </w:r>
      <w:r>
        <w:br/>
      </w:r>
      <w:r>
        <w:rPr>
          <w:rStyle w:val="VerbatimChar"/>
        </w:rPr>
        <w:t xml:space="preserve">  # φ = 0.30: upper bound of Lin &amp; Yao (2022) range — pessimistic scenario</w:t>
      </w:r>
      <w:r>
        <w:br/>
      </w:r>
      <w:r>
        <w:rPr>
          <w:rStyle w:val="VerbatimChar"/>
        </w:rPr>
        <w:t xml:space="preserve">  psycho      ~~ 1*psycho      + 0.3*physical + 0.3*social + 0.3*environment</w:t>
      </w:r>
      <w:r>
        <w:br/>
      </w:r>
      <w:r>
        <w:rPr>
          <w:rStyle w:val="VerbatimChar"/>
        </w:rPr>
        <w:t xml:space="preserve">  physical    ~~ 1*physical    + 0.3*social   + 0.3*environment</w:t>
      </w:r>
      <w:r>
        <w:br/>
      </w:r>
      <w:r>
        <w:rPr>
          <w:rStyle w:val="VerbatimChar"/>
        </w:rPr>
        <w:t xml:space="preserve">  social      ~~ 1*social      + 0.3*environment</w:t>
      </w:r>
      <w:r>
        <w:br/>
      </w:r>
      <w:r>
        <w:rPr>
          <w:rStyle w:val="VerbatimChar"/>
        </w:rPr>
        <w:t xml:space="preserve">  environment ~~ 1*environment</w:t>
      </w:r>
      <w:r>
        <w:br/>
      </w:r>
      <w:r>
        <w:br/>
      </w:r>
      <w:r>
        <w:rPr>
          <w:rStyle w:val="VerbatimChar"/>
        </w:rPr>
        <w:t xml:space="preserve">  # ── Residual variances: θ = 1 − λ² per domain ────────────────────────────</w:t>
      </w:r>
      <w:r>
        <w:br/>
      </w:r>
      <w:r>
        <w:rPr>
          <w:rStyle w:val="VerbatimChar"/>
        </w:rPr>
        <w:t xml:space="preserve">  Q5  ~~ 0.7161*Q5    # Psychological: θ = 1 − 0.5328² = 0.7161</w:t>
      </w:r>
      <w:r>
        <w:br/>
      </w:r>
      <w:r>
        <w:rPr>
          <w:rStyle w:val="VerbatimChar"/>
        </w:rPr>
        <w:t xml:space="preserve">  Q6  ~~ 0.7161*Q6</w:t>
      </w:r>
      <w:r>
        <w:br/>
      </w:r>
      <w:r>
        <w:rPr>
          <w:rStyle w:val="VerbatimChar"/>
        </w:rPr>
        <w:t xml:space="preserve">  Q7  ~~ 0.7161*Q7</w:t>
      </w:r>
      <w:r>
        <w:br/>
      </w:r>
      <w:r>
        <w:rPr>
          <w:rStyle w:val="VerbatimChar"/>
        </w:rPr>
        <w:t xml:space="preserve">  Q11 ~~ 0.7161*Q11</w:t>
      </w:r>
      <w:r>
        <w:br/>
      </w:r>
      <w:r>
        <w:rPr>
          <w:rStyle w:val="VerbatimChar"/>
        </w:rPr>
        <w:t xml:space="preserve">  Q19 ~~ 0.7161*Q19</w:t>
      </w:r>
      <w:r>
        <w:br/>
      </w:r>
      <w:r>
        <w:rPr>
          <w:rStyle w:val="VerbatimChar"/>
        </w:rPr>
        <w:t xml:space="preserve">  Q26 ~~ 0.7161*Q26</w:t>
      </w:r>
      <w:r>
        <w:br/>
      </w:r>
      <w:r>
        <w:rPr>
          <w:rStyle w:val="VerbatimChar"/>
        </w:rPr>
        <w:t xml:space="preserve">  Q3  ~~ 0.7736*Q3    # Physical: θ = 1 − 0.4758² = 0.7736</w:t>
      </w:r>
      <w:r>
        <w:br/>
      </w:r>
      <w:r>
        <w:rPr>
          <w:rStyle w:val="VerbatimChar"/>
        </w:rPr>
        <w:t xml:space="preserve">  Q4  ~~ 0.7736*Q4</w:t>
      </w:r>
      <w:r>
        <w:br/>
      </w:r>
      <w:r>
        <w:rPr>
          <w:rStyle w:val="VerbatimChar"/>
        </w:rPr>
        <w:t xml:space="preserve">  Q10 ~~ 0.7736*Q10</w:t>
      </w:r>
      <w:r>
        <w:br/>
      </w:r>
      <w:r>
        <w:rPr>
          <w:rStyle w:val="VerbatimChar"/>
        </w:rPr>
        <w:t xml:space="preserve">  Q15 ~~ 0.7736*Q15</w:t>
      </w:r>
      <w:r>
        <w:br/>
      </w:r>
      <w:r>
        <w:rPr>
          <w:rStyle w:val="VerbatimChar"/>
        </w:rPr>
        <w:t xml:space="preserve">  Q16 ~~ 0.7736*Q16</w:t>
      </w:r>
      <w:r>
        <w:br/>
      </w:r>
      <w:r>
        <w:rPr>
          <w:rStyle w:val="VerbatimChar"/>
        </w:rPr>
        <w:t xml:space="preserve">  Q17 ~~ 0.7736*Q17</w:t>
      </w:r>
      <w:r>
        <w:br/>
      </w:r>
      <w:r>
        <w:rPr>
          <w:rStyle w:val="VerbatimChar"/>
        </w:rPr>
        <w:t xml:space="preserve">  Q18 ~~ 0.7736*Q18</w:t>
      </w:r>
      <w:r>
        <w:br/>
      </w:r>
      <w:r>
        <w:rPr>
          <w:rStyle w:val="VerbatimChar"/>
        </w:rPr>
        <w:t xml:space="preserve">  Q20 ~~ 0.6379*Q20   # Social: θ = 1 − 0.6017² = 0.6379</w:t>
      </w:r>
      <w:r>
        <w:br/>
      </w:r>
      <w:r>
        <w:rPr>
          <w:rStyle w:val="VerbatimChar"/>
        </w:rPr>
        <w:t xml:space="preserve">  Q21 ~~ 0.6379*Q21</w:t>
      </w:r>
      <w:r>
        <w:br/>
      </w:r>
      <w:r>
        <w:rPr>
          <w:rStyle w:val="VerbatimChar"/>
        </w:rPr>
        <w:t xml:space="preserve">  Q22 ~~ 0.6379*Q22</w:t>
      </w:r>
      <w:r>
        <w:br/>
      </w:r>
      <w:r>
        <w:rPr>
          <w:rStyle w:val="VerbatimChar"/>
        </w:rPr>
        <w:t xml:space="preserve">  Q8  ~~ 0.7665*Q8    # Environmental: θ = 1 − 0.4832² = 0.7665</w:t>
      </w:r>
      <w:r>
        <w:br/>
      </w:r>
      <w:r>
        <w:rPr>
          <w:rStyle w:val="VerbatimChar"/>
        </w:rPr>
        <w:t xml:space="preserve">  Q9  ~~ 0.7665*Q9</w:t>
      </w:r>
      <w:r>
        <w:br/>
      </w:r>
      <w:r>
        <w:rPr>
          <w:rStyle w:val="VerbatimChar"/>
        </w:rPr>
        <w:t xml:space="preserve">  Q12 ~~ 0.7665*Q12</w:t>
      </w:r>
      <w:r>
        <w:br/>
      </w:r>
      <w:r>
        <w:rPr>
          <w:rStyle w:val="VerbatimChar"/>
        </w:rPr>
        <w:t xml:space="preserve">  Q13 ~~ 0.7665*Q13</w:t>
      </w:r>
      <w:r>
        <w:br/>
      </w:r>
      <w:r>
        <w:rPr>
          <w:rStyle w:val="VerbatimChar"/>
        </w:rPr>
        <w:t xml:space="preserve">  Q14 ~~ 0.7665*Q14</w:t>
      </w:r>
      <w:r>
        <w:br/>
      </w:r>
      <w:r>
        <w:rPr>
          <w:rStyle w:val="VerbatimChar"/>
        </w:rPr>
        <w:t xml:space="preserve">  Q23 ~~ 0.7665*Q23</w:t>
      </w:r>
      <w:r>
        <w:br/>
      </w:r>
      <w:r>
        <w:rPr>
          <w:rStyle w:val="VerbatimChar"/>
        </w:rPr>
        <w:t xml:space="preserve">  Q24 ~~ 0.7665*Q24</w:t>
      </w:r>
      <w:r>
        <w:br/>
      </w:r>
      <w:r>
        <w:rPr>
          <w:rStyle w:val="VerbatimChar"/>
        </w:rPr>
        <w:t xml:space="preserve">  Q25 ~~ 0.7665*Q25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0">
        <w:r>
          <w:rPr>
            <w:rStyle w:val="Hyperlink"/>
            <w:vertAlign w:val="subscript"/>
          </w:rPr>
          <w:t xml:space="preserve">Population Models</w:t>
        </w:r>
      </w:hyperlink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diagram-naivemodel"/>
          <w:p>
            <w:pPr>
              <w:pStyle w:val="Compact"/>
              <w:jc w:val="center"/>
            </w:pPr>
            <w:r>
              <w:drawing>
                <wp:inline>
                  <wp:extent cx="5334000" cy="4667249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1_population_models-fig-diagram-naivemodel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Path diagram of the naivemodel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Population Models</w:t>
        </w:r>
      </w:hyperlink>
    </w:p>
    <w:bookmarkEnd w:id="26"/>
    <w:bookmarkStart w:id="33" w:name="optimistic-model"/>
    <w:p>
      <w:pPr>
        <w:pStyle w:val="Heading3"/>
      </w:pPr>
      <w:r>
        <w:t xml:space="preserve">2.3 Optimistic model</w:t>
      </w:r>
    </w:p>
    <w:p>
      <w:pPr>
        <w:pStyle w:val="FirstParagraph"/>
      </w:pPr>
      <w:r>
        <w:t xml:space="preserve">The optimistic model applies the same Spearman-Brown derivation but</w:t>
      </w:r>
      <w:r>
        <w:t xml:space="preserve"> </w:t>
      </w:r>
      <w:r>
        <w:t xml:space="preserve">draws on the highest observed Cronbach’s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values per domain,</w:t>
      </w:r>
      <w:r>
        <w:t xml:space="preserve"> </w:t>
      </w:r>
      <w:r>
        <w:t xml:space="preserve">producing stronger loadings and lower residual variances relative to the</w:t>
      </w:r>
      <w:r>
        <w:t xml:space="preserve"> </w:t>
      </w:r>
      <w:r>
        <w:t xml:space="preserve">naive model</w:t>
      </w:r>
      <w:r>
        <w:t xml:space="preserve"> </w:t>
      </w:r>
      <w:r>
        <w:t xml:space="preserve">(</w:t>
      </w:r>
      <w:r>
        <w:t xml:space="preserve">Mosqueira Taipe et al.</w:t>
      </w:r>
      <w:r>
        <w:t xml:space="preserve">, 2026)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Alpha sources</w:t>
      </w:r>
      <w:r>
        <w:t xml:space="preserve">: Maximum domain alphas from the literature</w:t>
      </w:r>
      <w:r>
        <w:t xml:space="preserve"> </w:t>
      </w:r>
      <w:r>
        <w:t xml:space="preserve">(</w:t>
      </w:r>
      <w:r>
        <w:t xml:space="preserve">Mosqueira Taipe et al.</w:t>
      </w:r>
      <w:r>
        <w:t xml:space="preserve">, 2026)</w:t>
      </w:r>
      <w:r>
        <w:t xml:space="preserve"> </w:t>
      </w:r>
      <w:r>
        <w:t xml:space="preserve">(Physical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0.860</m:t>
        </m:r>
      </m:oMath>
      <w:r>
        <w:t xml:space="preserve">; Psychological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0.860</m:t>
        </m:r>
      </m:oMath>
      <w:r>
        <w:t xml:space="preserve">; Social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0.810</m:t>
        </m:r>
      </m:oMath>
      <w:r>
        <w:t xml:space="preserve">; Environmental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0.849</m:t>
        </m:r>
      </m:oMath>
      <w:r>
        <w:t xml:space="preserve">), all confirmed within the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  <m:r>
          <m:t>S</m:t>
        </m:r>
        <m:r>
          <m:t>D</m:t>
        </m:r>
      </m:oMath>
      <w:r>
        <w:t xml:space="preserve"> </w:t>
      </w:r>
      <w:r>
        <w:t xml:space="preserve">range from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Interfactor correlations (</w:t>
      </w:r>
      <m:oMath>
        <m:r>
          <m:t>ϕ</m:t>
        </m:r>
      </m:oMath>
      <w:r>
        <w:rPr>
          <w:b/>
          <w:bCs/>
        </w:rPr>
        <w:t xml:space="preserve">)</w:t>
      </w:r>
      <w:r>
        <w:t xml:space="preserve">: Fixed at</w:t>
      </w:r>
      <w:r>
        <w:t xml:space="preserve"> </w:t>
      </w:r>
      <m:oMath>
        <m:r>
          <m:t>0.08</m:t>
        </m:r>
      </m:oMath>
      <w:r>
        <w:t xml:space="preserve"> </w:t>
      </w:r>
      <w:r>
        <w:t xml:space="preserve">(the lower</w:t>
      </w:r>
      <w:r>
        <w:t xml:space="preserve"> </w:t>
      </w:r>
      <w:r>
        <w:t xml:space="preserve">bound from 1), so that factors are well distinguished and</w:t>
      </w:r>
      <w:r>
        <w:t xml:space="preserve"> </w:t>
      </w:r>
      <w:r>
        <w:t xml:space="preserve">sample size requirements are reduced.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Derived parameters</w:t>
      </w:r>
      <w:r>
        <w:t xml:space="preserve">: Physical (</w:t>
      </w:r>
      <m:oMath>
        <m:r>
          <m:t>λ</m:t>
        </m:r>
        <m:r>
          <m:rPr>
            <m:sty m:val="p"/>
          </m:rPr>
          <m:t>=</m:t>
        </m:r>
        <m:r>
          <m:t>0.6837</m:t>
        </m:r>
      </m:oMath>
      <w:r>
        <w:t xml:space="preserve">,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0.5326</m:t>
        </m:r>
      </m:oMath>
      <w:r>
        <w:t xml:space="preserve">); Psychological (</w:t>
      </w:r>
      <m:oMath>
        <m:r>
          <m:t>λ</m:t>
        </m:r>
        <m:r>
          <m:rPr>
            <m:sty m:val="p"/>
          </m:rPr>
          <m:t>=</m:t>
        </m:r>
        <m:r>
          <m:t>0.7113</m:t>
        </m:r>
      </m:oMath>
      <w:r>
        <w:t xml:space="preserve">,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0.4941</m:t>
        </m:r>
      </m:oMath>
      <w:r>
        <w:t xml:space="preserve">); Social (</w:t>
      </w:r>
      <m:oMath>
        <m:r>
          <m:t>λ</m:t>
        </m:r>
        <m:r>
          <m:rPr>
            <m:sty m:val="p"/>
          </m:rPr>
          <m:t>=</m:t>
        </m:r>
        <m:r>
          <m:t>0.7661</m:t>
        </m:r>
      </m:oMath>
      <w:r>
        <w:t xml:space="preserve">,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0.4130</m:t>
        </m:r>
      </m:oMath>
      <w:r>
        <w:t xml:space="preserve">); Environmental (</w:t>
      </w:r>
      <m:oMath>
        <m:r>
          <m:t>λ</m:t>
        </m:r>
        <m:r>
          <m:rPr>
            <m:sty m:val="p"/>
          </m:rPr>
          <m:t>=</m:t>
        </m:r>
        <m:r>
          <m:t>0.6424</m:t>
        </m:r>
      </m:oMath>
      <w:r>
        <w:t xml:space="preserve">,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0.5873</m:t>
        </m:r>
      </m:oMath>
      <w:r>
        <w:t xml:space="preserve">). The residual covariance between</w:t>
      </w:r>
      <w:r>
        <w:t xml:space="preserve"> </w:t>
      </w:r>
      <m:oMath>
        <m:r>
          <m:t>Q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4</m:t>
        </m:r>
      </m:oMath>
      <w:r>
        <w:t xml:space="preserve"> </w:t>
      </w:r>
      <w:r>
        <w:t xml:space="preserve">is adjusted to</w:t>
      </w:r>
      <w:r>
        <w:t xml:space="preserve"> </w:t>
      </w:r>
      <m:oMath>
        <m:r>
          <m:t>0.1598</m:t>
        </m:r>
      </m:oMath>
      <w:r>
        <w:t xml:space="preserve">.</w:t>
      </w:r>
    </w:p>
    <w:p>
      <w:pPr>
        <w:pStyle w:val="SourceCode"/>
      </w:pPr>
      <w:r>
        <w:br/>
      </w:r>
      <w:r>
        <w:rPr>
          <w:rStyle w:val="VerbatimChar"/>
        </w:rPr>
        <w:t xml:space="preserve">  # ── Factor loadings: tau-equivalent (uniform λ per domain) ───────────────</w:t>
      </w:r>
      <w:r>
        <w:br/>
      </w:r>
      <w:r>
        <w:rPr>
          <w:rStyle w:val="VerbatimChar"/>
        </w:rPr>
        <w:t xml:space="preserve">  psycho      =~ 0.7113*Q5  + 0.7113*Q6  + 0.7113*Q7  +</w:t>
      </w:r>
      <w:r>
        <w:br/>
      </w:r>
      <w:r>
        <w:rPr>
          <w:rStyle w:val="VerbatimChar"/>
        </w:rPr>
        <w:t xml:space="preserve">                 0.7113*Q11 + 0.7113*Q19 + 0.7113*Q26</w:t>
      </w:r>
      <w:r>
        <w:br/>
      </w:r>
      <w:r>
        <w:br/>
      </w:r>
      <w:r>
        <w:rPr>
          <w:rStyle w:val="VerbatimChar"/>
        </w:rPr>
        <w:t xml:space="preserve">  physical    =~ 0.6837*Q3  + 0.6837*Q4  + 0.6837*Q10 +</w:t>
      </w:r>
      <w:r>
        <w:br/>
      </w:r>
      <w:r>
        <w:rPr>
          <w:rStyle w:val="VerbatimChar"/>
        </w:rPr>
        <w:t xml:space="preserve">                 0.6837*Q15 + 0.6837*Q16 + 0.6837*Q17  + 0.6837*Q18</w:t>
      </w:r>
      <w:r>
        <w:br/>
      </w:r>
      <w:r>
        <w:br/>
      </w:r>
      <w:r>
        <w:rPr>
          <w:rStyle w:val="VerbatimChar"/>
        </w:rPr>
        <w:t xml:space="preserve">  social      =~ 0.7661*Q20 + 0.7661*Q21 + 0.7661*Q22</w:t>
      </w:r>
      <w:r>
        <w:br/>
      </w:r>
      <w:r>
        <w:br/>
      </w:r>
      <w:r>
        <w:rPr>
          <w:rStyle w:val="VerbatimChar"/>
        </w:rPr>
        <w:t xml:space="preserve">  environment =~ 0.6424*Q8  + 0.6424*Q9  + 0.6424*Q12 + 0.6424*Q13 +</w:t>
      </w:r>
      <w:r>
        <w:br/>
      </w:r>
      <w:r>
        <w:rPr>
          <w:rStyle w:val="VerbatimChar"/>
        </w:rPr>
        <w:t xml:space="preserve">                 0.6424*Q14 + 0.6424*Q23  + 0.6424*Q24 + 0.6424*Q25</w:t>
      </w:r>
      <w:r>
        <w:br/>
      </w:r>
      <w:r>
        <w:br/>
      </w:r>
      <w:r>
        <w:rPr>
          <w:rStyle w:val="VerbatimChar"/>
        </w:rPr>
        <w:t xml:space="preserve">  # ── Residual covariance Q3~~Q4 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# r(Q3,Q4|physical) = 0.30; cov = 0.30 × (1 − 0.6837²) = 0.1598</w:t>
      </w:r>
      <w:r>
        <w:br/>
      </w:r>
      <w:r>
        <w:rPr>
          <w:rStyle w:val="VerbatimChar"/>
        </w:rPr>
        <w:t xml:space="preserve">  Q4 ~~ 0.1598*Q3</w:t>
      </w:r>
      <w:r>
        <w:br/>
      </w:r>
      <w:r>
        <w:br/>
      </w:r>
      <w:r>
        <w:rPr>
          <w:rStyle w:val="VerbatimChar"/>
        </w:rPr>
        <w:t xml:space="preserve">  # ── Factor variances (=1) and interfactor correlations ────────────────────</w:t>
      </w:r>
      <w:r>
        <w:br/>
      </w:r>
      <w:r>
        <w:rPr>
          <w:rStyle w:val="VerbatimChar"/>
        </w:rPr>
        <w:t xml:space="preserve">  # φ = 0.08: lower bound of Lin &amp; Yao (2022) range — optimistic scenario</w:t>
      </w:r>
      <w:r>
        <w:br/>
      </w:r>
      <w:r>
        <w:rPr>
          <w:rStyle w:val="VerbatimChar"/>
        </w:rPr>
        <w:t xml:space="preserve">  psycho      ~~ 1*psycho      + 0.08*physical + 0.08*social + 0.08*environment</w:t>
      </w:r>
      <w:r>
        <w:br/>
      </w:r>
      <w:r>
        <w:rPr>
          <w:rStyle w:val="VerbatimChar"/>
        </w:rPr>
        <w:t xml:space="preserve">  physical    ~~ 1*physical    + 0.08*social   + 0.08*environment</w:t>
      </w:r>
      <w:r>
        <w:br/>
      </w:r>
      <w:r>
        <w:rPr>
          <w:rStyle w:val="VerbatimChar"/>
        </w:rPr>
        <w:t xml:space="preserve">  social      ~~ 1*social      + 0.08*environment</w:t>
      </w:r>
      <w:r>
        <w:br/>
      </w:r>
      <w:r>
        <w:rPr>
          <w:rStyle w:val="VerbatimChar"/>
        </w:rPr>
        <w:t xml:space="preserve">  environment ~~ 1*environment</w:t>
      </w:r>
      <w:r>
        <w:br/>
      </w:r>
      <w:r>
        <w:br/>
      </w:r>
      <w:r>
        <w:rPr>
          <w:rStyle w:val="VerbatimChar"/>
        </w:rPr>
        <w:t xml:space="preserve">  # ── Residual variances: θ = 1 − λ² per domain ────────────────────────────</w:t>
      </w:r>
      <w:r>
        <w:br/>
      </w:r>
      <w:r>
        <w:rPr>
          <w:rStyle w:val="VerbatimChar"/>
        </w:rPr>
        <w:t xml:space="preserve">  Q5  ~~ 0.4941*Q5    # Psychological: θ = 1 − 0.7113² = 0.4941</w:t>
      </w:r>
      <w:r>
        <w:br/>
      </w:r>
      <w:r>
        <w:rPr>
          <w:rStyle w:val="VerbatimChar"/>
        </w:rPr>
        <w:t xml:space="preserve">  Q6  ~~ 0.4941*Q6</w:t>
      </w:r>
      <w:r>
        <w:br/>
      </w:r>
      <w:r>
        <w:rPr>
          <w:rStyle w:val="VerbatimChar"/>
        </w:rPr>
        <w:t xml:space="preserve">  Q7  ~~ 0.4941*Q7</w:t>
      </w:r>
      <w:r>
        <w:br/>
      </w:r>
      <w:r>
        <w:rPr>
          <w:rStyle w:val="VerbatimChar"/>
        </w:rPr>
        <w:t xml:space="preserve">  Q11 ~~ 0.4941*Q11</w:t>
      </w:r>
      <w:r>
        <w:br/>
      </w:r>
      <w:r>
        <w:rPr>
          <w:rStyle w:val="VerbatimChar"/>
        </w:rPr>
        <w:t xml:space="preserve">  Q19 ~~ 0.4941*Q19</w:t>
      </w:r>
      <w:r>
        <w:br/>
      </w:r>
      <w:r>
        <w:rPr>
          <w:rStyle w:val="VerbatimChar"/>
        </w:rPr>
        <w:t xml:space="preserve">  Q26 ~~ 0.4941*Q26</w:t>
      </w:r>
      <w:r>
        <w:br/>
      </w:r>
      <w:r>
        <w:rPr>
          <w:rStyle w:val="VerbatimChar"/>
        </w:rPr>
        <w:t xml:space="preserve">  Q3  ~~ 0.5326*Q3    # Physical: θ = 1 − 0.6837² = 0.5326</w:t>
      </w:r>
      <w:r>
        <w:br/>
      </w:r>
      <w:r>
        <w:rPr>
          <w:rStyle w:val="VerbatimChar"/>
        </w:rPr>
        <w:t xml:space="preserve">  Q4  ~~ 0.5326*Q4</w:t>
      </w:r>
      <w:r>
        <w:br/>
      </w:r>
      <w:r>
        <w:rPr>
          <w:rStyle w:val="VerbatimChar"/>
        </w:rPr>
        <w:t xml:space="preserve">  Q10 ~~ 0.5326*Q10</w:t>
      </w:r>
      <w:r>
        <w:br/>
      </w:r>
      <w:r>
        <w:rPr>
          <w:rStyle w:val="VerbatimChar"/>
        </w:rPr>
        <w:t xml:space="preserve">  Q15 ~~ 0.5326*Q15</w:t>
      </w:r>
      <w:r>
        <w:br/>
      </w:r>
      <w:r>
        <w:rPr>
          <w:rStyle w:val="VerbatimChar"/>
        </w:rPr>
        <w:t xml:space="preserve">  Q16 ~~ 0.5326*Q16</w:t>
      </w:r>
      <w:r>
        <w:br/>
      </w:r>
      <w:r>
        <w:rPr>
          <w:rStyle w:val="VerbatimChar"/>
        </w:rPr>
        <w:t xml:space="preserve">  Q17 ~~ 0.5326*Q17</w:t>
      </w:r>
      <w:r>
        <w:br/>
      </w:r>
      <w:r>
        <w:rPr>
          <w:rStyle w:val="VerbatimChar"/>
        </w:rPr>
        <w:t xml:space="preserve">  Q18 ~~ 0.5326*Q18</w:t>
      </w:r>
      <w:r>
        <w:br/>
      </w:r>
      <w:r>
        <w:rPr>
          <w:rStyle w:val="VerbatimChar"/>
        </w:rPr>
        <w:t xml:space="preserve">  Q20 ~~ 0.4130*Q20   # Social: θ = 1 − 0.7661² = 0.4130</w:t>
      </w:r>
      <w:r>
        <w:br/>
      </w:r>
      <w:r>
        <w:rPr>
          <w:rStyle w:val="VerbatimChar"/>
        </w:rPr>
        <w:t xml:space="preserve">  Q21 ~~ 0.4130*Q21</w:t>
      </w:r>
      <w:r>
        <w:br/>
      </w:r>
      <w:r>
        <w:rPr>
          <w:rStyle w:val="VerbatimChar"/>
        </w:rPr>
        <w:t xml:space="preserve">  Q22 ~~ 0.4130*Q22</w:t>
      </w:r>
      <w:r>
        <w:br/>
      </w:r>
      <w:r>
        <w:rPr>
          <w:rStyle w:val="VerbatimChar"/>
        </w:rPr>
        <w:t xml:space="preserve">  Q8  ~~ 0.5873*Q8    # Environmental: θ = 1 − 0.6424² = 0.5873</w:t>
      </w:r>
      <w:r>
        <w:br/>
      </w:r>
      <w:r>
        <w:rPr>
          <w:rStyle w:val="VerbatimChar"/>
        </w:rPr>
        <w:t xml:space="preserve">  Q9  ~~ 0.5873*Q9</w:t>
      </w:r>
      <w:r>
        <w:br/>
      </w:r>
      <w:r>
        <w:rPr>
          <w:rStyle w:val="VerbatimChar"/>
        </w:rPr>
        <w:t xml:space="preserve">  Q12 ~~ 0.5873*Q12</w:t>
      </w:r>
      <w:r>
        <w:br/>
      </w:r>
      <w:r>
        <w:rPr>
          <w:rStyle w:val="VerbatimChar"/>
        </w:rPr>
        <w:t xml:space="preserve">  Q13 ~~ 0.5873*Q13</w:t>
      </w:r>
      <w:r>
        <w:br/>
      </w:r>
      <w:r>
        <w:rPr>
          <w:rStyle w:val="VerbatimChar"/>
        </w:rPr>
        <w:t xml:space="preserve">  Q14 ~~ 0.5873*Q14</w:t>
      </w:r>
      <w:r>
        <w:br/>
      </w:r>
      <w:r>
        <w:rPr>
          <w:rStyle w:val="VerbatimChar"/>
        </w:rPr>
        <w:t xml:space="preserve">  Q23 ~~ 0.5873*Q23</w:t>
      </w:r>
      <w:r>
        <w:br/>
      </w:r>
      <w:r>
        <w:rPr>
          <w:rStyle w:val="VerbatimChar"/>
        </w:rPr>
        <w:t xml:space="preserve">  Q24 ~~ 0.5873*Q24</w:t>
      </w:r>
      <w:r>
        <w:br/>
      </w:r>
      <w:r>
        <w:rPr>
          <w:rStyle w:val="VerbatimChar"/>
        </w:rPr>
        <w:t xml:space="preserve">  Q25 ~~ 0.5873*Q25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7">
        <w:r>
          <w:rPr>
            <w:rStyle w:val="Hyperlink"/>
            <w:vertAlign w:val="subscript"/>
          </w:rPr>
          <w:t xml:space="preserve">Population Models</w:t>
        </w:r>
      </w:hyperlink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diagram-optmodel"/>
          <w:p>
            <w:pPr>
              <w:pStyle w:val="Compact"/>
              <w:jc w:val="center"/>
            </w:pPr>
            <w:r>
              <w:drawing>
                <wp:inline>
                  <wp:extent cx="5334000" cy="4667249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1_population_models-fig-diagram-optmodel-output-1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Path diagram of the optmodel</w:t>
            </w:r>
          </w:p>
          <w:bookmarkEnd w:id="31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32">
        <w:r>
          <w:rPr>
            <w:rStyle w:val="Hyperlink"/>
            <w:vertAlign w:val="subscript"/>
          </w:rPr>
          <w:t xml:space="preserve">Population Models</w:t>
        </w:r>
      </w:hyperlink>
    </w:p>
    <w:bookmarkEnd w:id="33"/>
    <w:bookmarkStart w:id="40" w:name="misspecification-model"/>
    <w:p>
      <w:pPr>
        <w:pStyle w:val="Heading3"/>
      </w:pPr>
      <w:r>
        <w:t xml:space="preserve">2.4 Misspecification model</w:t>
      </w:r>
    </w:p>
    <w:p>
      <w:pPr>
        <w:pStyle w:val="FirstParagraph"/>
      </w:pPr>
      <w:r>
        <w:t xml:space="preserve">This model defines the alternative hypothesis (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): a cross-loading</w:t>
      </w:r>
      <w:r>
        <w:t xml:space="preserve"> </w:t>
      </w:r>
      <w:r>
        <w:t xml:space="preserve">variant of the four-factor structure in which three empirically</w:t>
      </w:r>
      <w:r>
        <w:t xml:space="preserve"> </w:t>
      </w:r>
      <w:r>
        <w:t xml:space="preserve">motivated cross-loadings are added based on the meta-EFA results of</w:t>
      </w:r>
      <w:r>
        <w:t xml:space="preserve"> </w:t>
      </w:r>
      <w:r>
        <w:t xml:space="preserve">1 and the systematic review evidence in</w:t>
      </w:r>
      <w:r>
        <w:t xml:space="preserve"> </w:t>
      </w:r>
      <w:r>
        <w:t xml:space="preserve">Mosqueira Taipe et al.</w:t>
      </w:r>
      <w:r>
        <w:t xml:space="preserve"> </w:t>
      </w:r>
      <w:r>
        <w:t xml:space="preserve">(2026)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Cross-loading 1</w:t>
      </w:r>
      <w:r>
        <w:t xml:space="preserve">: Item</w:t>
      </w:r>
      <w:r>
        <w:t xml:space="preserve"> </w:t>
      </w:r>
      <m:oMath>
        <m:r>
          <m:t>Q</m:t>
        </m:r>
        <m:r>
          <m:t>8</m:t>
        </m:r>
      </m:oMath>
      <w:r>
        <w:t xml:space="preserve"> </w:t>
      </w:r>
      <w:r>
        <w:t xml:space="preserve">on the Psychological factor</w:t>
      </w:r>
      <w:r>
        <w:t xml:space="preserve"> </w:t>
      </w:r>
      <w:r>
        <w:t xml:space="preserve">(</w:t>
      </w:r>
      <m:oMath>
        <m:r>
          <m:t>λ</m:t>
        </m:r>
        <m:r>
          <m:rPr>
            <m:sty m:val="p"/>
          </m:rPr>
          <m:t>=</m:t>
        </m:r>
        <m:r>
          <m:t>0.55</m:t>
        </m:r>
      </m:oMath>
      <w:r>
        <w:t xml:space="preserve">). This item showed the highest betweenness</w:t>
      </w:r>
      <w:r>
        <w:t xml:space="preserve"> </w:t>
      </w:r>
      <w:r>
        <w:t xml:space="preserve">centrality (</w:t>
      </w:r>
      <m:oMath>
        <m:r>
          <m:t>40.50</m:t>
        </m:r>
      </m:oMath>
      <w:r>
        <w:t xml:space="preserve">) and was assigned to the Psychological factor</w:t>
      </w:r>
      <w:r>
        <w:t xml:space="preserve"> </w:t>
      </w:r>
      <w:r>
        <w:t xml:space="preserve">in 9 of 16 studies</w:t>
      </w:r>
      <w:r>
        <w:t xml:space="preserve"> </w:t>
      </w:r>
      <w:r>
        <w:t xml:space="preserve">(Lin &amp; Yao, 2022)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Cross-loading 2</w:t>
      </w:r>
      <w:r>
        <w:t xml:space="preserve">: Item</w:t>
      </w:r>
      <w:r>
        <w:t xml:space="preserve"> </w:t>
      </w:r>
      <m:oMath>
        <m:r>
          <m:t>Q</m:t>
        </m:r>
        <m:r>
          <m:t>9</m:t>
        </m:r>
      </m:oMath>
      <w:r>
        <w:t xml:space="preserve"> </w:t>
      </w:r>
      <w:r>
        <w:t xml:space="preserve">on the Psychological factor</w:t>
      </w:r>
      <w:r>
        <w:t xml:space="preserve"> </w:t>
      </w:r>
      <w:r>
        <w:t xml:space="preserve">(</w:t>
      </w:r>
      <m:oMath>
        <m:r>
          <m:t>λ</m:t>
        </m:r>
        <m:r>
          <m:rPr>
            <m:sty m:val="p"/>
          </m:rPr>
          <m:t>=</m:t>
        </m:r>
        <m:r>
          <m:t>0.21</m:t>
        </m:r>
      </m:oMath>
      <w:r>
        <w:t xml:space="preserve">), identified as a secondary loading in the</w:t>
      </w:r>
      <w:r>
        <w:t xml:space="preserve"> </w:t>
      </w:r>
      <w:r>
        <w:t xml:space="preserve">five-factor EFA solution.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Cross-loading 3</w:t>
      </w:r>
      <w:r>
        <w:t xml:space="preserve">: Item</w:t>
      </w:r>
      <w:r>
        <w:t xml:space="preserve"> </w:t>
      </w:r>
      <m:oMath>
        <m:r>
          <m:t>Q</m:t>
        </m:r>
        <m:r>
          <m:t>15</m:t>
        </m:r>
      </m:oMath>
      <w:r>
        <w:t xml:space="preserve"> </w:t>
      </w:r>
      <w:r>
        <w:t xml:space="preserve">on the Environmental factor</w:t>
      </w:r>
      <w:r>
        <w:t xml:space="preserve"> </w:t>
      </w:r>
      <w:r>
        <w:t xml:space="preserve">(</w:t>
      </w:r>
      <m:oMath>
        <m:r>
          <m:t>λ</m:t>
        </m:r>
        <m:r>
          <m:rPr>
            <m:sty m:val="p"/>
          </m:rPr>
          <m:t>=</m:t>
        </m:r>
        <m:r>
          <m:t>0.24</m:t>
        </m:r>
      </m:oMath>
      <w:r>
        <w:t xml:space="preserve">).</w:t>
      </w:r>
      <w:r>
        <w:t xml:space="preserve"> </w:t>
      </w:r>
      <w:r>
        <w:t xml:space="preserve">“Mobility”</w:t>
      </w:r>
      <w:r>
        <w:t xml:space="preserve"> </w:t>
      </w:r>
      <w:r>
        <w:t xml:space="preserve">conceptually bridges physical</w:t>
      </w:r>
      <w:r>
        <w:t xml:space="preserve"> </w:t>
      </w:r>
      <w:r>
        <w:t xml:space="preserve">ability and environmental access, and this item showed the</w:t>
      </w:r>
      <w:r>
        <w:t xml:space="preserve"> </w:t>
      </w:r>
      <w:r>
        <w:t xml:space="preserve">second-highest betweenness centrality (</w:t>
      </w:r>
      <m:oMath>
        <m:r>
          <m:t>36.50</m:t>
        </m:r>
      </m:oMath>
      <w:r>
        <w:t xml:space="preserve">)</w:t>
      </w:r>
      <w:r>
        <w:t xml:space="preserve"> </w:t>
      </w:r>
      <w:r>
        <w:t xml:space="preserve">(Lin &amp; Yao, 2022)</w:t>
      </w:r>
      <w:r>
        <w:t xml:space="preserve">.</w:t>
      </w:r>
    </w:p>
    <w:p>
      <w:pPr>
        <w:pStyle w:val="FirstParagraph"/>
      </w:pPr>
      <w:r>
        <w:t xml:space="preserve">Residual variances for cross-loaded items were recalculated to preserve</w:t>
      </w:r>
      <w:r>
        <w:t xml:space="preserve"> </w:t>
      </w:r>
      <w:r>
        <w:t xml:space="preserve">total item variance: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Sup>
          <m:e>
            <m:r>
              <m:t>λ</m:t>
            </m:r>
          </m:e>
          <m:sub>
            <m:r>
              <m:rPr>
                <m:nor/>
                <m:sty m:val="p"/>
              </m:rPr>
              <m:t>primary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λ</m:t>
            </m:r>
          </m:e>
          <m:sub>
            <m:r>
              <m:rPr>
                <m:nor/>
                <m:sty m:val="p"/>
              </m:rPr>
              <m:t>secondary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λ</m:t>
            </m:r>
          </m:e>
          <m:sub>
            <m:r>
              <m:rPr>
                <m:nor/>
                <m:sty m:val="p"/>
              </m:rPr>
              <m:t>primary</m:t>
            </m:r>
          </m:sub>
        </m:sSub>
        <m:sSub>
          <m:e>
            <m:r>
              <m:t>λ</m:t>
            </m:r>
          </m:e>
          <m:sub>
            <m:r>
              <m:rPr>
                <m:nor/>
                <m:sty m:val="p"/>
              </m:rPr>
              <m:t>secondary</m:t>
            </m:r>
          </m:sub>
        </m:sSub>
        <m:r>
          <m:t>ϕ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0.20</m:t>
        </m:r>
      </m:oMath>
      <w:r>
        <w:t xml:space="preserve">.</w:t>
      </w:r>
    </w:p>
    <w:p>
      <w:pPr>
        <w:pStyle w:val="SourceCode"/>
      </w:pPr>
      <w:r>
        <w:br/>
      </w:r>
      <w:r>
        <w:rPr>
          <w:rStyle w:val="VerbatimChar"/>
        </w:rPr>
        <w:t xml:space="preserve">  # ── Factor loadings (with three cross-loadings) ───────────────────────────</w:t>
      </w:r>
      <w:r>
        <w:br/>
      </w:r>
      <w:r>
        <w:rPr>
          <w:rStyle w:val="VerbatimChar"/>
        </w:rPr>
        <w:t xml:space="preserve">  psycho      =~ 0.92*Q5  + 0.81*Q6  + 0.94*Q7  +</w:t>
      </w:r>
      <w:r>
        <w:br/>
      </w:r>
      <w:r>
        <w:rPr>
          <w:rStyle w:val="VerbatimChar"/>
        </w:rPr>
        <w:t xml:space="preserve">                 0.73*Q11 + 0.75*Q19 + 0.63*Q26  +</w:t>
      </w:r>
      <w:r>
        <w:br/>
      </w:r>
      <w:r>
        <w:rPr>
          <w:rStyle w:val="VerbatimChar"/>
        </w:rPr>
        <w:t xml:space="preserve">                 0.55*Q8  +                             # cross-load (1)</w:t>
      </w:r>
      <w:r>
        <w:br/>
      </w:r>
      <w:r>
        <w:rPr>
          <w:rStyle w:val="VerbatimChar"/>
        </w:rPr>
        <w:t xml:space="preserve">                 0.21*Q9                                # cross-load (2)</w:t>
      </w:r>
      <w:r>
        <w:br/>
      </w:r>
      <w:r>
        <w:br/>
      </w:r>
      <w:r>
        <w:rPr>
          <w:rStyle w:val="VerbatimChar"/>
        </w:rPr>
        <w:t xml:space="preserve">  physical    =~ 0.84*Q3  + 0.83*Q4  + 0.63*Q10 +</w:t>
      </w:r>
      <w:r>
        <w:br/>
      </w:r>
      <w:r>
        <w:rPr>
          <w:rStyle w:val="VerbatimChar"/>
        </w:rPr>
        <w:t xml:space="preserve">                 0.71*Q15 + 0.68*Q16 + 0.89*Q17  + 0.61*Q18</w:t>
      </w:r>
      <w:r>
        <w:br/>
      </w:r>
      <w:r>
        <w:br/>
      </w:r>
      <w:r>
        <w:rPr>
          <w:rStyle w:val="VerbatimChar"/>
        </w:rPr>
        <w:t xml:space="preserve">  social      =~ 0.94*Q20 + 0.89*Q21 + 0.78*Q22</w:t>
      </w:r>
      <w:r>
        <w:br/>
      </w:r>
      <w:r>
        <w:br/>
      </w:r>
      <w:r>
        <w:rPr>
          <w:rStyle w:val="VerbatimChar"/>
        </w:rPr>
        <w:t xml:space="preserve">  environment =~ 0.37*Q8  + 0.49*Q9  + 0.79*Q12 + 0.81*Q13 +</w:t>
      </w:r>
      <w:r>
        <w:br/>
      </w:r>
      <w:r>
        <w:rPr>
          <w:rStyle w:val="VerbatimChar"/>
        </w:rPr>
        <w:t xml:space="preserve">                 0.77*Q14 + 0.75*Q23  + 0.64*Q24 + 0.73*Q25 +</w:t>
      </w:r>
      <w:r>
        <w:br/>
      </w:r>
      <w:r>
        <w:rPr>
          <w:rStyle w:val="VerbatimChar"/>
        </w:rPr>
        <w:t xml:space="preserve">                 0.24*Q15                               # cross-load (3)</w:t>
      </w:r>
      <w:r>
        <w:br/>
      </w:r>
      <w:r>
        <w:br/>
      </w:r>
      <w:r>
        <w:rPr>
          <w:rStyle w:val="VerbatimChar"/>
        </w:rPr>
        <w:t xml:space="preserve">  # ── Residual covariance Q3~~Q4 (fixed in both P2 and analyzeModel) ────────</w:t>
      </w:r>
      <w:r>
        <w:br/>
      </w:r>
      <w:r>
        <w:rPr>
          <w:rStyle w:val="VerbatimChar"/>
        </w:rPr>
        <w:t xml:space="preserve">  Q4 ~~ 0.0908*Q3</w:t>
      </w:r>
      <w:r>
        <w:br/>
      </w:r>
      <w:r>
        <w:br/>
      </w:r>
      <w:r>
        <w:rPr>
          <w:rStyle w:val="VerbatimChar"/>
        </w:rPr>
        <w:t xml:space="preserve">  # ── Factor variances (=1) and interfactor correlations ────────────────────</w:t>
      </w:r>
      <w:r>
        <w:br/>
      </w:r>
      <w:r>
        <w:rPr>
          <w:rStyle w:val="VerbatimChar"/>
        </w:rPr>
        <w:t xml:space="preserve">  psycho      ~~ 1*psycho      + 0.2*physical + 0.2*social + 0.2*environment</w:t>
      </w:r>
      <w:r>
        <w:br/>
      </w:r>
      <w:r>
        <w:rPr>
          <w:rStyle w:val="VerbatimChar"/>
        </w:rPr>
        <w:t xml:space="preserve">  physical    ~~ 1*physical    + 0.2*social   + 0.2*environment</w:t>
      </w:r>
      <w:r>
        <w:br/>
      </w:r>
      <w:r>
        <w:rPr>
          <w:rStyle w:val="VerbatimChar"/>
        </w:rPr>
        <w:t xml:space="preserve">  social      ~~ 1*social      + 0.2*environment</w:t>
      </w:r>
      <w:r>
        <w:br/>
      </w:r>
      <w:r>
        <w:rPr>
          <w:rStyle w:val="VerbatimChar"/>
        </w:rPr>
        <w:t xml:space="preserve">  environment ~~ 1*environment</w:t>
      </w:r>
      <w:r>
        <w:br/>
      </w:r>
      <w:r>
        <w:br/>
      </w:r>
      <w:r>
        <w:rPr>
          <w:rStyle w:val="VerbatimChar"/>
        </w:rPr>
        <w:t xml:space="preserve">  # ── Residual variances 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Q5  ~~ 0.1536*Q5</w:t>
      </w:r>
      <w:r>
        <w:br/>
      </w:r>
      <w:r>
        <w:rPr>
          <w:rStyle w:val="VerbatimChar"/>
        </w:rPr>
        <w:t xml:space="preserve">  Q6  ~~ 0.3439*Q6</w:t>
      </w:r>
      <w:r>
        <w:br/>
      </w:r>
      <w:r>
        <w:rPr>
          <w:rStyle w:val="VerbatimChar"/>
        </w:rPr>
        <w:t xml:space="preserve">  Q7  ~~ 0.1164*Q7</w:t>
      </w:r>
      <w:r>
        <w:br/>
      </w:r>
      <w:r>
        <w:rPr>
          <w:rStyle w:val="VerbatimChar"/>
        </w:rPr>
        <w:t xml:space="preserve">  Q11 ~~ 0.4671*Q11</w:t>
      </w:r>
      <w:r>
        <w:br/>
      </w:r>
      <w:r>
        <w:rPr>
          <w:rStyle w:val="VerbatimChar"/>
        </w:rPr>
        <w:t xml:space="preserve">  Q19 ~~ 0.4375*Q19</w:t>
      </w:r>
      <w:r>
        <w:br/>
      </w:r>
      <w:r>
        <w:rPr>
          <w:rStyle w:val="VerbatimChar"/>
        </w:rPr>
        <w:t xml:space="preserve">  Q26 ~~ 0.6031*Q26</w:t>
      </w:r>
      <w:r>
        <w:br/>
      </w:r>
      <w:r>
        <w:rPr>
          <w:rStyle w:val="VerbatimChar"/>
        </w:rPr>
        <w:t xml:space="preserve">  Q3  ~~ 0.2944*Q3</w:t>
      </w:r>
      <w:r>
        <w:br/>
      </w:r>
      <w:r>
        <w:rPr>
          <w:rStyle w:val="VerbatimChar"/>
        </w:rPr>
        <w:t xml:space="preserve">  Q4  ~~ 0.3111*Q4</w:t>
      </w:r>
      <w:r>
        <w:br/>
      </w:r>
      <w:r>
        <w:rPr>
          <w:rStyle w:val="VerbatimChar"/>
        </w:rPr>
        <w:t xml:space="preserve">  Q10 ~~ 0.6031*Q10</w:t>
      </w:r>
      <w:r>
        <w:br/>
      </w:r>
      <w:r>
        <w:rPr>
          <w:rStyle w:val="VerbatimChar"/>
        </w:rPr>
        <w:t xml:space="preserve">  Q15 ~~ 0.3701*Q15   # UPDATED: was 0.4959 — cross-load on environment</w:t>
      </w:r>
      <w:r>
        <w:br/>
      </w:r>
      <w:r>
        <w:rPr>
          <w:rStyle w:val="VerbatimChar"/>
        </w:rPr>
        <w:t xml:space="preserve">  Q16 ~~ 0.5376*Q16</w:t>
      </w:r>
      <w:r>
        <w:br/>
      </w:r>
      <w:r>
        <w:rPr>
          <w:rStyle w:val="VerbatimChar"/>
        </w:rPr>
        <w:t xml:space="preserve">  Q17 ~~ 0.2079*Q17</w:t>
      </w:r>
      <w:r>
        <w:br/>
      </w:r>
      <w:r>
        <w:rPr>
          <w:rStyle w:val="VerbatimChar"/>
        </w:rPr>
        <w:t xml:space="preserve">  Q18 ~~ 0.6279*Q18</w:t>
      </w:r>
      <w:r>
        <w:br/>
      </w:r>
      <w:r>
        <w:rPr>
          <w:rStyle w:val="VerbatimChar"/>
        </w:rPr>
        <w:t xml:space="preserve">  Q20 ~~ 0.1164*Q20</w:t>
      </w:r>
      <w:r>
        <w:br/>
      </w:r>
      <w:r>
        <w:rPr>
          <w:rStyle w:val="VerbatimChar"/>
        </w:rPr>
        <w:t xml:space="preserve">  Q21 ~~ 0.2079*Q21</w:t>
      </w:r>
      <w:r>
        <w:br/>
      </w:r>
      <w:r>
        <w:rPr>
          <w:rStyle w:val="VerbatimChar"/>
        </w:rPr>
        <w:t xml:space="preserve">  Q22 ~~ 0.3916*Q22</w:t>
      </w:r>
      <w:r>
        <w:br/>
      </w:r>
      <w:r>
        <w:rPr>
          <w:rStyle w:val="VerbatimChar"/>
        </w:rPr>
        <w:t xml:space="preserve">  Q8  ~~ 0.4792*Q8    # UPDATED: was 0.8631 — cross-load on psycho</w:t>
      </w:r>
      <w:r>
        <w:br/>
      </w:r>
      <w:r>
        <w:rPr>
          <w:rStyle w:val="VerbatimChar"/>
        </w:rPr>
        <w:t xml:space="preserve">  Q9  ~~ 0.6746*Q9    # UPDATED: was 0.7599 — cross-load on psycho</w:t>
      </w:r>
      <w:r>
        <w:br/>
      </w:r>
      <w:r>
        <w:rPr>
          <w:rStyle w:val="VerbatimChar"/>
        </w:rPr>
        <w:t xml:space="preserve">  Q12 ~~ 0.3759*Q12</w:t>
      </w:r>
      <w:r>
        <w:br/>
      </w:r>
      <w:r>
        <w:rPr>
          <w:rStyle w:val="VerbatimChar"/>
        </w:rPr>
        <w:t xml:space="preserve">  Q13 ~~ 0.3439*Q13</w:t>
      </w:r>
      <w:r>
        <w:br/>
      </w:r>
      <w:r>
        <w:rPr>
          <w:rStyle w:val="VerbatimChar"/>
        </w:rPr>
        <w:t xml:space="preserve">  Q14 ~~ 0.4071*Q14</w:t>
      </w:r>
      <w:r>
        <w:br/>
      </w:r>
      <w:r>
        <w:rPr>
          <w:rStyle w:val="VerbatimChar"/>
        </w:rPr>
        <w:t xml:space="preserve">  Q23 ~~ 0.4375*Q23</w:t>
      </w:r>
      <w:r>
        <w:br/>
      </w:r>
      <w:r>
        <w:rPr>
          <w:rStyle w:val="VerbatimChar"/>
        </w:rPr>
        <w:t xml:space="preserve">  Q24 ~~ 0.5904*Q24</w:t>
      </w:r>
      <w:r>
        <w:br/>
      </w:r>
      <w:r>
        <w:rPr>
          <w:rStyle w:val="VerbatimChar"/>
        </w:rPr>
        <w:t xml:space="preserve">  Q25 ~~ 0.4671*Q25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34">
        <w:r>
          <w:rPr>
            <w:rStyle w:val="Hyperlink"/>
            <w:vertAlign w:val="subscript"/>
          </w:rPr>
          <w:t xml:space="preserve">Population Models</w:t>
        </w:r>
      </w:hyperlink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iagram-h1model"/>
          <w:p>
            <w:pPr>
              <w:pStyle w:val="Compact"/>
              <w:jc w:val="center"/>
            </w:pPr>
            <w:r>
              <w:drawing>
                <wp:inline>
                  <wp:extent cx="5334000" cy="4667249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1_population_models-fig-diagram-h1model-output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Path diagram of the h1model</w:t>
            </w:r>
          </w:p>
          <w:bookmarkEnd w:id="38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39">
        <w:r>
          <w:rPr>
            <w:rStyle w:val="Hyperlink"/>
            <w:vertAlign w:val="subscript"/>
          </w:rPr>
          <w:t xml:space="preserve">Population Models</w:t>
        </w:r>
      </w:hyperlink>
    </w:p>
    <w:bookmarkEnd w:id="40"/>
    <w:bookmarkStart w:id="45" w:name="summary-of-population-models"/>
    <w:p>
      <w:pPr>
        <w:pStyle w:val="Heading3"/>
      </w:pPr>
      <w:r>
        <w:t xml:space="preserve">2.5 Summary of population models</w:t>
      </w:r>
    </w:p>
    <w:p>
      <w:pPr>
        <w:pStyle w:val="FirstParagraph"/>
      </w:pPr>
      <w:hyperlink w:anchor="tbl-pop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presents all parameters of the four population models.</w:t>
      </w:r>
      <w:r>
        <w:t xml:space="preserve"> </w:t>
      </w:r>
      <w:hyperlink w:anchor="tbl-pop-comparison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summarizes key features across models — minimum and</w:t>
      </w:r>
      <w:r>
        <w:t xml:space="preserve"> </w:t>
      </w:r>
      <w:r>
        <w:t xml:space="preserve">maximum factor loadings, mean loading, modal interfactor correlation,</w:t>
      </w:r>
      <w:r>
        <w:t xml:space="preserve"> </w:t>
      </w:r>
      <w:r>
        <w:t xml:space="preserve">minimum and maximum residual variances, and the residual correlation</w:t>
      </w:r>
      <w:r>
        <w:t xml:space="preserve"> </w:t>
      </w:r>
      <w:r>
        <w:t xml:space="preserve">between</w:t>
      </w:r>
      <w:r>
        <w:t xml:space="preserve"> </w:t>
      </w:r>
      <m:oMath>
        <m:r>
          <m:t>Q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4</m:t>
        </m:r>
      </m:oMath>
      <w:r>
        <w:t xml:space="preserve"> </w:t>
      </w:r>
      <w:r>
        <w:t xml:space="preserve">— to facilitate direct comparison.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tbl-pop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of population models used for sensitivity analysis</w:t>
            </w:r>
          </w:p>
          <w:p>
            <w:pPr>
              <w:pStyle w:val="Compact"/>
              <w:jc w:val="center"/>
            </w:pPr>
            <w:r>
              <w:t xml:space="preserve">CFA Population Models Parameter</w:t>
            </w:r>
          </w:p>
          <w:tbl>
            <w:tblPr>
              <w:tblStyle w:val="Table"/>
              <w:tblW w:type="pct" w:w="4870"/>
              <w:tblLayout w:type="fixed"/>
              <w:tblLook w:firstRow="1" w:lastRow="0" w:firstColumn="0" w:lastColumn="0" w:noHBand="0" w:noVBand="0" w:val="0020"/>
              <w:tblCaption w:val="CFA Population Models Parameter"/>
            </w:tblPr>
            <w:tblGrid>
              <w:gridCol w:w="2982"/>
              <w:gridCol w:w="1131"/>
              <w:gridCol w:w="1337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popmodel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naivemodel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optmodel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h1model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0.6300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0.6300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0.6837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0.8400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0.8300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0.6837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0.8300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0.6300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0.6837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0.6300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0.6837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0.6837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0.6800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0.8900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0.6837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0.8900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0.6837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social=~Q20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social=~Q21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0.8900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0.8900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social=~Q22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Q3~~Q4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0.1598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psycho~~psycho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psycho~~physical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psycho~~social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psycho~~environment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physical~~physical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physical~~social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physical~~environment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social~~social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social~~environment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environment~~environment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Q5~~Q5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0.1536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0.1536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Q6~~Q6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0.3439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0.3439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Q7~~Q7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Q11~~Q11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Q19~~Q19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Q26~~Q26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0.6031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Q3~~Q3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0.2944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0.2944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Q4~~Q4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0.3111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Q10~~Q10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0.6031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Q15~~Q15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Q16~~Q16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Q17~~Q17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0.2079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Q18~~Q18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0.6279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0.6279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Q20~~Q20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0.6379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0.4130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Q21~~Q21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0.6379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0.4130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0.2079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Q22~~Q22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0.3916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0.6379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0.4130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0.3916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Q8~~Q8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0.4792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Q9~~Q9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Q12~~Q12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0.3759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Q13~~Q13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0.3439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0.3439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Q14~~Q14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0.4071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0.4071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Q23~~Q23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Q24~~Q24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Q25~~Q25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0.5500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0.2400</w:t>
                  </w:r>
                </w:p>
              </w:tc>
            </w:tr>
          </w:tbl>
          <w:bookmarkEnd w:id="41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42">
        <w:r>
          <w:rPr>
            <w:rStyle w:val="Hyperlink"/>
            <w:vertAlign w:val="subscript"/>
          </w:rPr>
          <w:t xml:space="preserve">Population Models</w:t>
        </w:r>
      </w:hyperlink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pop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Comparison of model variants used for sensitivity analysis</w:t>
            </w:r>
          </w:p>
          <w:tbl>
            <w:tblPr>
              <w:tblStyle w:val="Table"/>
              <w:tblW w:type="pct" w:w="4872"/>
              <w:tblLayout w:type="fixed"/>
              <w:tblLook w:firstRow="1" w:lastRow="0" w:firstColumn="0" w:lastColumn="0" w:noHBand="0" w:noVBand="0" w:val="0020"/>
            </w:tblPr>
            <w:tblGrid>
              <w:gridCol w:w="1523"/>
              <w:gridCol w:w="1827"/>
              <w:gridCol w:w="1523"/>
              <w:gridCol w:w="1624"/>
              <w:gridCol w:w="12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Meta-analytic</w:t>
                  </w:r>
                  <w:r>
                    <w:t xml:space="preserve"> </w:t>
                  </w:r>
                  <w:r>
                    <w:t xml:space="preserve">(popmodel)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Naive</w:t>
                  </w:r>
                  <w:r>
                    <w:t xml:space="preserve"> </w:t>
                  </w:r>
                  <w:r>
                    <w:t xml:space="preserve">(naivemodel)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Optimistic</w:t>
                  </w:r>
                  <w:r>
                    <w:t xml:space="preserve"> </w:t>
                  </w:r>
                  <w:r>
                    <w:t xml:space="preserve">(optmodel)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H1</w:t>
                  </w:r>
                  <w:r>
                    <w:t xml:space="preserve"> </w:t>
                  </w:r>
                  <w:r>
                    <w:t xml:space="preserve">(h1model)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Loading Min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Loading Max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Loading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</w:t>
                  </w:r>
                  <w:r>
                    <w:t xml:space="preserve"> </w:t>
                  </w:r>
                  <w:r>
                    <w:t xml:space="preserve">Correlations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Min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Max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Q3–Q4</w:t>
                  </w:r>
                  <w:r>
                    <w:t xml:space="preserve"> </w:t>
                  </w:r>
                  <w:r>
                    <w:t xml:space="preserve">Correlation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44">
        <w:r>
          <w:rPr>
            <w:rStyle w:val="Hyperlink"/>
            <w:vertAlign w:val="subscript"/>
          </w:rPr>
          <w:t xml:space="preserve">Population Models</w:t>
        </w:r>
      </w:hyperlink>
    </w:p>
    <w:bookmarkEnd w:id="45"/>
    <w:bookmarkStart w:id="52" w:name="analysis-model"/>
    <w:p>
      <w:pPr>
        <w:pStyle w:val="Heading3"/>
      </w:pPr>
      <w:r>
        <w:t xml:space="preserve">2.6 Analysis model</w:t>
      </w:r>
    </w:p>
    <w:p>
      <w:pPr>
        <w:pStyle w:val="FirstParagraph"/>
      </w:pPr>
      <w:r>
        <w:t xml:space="preserve">The analysis model (</w:t>
      </w:r>
      <w:r>
        <w:rPr>
          <w:rStyle w:val="VerbatimChar"/>
        </w:rPr>
        <w:t xml:space="preserve">analyzemodel</w:t>
      </w:r>
      <w:r>
        <w:t xml:space="preserve">) serves dual purposes depending on</w:t>
      </w:r>
      <w:r>
        <w:t xml:space="preserve"> </w:t>
      </w:r>
      <w:r>
        <w:t xml:space="preserve">the simulation paradigm: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Misspecification detection</w:t>
      </w:r>
      <w:r>
        <w:t xml:space="preserve">: When data are generated from the</w:t>
      </w:r>
      <w:r>
        <w:t xml:space="preserve"> </w:t>
      </w:r>
      <w:r>
        <w:t xml:space="preserve">misspecification model (</w:t>
      </w:r>
      <w:r>
        <w:rPr>
          <w:rStyle w:val="VerbatimChar"/>
        </w:rPr>
        <w:t xml:space="preserve">h1model</w:t>
      </w:r>
      <w:r>
        <w:t xml:space="preserve">), the analysis model acts as the</w:t>
      </w:r>
      <w:r>
        <w:t xml:space="preserve"> </w:t>
      </w:r>
      <w:r>
        <w:t xml:space="preserve">null hypothesis (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) by omitting the three cross-loadings.</w:t>
      </w:r>
      <w:r>
        <w:t xml:space="preserve"> </w:t>
      </w:r>
      <w:r>
        <w:t xml:space="preserve">Power is then the probability of correctly rejecting this</w:t>
      </w:r>
      <w:r>
        <w:t xml:space="preserve"> </w:t>
      </w:r>
      <w:r>
        <w:t xml:space="preserve">under-parameterized model.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Parameter recovery</w:t>
      </w:r>
      <w:r>
        <w:t xml:space="preserve">: When data are generated from the</w:t>
      </w:r>
      <w:r>
        <w:t xml:space="preserve"> </w:t>
      </w:r>
      <w:r>
        <w:t xml:space="preserve">meta-analytic, naive, or optimistic population models, the same</w:t>
      </w:r>
      <w:r>
        <w:t xml:space="preserve"> </w:t>
      </w:r>
      <w:r>
        <w:t xml:space="preserve">structure is used to estimate the four-factor model with the</w:t>
      </w:r>
      <w:r>
        <w:t xml:space="preserve"> </w:t>
      </w:r>
      <m:oMath>
        <m:r>
          <m:t>Q</m:t>
        </m:r>
        <m:r>
          <m:t>3</m:t>
        </m:r>
      </m:oMath>
      <w:r>
        <w:t xml:space="preserve">–</w:t>
      </w:r>
      <m:oMath>
        <m:r>
          <m:t>Q</m:t>
        </m:r>
        <m:r>
          <m:t>4</m:t>
        </m:r>
      </m:oMath>
      <w:r>
        <w:t xml:space="preserve"> </w:t>
      </w:r>
      <w:r>
        <w:t xml:space="preserve">residual covariance, and power reflects the ability to</w:t>
      </w:r>
      <w:r>
        <w:t xml:space="preserve"> </w:t>
      </w:r>
      <w:r>
        <w:t xml:space="preserve">recover individual parameters.</w:t>
      </w:r>
    </w:p>
    <w:p>
      <w:pPr>
        <w:pStyle w:val="FirstParagraph"/>
      </w:pPr>
      <w:r>
        <w:t xml:space="preserve">Key specification choices: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Identification</w:t>
      </w:r>
      <w:r>
        <w:t xml:space="preserve">: Factor variances fixed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(marker-free</w:t>
      </w:r>
      <w:r>
        <w:t xml:space="preserve"> </w:t>
      </w:r>
      <w:r>
        <w:t xml:space="preserve">scaling), allowing all first-indicator loadings to be freely</w:t>
      </w:r>
      <w:r>
        <w:t xml:space="preserve"> </w:t>
      </w:r>
      <w:r>
        <w:t xml:space="preserve">estimated.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Residual covariance</w:t>
      </w:r>
      <w:r>
        <w:t xml:space="preserve">: The</w:t>
      </w:r>
      <w:r>
        <w:t xml:space="preserve"> </w:t>
      </w:r>
      <m:oMath>
        <m:r>
          <m:t>Q</m:t>
        </m:r>
        <m:r>
          <m:t>3</m:t>
        </m:r>
      </m:oMath>
      <w:r>
        <w:t xml:space="preserve">–</w:t>
      </w:r>
      <m:oMath>
        <m:r>
          <m:t>Q</m:t>
        </m:r>
        <m:r>
          <m:t>4</m:t>
        </m:r>
      </m:oMath>
      <w:r>
        <w:t xml:space="preserve"> </w:t>
      </w:r>
      <w:r>
        <w:t xml:space="preserve">covariance is freely</w:t>
      </w:r>
      <w:r>
        <w:t xml:space="preserve"> </w:t>
      </w:r>
      <w:r>
        <w:t xml:space="preserve">estimated, which is both theoretically justified and empirically</w:t>
      </w:r>
      <w:r>
        <w:t xml:space="preserve"> </w:t>
      </w:r>
      <w:r>
        <w:t xml:space="preserve">supported</w:t>
      </w:r>
      <w:r>
        <w:t xml:space="preserve"> </w:t>
      </w:r>
      <w:r>
        <w:t xml:space="preserve">(Lin &amp; Yao, 2022;</w:t>
      </w:r>
      <w:r>
        <w:t xml:space="preserve"> </w:t>
      </w:r>
      <w:r>
        <w:t xml:space="preserve">Mosqueira Taipe et al.</w:t>
      </w:r>
      <w:r>
        <w:t xml:space="preserve">, 2026)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Omitted cross-loadings</w:t>
      </w:r>
      <w:r>
        <w:t xml:space="preserve">: The deliberate exclusion of</w:t>
      </w:r>
      <w:r>
        <w:t xml:space="preserve"> </w:t>
      </w:r>
      <w:r>
        <w:t xml:space="preserve">cross-loadings for</w:t>
      </w:r>
      <w:r>
        <w:t xml:space="preserve"> </w:t>
      </w:r>
      <m:oMath>
        <m:r>
          <m:t>Q</m:t>
        </m:r>
        <m:r>
          <m:t>8</m:t>
        </m:r>
      </m:oMath>
      <w:r>
        <w:t xml:space="preserve">,</w:t>
      </w:r>
      <w:r>
        <w:t xml:space="preserve"> </w:t>
      </w:r>
      <m:oMath>
        <m:r>
          <m:t>Q</m:t>
        </m:r>
        <m:r>
          <m:t>9</m:t>
        </m:r>
      </m:oMath>
      <w:r>
        <w:t xml:space="preserve">, and</w:t>
      </w:r>
      <w:r>
        <w:t xml:space="preserve"> </w:t>
      </w:r>
      <m:oMath>
        <m:r>
          <m:t>Q</m:t>
        </m:r>
        <m:r>
          <m:t>15</m:t>
        </m:r>
      </m:oMath>
      <w:r>
        <w:t xml:space="preserve"> </w:t>
      </w:r>
      <w:r>
        <w:t xml:space="preserve">defines the</w:t>
      </w:r>
      <w:r>
        <w:t xml:space="preserve"> </w:t>
      </w:r>
      <w:r>
        <w:t xml:space="preserve">misspecification that this tutorial’s main analysis is designed to</w:t>
      </w:r>
      <w:r>
        <w:t xml:space="preserve"> </w:t>
      </w:r>
      <w:r>
        <w:t xml:space="preserve">detect.</w:t>
      </w:r>
    </w:p>
    <w:p>
      <w:pPr>
        <w:pStyle w:val="SourceCode"/>
      </w:pPr>
      <w:r>
        <w:br/>
      </w:r>
      <w:r>
        <w:rPr>
          <w:rStyle w:val="VerbatimChar"/>
        </w:rPr>
        <w:t xml:space="preserve">  # ── Factor loadings: freely estimated 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psycho      =~ Q5  + Q6  + Q7  + Q11 + Q19 + Q26</w:t>
      </w:r>
      <w:r>
        <w:br/>
      </w:r>
      <w:r>
        <w:rPr>
          <w:rStyle w:val="VerbatimChar"/>
        </w:rPr>
        <w:t xml:space="preserve">  physical    =~ Q3  + Q4  + Q10 + Q15 + Q16 + Q17 + Q18</w:t>
      </w:r>
      <w:r>
        <w:br/>
      </w:r>
      <w:r>
        <w:rPr>
          <w:rStyle w:val="VerbatimChar"/>
        </w:rPr>
        <w:t xml:space="preserve">  social      =~ Q20 + Q21 + Q22</w:t>
      </w:r>
      <w:r>
        <w:br/>
      </w:r>
      <w:r>
        <w:rPr>
          <w:rStyle w:val="VerbatimChar"/>
        </w:rPr>
        <w:t xml:space="preserve">  environment =~ Q8  + Q9  + Q12 + Q13 + Q14 + Q23 + Q24 + Q25</w:t>
      </w:r>
      <w:r>
        <w:br/>
      </w:r>
      <w:r>
        <w:br/>
      </w:r>
      <w:r>
        <w:rPr>
          <w:rStyle w:val="VerbatimChar"/>
        </w:rPr>
        <w:t xml:space="preserve">  # ── Factor variances (=1) and free interfactor correlations ───────────────</w:t>
      </w:r>
      <w:r>
        <w:br/>
      </w:r>
      <w:r>
        <w:rPr>
          <w:rStyle w:val="VerbatimChar"/>
        </w:rPr>
        <w:t xml:space="preserve">  psycho      ~~ 1*psycho      + physical + social + environment</w:t>
      </w:r>
      <w:r>
        <w:br/>
      </w:r>
      <w:r>
        <w:rPr>
          <w:rStyle w:val="VerbatimChar"/>
        </w:rPr>
        <w:t xml:space="preserve">  physical    ~~ 1*physical    + social   + environment</w:t>
      </w:r>
      <w:r>
        <w:br/>
      </w:r>
      <w:r>
        <w:rPr>
          <w:rStyle w:val="VerbatimChar"/>
        </w:rPr>
        <w:t xml:space="preserve">  social      ~~ 1*social      + environment</w:t>
      </w:r>
      <w:r>
        <w:br/>
      </w:r>
      <w:r>
        <w:rPr>
          <w:rStyle w:val="VerbatimChar"/>
        </w:rPr>
        <w:t xml:space="preserve">  environment ~~ 1*environment</w:t>
      </w:r>
      <w:r>
        <w:br/>
      </w:r>
      <w:r>
        <w:br/>
      </w:r>
      <w:r>
        <w:rPr>
          <w:rStyle w:val="VerbatimChar"/>
        </w:rPr>
        <w:t xml:space="preserve">  # ── Residual covariance Q3~~Q4: freely estimated ──────────────────────────</w:t>
      </w:r>
      <w:r>
        <w:br/>
      </w:r>
      <w:r>
        <w:rPr>
          <w:rStyle w:val="VerbatimChar"/>
        </w:rPr>
        <w:t xml:space="preserve">  Q4 ~~ Q3</w:t>
      </w:r>
      <w:r>
        <w:br/>
      </w:r>
      <w:r>
        <w:br/>
      </w:r>
      <w:r>
        <w:rPr>
          <w:rStyle w:val="VerbatimChar"/>
        </w:rPr>
        <w:t xml:space="preserve">  # ── Residual variances: freely estimated 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Q5  ~~ Q5;  Q6  ~~ Q6;  Q7  ~~ Q7</w:t>
      </w:r>
      <w:r>
        <w:br/>
      </w:r>
      <w:r>
        <w:rPr>
          <w:rStyle w:val="VerbatimChar"/>
        </w:rPr>
        <w:t xml:space="preserve">  Q11 ~~ Q11; Q19 ~~ Q19; Q26 ~~ Q26</w:t>
      </w:r>
      <w:r>
        <w:br/>
      </w:r>
      <w:r>
        <w:rPr>
          <w:rStyle w:val="VerbatimChar"/>
        </w:rPr>
        <w:t xml:space="preserve">  Q3  ~~ Q3;  Q4  ~~ Q4;  Q10 ~~ Q10</w:t>
      </w:r>
      <w:r>
        <w:br/>
      </w:r>
      <w:r>
        <w:rPr>
          <w:rStyle w:val="VerbatimChar"/>
        </w:rPr>
        <w:t xml:space="preserve">  Q15 ~~ Q15; Q16 ~~ Q16; Q17 ~~ Q17; Q18 ~~ Q18</w:t>
      </w:r>
      <w:r>
        <w:br/>
      </w:r>
      <w:r>
        <w:rPr>
          <w:rStyle w:val="VerbatimChar"/>
        </w:rPr>
        <w:t xml:space="preserve">  Q20 ~~ Q20; Q21 ~~ Q21; Q22 ~~ Q22</w:t>
      </w:r>
      <w:r>
        <w:br/>
      </w:r>
      <w:r>
        <w:rPr>
          <w:rStyle w:val="VerbatimChar"/>
        </w:rPr>
        <w:t xml:space="preserve">  Q8  ~~ Q8;  Q9  ~~ Q9;  Q12 ~~ Q12; Q13 ~~ Q13</w:t>
      </w:r>
      <w:r>
        <w:br/>
      </w:r>
      <w:r>
        <w:rPr>
          <w:rStyle w:val="VerbatimChar"/>
        </w:rPr>
        <w:t xml:space="preserve">  Q14 ~~ Q14; Q23 ~~ Q23; Q24 ~~ Q24; Q25 ~~ Q25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46">
        <w:r>
          <w:rPr>
            <w:rStyle w:val="Hyperlink"/>
            <w:vertAlign w:val="subscript"/>
          </w:rPr>
          <w:t xml:space="preserve">Population Models</w:t>
        </w:r>
      </w:hyperlink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diagram-analyzemodel"/>
          <w:p>
            <w:pPr>
              <w:pStyle w:val="Compact"/>
              <w:jc w:val="center"/>
            </w:pPr>
            <w:r>
              <w:drawing>
                <wp:inline>
                  <wp:extent cx="5334000" cy="4667249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1_population_models-fig-diagram-analyzemodel-output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Path diagram of the analyzemodel</w:t>
            </w:r>
          </w:p>
          <w:bookmarkEnd w:id="50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51">
        <w:r>
          <w:rPr>
            <w:rStyle w:val="Hyperlink"/>
            <w:vertAlign w:val="subscript"/>
          </w:rPr>
          <w:t xml:space="preserve">Population Models</w:t>
        </w:r>
      </w:hyperlink>
    </w:p>
    <w:bookmarkEnd w:id="52"/>
    <w:bookmarkEnd w:id="53"/>
    <w:bookmarkStart w:id="88" w:name="sec-analytical"/>
    <w:p>
      <w:pPr>
        <w:pStyle w:val="Heading2"/>
      </w:pPr>
      <w:r>
        <w:t xml:space="preserve">3 Analytical Power Analysis</w:t>
      </w:r>
    </w:p>
    <w:p>
      <w:pPr>
        <w:pStyle w:val="FirstParagraph"/>
      </w:pPr>
      <w:r>
        <w:t xml:space="preserve">Before running any data collection, analytical power analysis answers</w:t>
      </w:r>
      <w:r>
        <w:t xml:space="preserve"> </w:t>
      </w:r>
      <w:r>
        <w:t xml:space="preserve">a fundamental planning question: how large must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so that, if</w:t>
      </w:r>
      <w:r>
        <w:t xml:space="preserve"> </w:t>
      </w:r>
      <w:r>
        <w:t xml:space="preserve">the model is wrong by at least a specified amount, we will reject it</w:t>
      </w:r>
      <w:r>
        <w:t xml:space="preserve"> </w:t>
      </w:r>
      <w:r>
        <w:t xml:space="preserve">with acceptable probability? In SEM, the dominant analytical framework</w:t>
      </w:r>
      <w:r>
        <w:t xml:space="preserve"> </w:t>
      </w:r>
      <w:r>
        <w:t xml:space="preserve">links misspecification to the non-central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through</w:t>
      </w:r>
      <w:r>
        <w:t xml:space="preserve"> </w:t>
      </w:r>
      <w:r>
        <w:t xml:space="preserve">the noncentrality parameter</w:t>
      </w:r>
      <w:r>
        <w:t xml:space="preserve"> </w:t>
      </w:r>
      <m:oMath>
        <m:r>
          <m:t>λ</m:t>
        </m:r>
      </m:oMath>
      <w:r>
        <w:t xml:space="preserve">, which scales with both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the magnitude of model discrepancy</w:t>
      </w:r>
      <w:r>
        <w:t xml:space="preserve"> </w:t>
      </w:r>
      <w:r>
        <w:t xml:space="preserve">(Jak et al., 2021; MacCallum et al., 1996)</w:t>
      </w:r>
      <w:r>
        <w:t xml:space="preserve">.</w:t>
      </w:r>
    </w:p>
    <w:bookmarkStart w:id="55" w:name="sec-df"/>
    <w:p>
      <w:pPr>
        <w:pStyle w:val="Heading3"/>
      </w:pPr>
      <w:r>
        <w:t xml:space="preserve">3.1 Model Degrees of Freedom</w:t>
      </w:r>
    </w:p>
    <w:p>
      <w:pPr>
        <w:pStyle w:val="FirstParagraph"/>
      </w:pPr>
      <w:r>
        <w:t xml:space="preserve">All analytical calculations in this section depend on the model degrees</w:t>
      </w:r>
      <w:r>
        <w:t xml:space="preserve"> </w:t>
      </w:r>
      <w:r>
        <w:t xml:space="preserve">of freedom (</w:t>
      </w:r>
      <m:oMath>
        <m:r>
          <m:t>d</m:t>
        </m:r>
        <m:r>
          <m:t>f</m:t>
        </m:r>
      </m:oMath>
      <w:r>
        <w:t xml:space="preserve">) — the difference between the number of unique</w:t>
      </w:r>
      <w:r>
        <w:t xml:space="preserve"> </w:t>
      </w:r>
      <w:r>
        <w:t xml:space="preserve">variances and covariances in the observed data and the number of freely</w:t>
      </w:r>
      <w:r>
        <w:t xml:space="preserve"> </w:t>
      </w:r>
      <w:r>
        <w:t xml:space="preserve">estimated parameters. This quantity enters the non-central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directly and is therefore required before any a priori or</w:t>
      </w:r>
      <w:r>
        <w:t xml:space="preserve"> </w:t>
      </w:r>
      <w:r>
        <w:t xml:space="preserve">post hoc power calculation can proceed:</w:t>
      </w:r>
    </w:p>
    <w:p>
      <w:pPr>
        <w:pStyle w:val="SourceCode"/>
      </w:pPr>
      <w:r>
        <w:rPr>
          <w:rStyle w:val="VerbatimChar"/>
        </w:rPr>
        <w:t xml:space="preserve">Model degrees of freedom (via semPower): 249 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54">
        <w:r>
          <w:rPr>
            <w:rStyle w:val="Hyperlink"/>
            <w:vertAlign w:val="subscript"/>
          </w:rPr>
          <w:t xml:space="preserve">Analytical Power Analysis</w:t>
        </w:r>
      </w:hyperlink>
    </w:p>
    <w:bookmarkEnd w:id="55"/>
    <w:bookmarkStart w:id="68" w:name="sec-apriori"/>
    <w:p>
      <w:pPr>
        <w:pStyle w:val="Heading3"/>
      </w:pPr>
      <w:r>
        <w:t xml:space="preserve">3.2 A Priori: How Many Observations?</w:t>
      </w:r>
    </w:p>
    <w:bookmarkStart w:id="61" w:name="model-free-approach-rmsea-based"/>
    <w:p>
      <w:pPr>
        <w:pStyle w:val="Heading4"/>
      </w:pPr>
      <w:r>
        <w:t xml:space="preserve">3.2.1 Model-free approach (RMSEA-based)</w:t>
      </w:r>
    </w:p>
    <w:p>
      <w:pPr>
        <w:pStyle w:val="FirstParagraph"/>
      </w:pPr>
      <w:r>
        <w:t xml:space="preserve">The simplest analytical strategy sets the target effect through the</w:t>
      </w:r>
      <w:r>
        <w:t xml:space="preserve"> </w:t>
      </w:r>
      <w:r>
        <w:t xml:space="preserve">RMSEA, a noncentrality-based index that expresses misfit per degree of</w:t>
      </w:r>
      <w:r>
        <w:t xml:space="preserve"> </w:t>
      </w:r>
      <w:r>
        <w:t xml:space="preserve">freedom and is therefore comparable across models of different</w:t>
      </w:r>
      <w:r>
        <w:t xml:space="preserve"> </w:t>
      </w:r>
      <w:r>
        <w:t xml:space="preserve">complexity</w:t>
      </w:r>
      <w:r>
        <w:t xml:space="preserve"> </w:t>
      </w:r>
      <w:r>
        <w:t xml:space="preserve">(MacCallum et al., 1996)</w:t>
      </w:r>
      <w:r>
        <w:t xml:space="preserve">. Because RMSEA is directly linked to the</w:t>
      </w:r>
      <w:r>
        <w:t xml:space="preserve"> </w:t>
      </w:r>
      <w:r>
        <w:t xml:space="preserve">population minimum of the fitting function through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RMSEA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d</m:t>
        </m:r>
        <m:r>
          <m:t>f</m:t>
        </m:r>
      </m:oMath>
      <w:r>
        <w:t xml:space="preserve">, specifying a target RMSEA is</w:t>
      </w:r>
      <w:r>
        <w:t xml:space="preserve"> </w:t>
      </w:r>
      <w:r>
        <w:t xml:space="preserve">sufficient to define the entire noncentrality-based framework needed for</w:t>
      </w:r>
      <w:r>
        <w:t xml:space="preserve"> </w:t>
      </w:r>
      <w:r>
        <w:t xml:space="preserve">the power calculation. The approach is</w:t>
      </w:r>
      <w:r>
        <w:t xml:space="preserve"> </w:t>
      </w:r>
      <w:r>
        <w:t xml:space="preserve">“model-free”</w:t>
      </w:r>
      <w:r>
        <w:t xml:space="preserve"> </w:t>
      </w:r>
      <w:r>
        <w:t xml:space="preserve">in the sense that no</w:t>
      </w:r>
      <w:r>
        <w:t xml:space="preserve"> </w:t>
      </w:r>
      <w:r>
        <w:t xml:space="preserve">explicit population model needs to be specified: the required sample</w:t>
      </w:r>
      <w:r>
        <w:t xml:space="preserve"> </w:t>
      </w:r>
      <w:r>
        <w:t xml:space="preserve">size depends only on</w:t>
      </w:r>
      <w:r>
        <w:t xml:space="preserve"> </w:t>
      </w:r>
      <m:oMath>
        <m:r>
          <m:rPr>
            <m:nor/>
            <m:sty m:val="p"/>
          </m:rPr>
          <m:t>RMSEA</m:t>
        </m:r>
      </m:oMath>
      <w:r>
        <w:t xml:space="preserve">,</w:t>
      </w:r>
      <w:r>
        <w:t xml:space="preserve"> </w:t>
      </w:r>
      <m:oMath>
        <m:r>
          <m:t>α</m:t>
        </m:r>
      </m:oMath>
      <w:r>
        <w:t xml:space="preserve">, desired power, and</w:t>
      </w:r>
      <w:r>
        <w:t xml:space="preserve"> </w:t>
      </w:r>
      <m:oMath>
        <m:r>
          <m:t>d</m:t>
        </m:r>
        <m:r>
          <m:t>f</m:t>
        </m:r>
      </m:oMath>
      <w:r>
        <w:t xml:space="preserve"> </w:t>
      </w:r>
      <w:r>
        <w:t xml:space="preserve">(Jak et al., 2021; Jobst et al., 2023)</w:t>
      </w:r>
      <w:r>
        <w:t xml:space="preserve">.</w:t>
      </w:r>
    </w:p>
    <w:p>
      <w:pPr>
        <w:pStyle w:val="BodyText"/>
      </w:pPr>
      <w:r>
        <w:t xml:space="preserve">This strategy is most appropriate when the objective is to plan sample</w:t>
      </w:r>
      <w:r>
        <w:t xml:space="preserve"> </w:t>
      </w:r>
      <w:r>
        <w:t xml:space="preserve">size for detecting overall model misspecification in a global</w:t>
      </w:r>
      <w:r>
        <w:t xml:space="preserve"> </w:t>
      </w:r>
      <w:r>
        <w:t xml:space="preserve">chi-square test of fit, rather than for testing an individual parameter</w:t>
      </w:r>
      <w:r>
        <w:t xml:space="preserve"> </w:t>
      </w:r>
      <w:r>
        <w:t xml:space="preserve">restriction</w:t>
      </w:r>
      <w:r>
        <w:t xml:space="preserve"> </w:t>
      </w:r>
      <w:r>
        <w:t xml:space="preserve">(Moshagen &amp; Bader, 2024; Wang, 2023)</w:t>
      </w:r>
      <w:r>
        <w:t xml:space="preserve">.</w:t>
      </w:r>
    </w:p>
    <w:p>
      <w:pPr>
        <w:pStyle w:val="SourceCode"/>
      </w:pPr>
      <w:r>
        <w:br/>
      </w:r>
      <w:r>
        <w:rPr>
          <w:rStyle w:val="VerbatimChar"/>
        </w:rPr>
        <w:t xml:space="preserve"> semPower: A priori power analysis</w:t>
      </w:r>
      <w:r>
        <w:br/>
      </w:r>
      <w:r>
        <w:rPr>
          <w:rStyle w:val="VerbatimChar"/>
        </w:rPr>
        <w:t xml:space="preserve">                                   </w:t>
      </w:r>
      <w:r>
        <w:br/>
      </w:r>
      <w:r>
        <w:rPr>
          <w:rStyle w:val="VerbatimChar"/>
        </w:rPr>
        <w:t xml:space="preserve"> F0                        0.622500</w:t>
      </w:r>
      <w:r>
        <w:br/>
      </w:r>
      <w:r>
        <w:rPr>
          <w:rStyle w:val="VerbatimChar"/>
        </w:rPr>
        <w:t xml:space="preserve"> RMSEA                     0.050000</w:t>
      </w:r>
      <w:r>
        <w:br/>
      </w:r>
      <w:r>
        <w:rPr>
          <w:rStyle w:val="VerbatimChar"/>
        </w:rPr>
        <w:t xml:space="preserve"> Mc                        0.732531</w:t>
      </w:r>
      <w:r>
        <w:br/>
      </w:r>
      <w:r>
        <w:rPr>
          <w:rStyle w:val="VerbatimChar"/>
        </w:rPr>
        <w:t xml:space="preserve"> GFI                       0.950683</w:t>
      </w:r>
      <w:r>
        <w:br/>
      </w:r>
      <w:r>
        <w:rPr>
          <w:rStyle w:val="VerbatimChar"/>
        </w:rPr>
        <w:t xml:space="preserve"> AGFI                      0.940582</w:t>
      </w:r>
      <w:r>
        <w:br/>
      </w:r>
      <w:r>
        <w:rPr>
          <w:rStyle w:val="VerbatimChar"/>
        </w:rPr>
        <w:t xml:space="preserve">                                   </w:t>
      </w:r>
      <w:r>
        <w:br/>
      </w:r>
      <w:r>
        <w:rPr>
          <w:rStyle w:val="VerbatimChar"/>
        </w:rPr>
        <w:t xml:space="preserve"> df                        249     </w:t>
      </w:r>
      <w:r>
        <w:br/>
      </w:r>
      <w:r>
        <w:rPr>
          <w:rStyle w:val="VerbatimChar"/>
        </w:rPr>
        <w:t xml:space="preserve"> Required Num Observations 99      </w:t>
      </w:r>
      <w:r>
        <w:br/>
      </w:r>
      <w:r>
        <w:rPr>
          <w:rStyle w:val="VerbatimChar"/>
        </w:rPr>
        <w:t xml:space="preserve">                                   </w:t>
      </w:r>
      <w:r>
        <w:br/>
      </w:r>
      <w:r>
        <w:rPr>
          <w:rStyle w:val="VerbatimChar"/>
        </w:rPr>
        <w:t xml:space="preserve"> Critical Chi-Square       286.8077</w:t>
      </w:r>
      <w:r>
        <w:br/>
      </w:r>
      <w:r>
        <w:rPr>
          <w:rStyle w:val="VerbatimChar"/>
        </w:rPr>
        <w:t xml:space="preserve"> NCP                       61.00500</w:t>
      </w:r>
      <w:r>
        <w:br/>
      </w:r>
      <w:r>
        <w:rPr>
          <w:rStyle w:val="VerbatimChar"/>
        </w:rPr>
        <w:t xml:space="preserve"> Alpha                     0.050000</w:t>
      </w:r>
      <w:r>
        <w:br/>
      </w:r>
      <w:r>
        <w:rPr>
          <w:rStyle w:val="VerbatimChar"/>
        </w:rPr>
        <w:t xml:space="preserve"> Beta                      0.199217</w:t>
      </w:r>
      <w:r>
        <w:br/>
      </w:r>
      <w:r>
        <w:rPr>
          <w:rStyle w:val="VerbatimChar"/>
        </w:rPr>
        <w:t xml:space="preserve"> Power (1 - Beta)          0.800783</w:t>
      </w:r>
      <w:r>
        <w:br/>
      </w:r>
      <w:r>
        <w:rPr>
          <w:rStyle w:val="VerbatimChar"/>
        </w:rPr>
        <w:t xml:space="preserve"> Implied Alpha/Beta Ratio  0.250983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apriori-rmsea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2_analytical_power-fig-apriori-rmsea-output-2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A priori power analysis for exact fit with RMSEA-based effect size</w:t>
            </w:r>
          </w:p>
          <w:bookmarkEnd w:id="59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60">
        <w:r>
          <w:rPr>
            <w:rStyle w:val="Hyperlink"/>
            <w:vertAlign w:val="subscript"/>
          </w:rPr>
          <w:t xml:space="preserve">Analytical Power Analysis</w:t>
        </w:r>
      </w:hyperlink>
    </w:p>
    <w:p>
      <w:pPr>
        <w:pStyle w:val="BodyText"/>
      </w:pPr>
      <w:r>
        <w:t xml:space="preserve">This output reports the minimum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required to detect misfit of</w:t>
      </w:r>
      <w:r>
        <w:t xml:space="preserve"> </w:t>
      </w:r>
      <m:oMath>
        <m:r>
          <m:rPr>
            <m:nor/>
            <m:sty m:val="p"/>
          </m:rPr>
          <m:t>RMSEA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with power</w:t>
      </w:r>
      <w:r>
        <w:t xml:space="preserve"> </w:t>
      </w:r>
      <m:oMath>
        <m:r>
          <m:rPr>
            <m:sty m:val="p"/>
          </m:rPr>
          <m:t>≈</m:t>
        </m:r>
        <m:r>
          <m:t>0.80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Note that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refers to the misspecification level to be detected</w:t>
      </w:r>
      <w:r>
        <w:t xml:space="preserve"> </w:t>
      </w:r>
      <w:r>
        <w:t xml:space="preserve">under the alternative hypothesis, not to a tolerated misfit level under</w:t>
      </w:r>
      <w:r>
        <w:t xml:space="preserve"> </w:t>
      </w:r>
      <w:r>
        <w:t xml:space="preserve">the null</w:t>
      </w:r>
      <w:r>
        <w:t xml:space="preserve"> </w:t>
      </w:r>
      <w:r>
        <w:t xml:space="preserve">(Jak et al., 2021; MacCallum et al., 1996)</w:t>
      </w:r>
      <w:r>
        <w:t xml:space="preserve">.</w:t>
      </w:r>
    </w:p>
    <w:p>
      <w:pPr>
        <w:pStyle w:val="BodyText"/>
      </w:pPr>
      <w:r>
        <w:t xml:space="preserve">The output presents several equivalent representations of the same target</w:t>
      </w:r>
      <w:r>
        <w:t xml:space="preserve"> </w:t>
      </w:r>
      <w:r>
        <w:t xml:space="preserve">effect. The value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0.623 is the population</w:t>
      </w:r>
      <w:r>
        <w:t xml:space="preserve"> </w:t>
      </w:r>
      <w:r>
        <w:t xml:space="preserve">minimum of the fitting function, obtained from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d</m:t>
        </m:r>
        <m:r>
          <m:t>f</m:t>
        </m:r>
        <m:r>
          <m:rPr>
            <m:sty m:val="p"/>
          </m:rPr>
          <m:t>⋅</m:t>
        </m:r>
        <m:sSup>
          <m:e>
            <m:r>
              <m:rPr>
                <m:nor/>
                <m:sty m:val="p"/>
              </m:rPr>
              <m:t>RMSEA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= 249</w:t>
      </w:r>
      <w:r>
        <w:t xml:space="preserve"> </w:t>
      </w:r>
      <m:oMath>
        <m:r>
          <m:rPr>
            <m:sty m:val="p"/>
          </m:rPr>
          <m:t>⋅</m:t>
        </m:r>
      </m:oMath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Alongside it, the summary also reports</w:t>
      </w:r>
      <w:r>
        <w:t xml:space="preserve"> </w:t>
      </w:r>
      <m:oMath>
        <m:r>
          <m:t>M</m:t>
        </m:r>
        <m:r>
          <m:t>c</m:t>
        </m:r>
      </m:oMath>
      <w:r>
        <w:t xml:space="preserve"> </w:t>
      </w:r>
      <w:r>
        <w:t xml:space="preserve">= 0.733,</w:t>
      </w:r>
      <w:r>
        <w:t xml:space="preserve"> </w:t>
      </w:r>
      <m:oMath>
        <m:r>
          <m:t>G</m:t>
        </m:r>
        <m:r>
          <m:t>F</m:t>
        </m:r>
        <m:r>
          <m:t>I</m:t>
        </m:r>
      </m:oMath>
      <w:r>
        <w:t xml:space="preserve"> </w:t>
      </w:r>
      <w:r>
        <w:t xml:space="preserve">= 0.951, and</w:t>
      </w:r>
      <w:r>
        <w:t xml:space="preserve"> </w:t>
      </w:r>
      <m:oMath>
        <m:r>
          <m:t>A</m:t>
        </m:r>
        <m:r>
          <m:t>G</m:t>
        </m:r>
        <m:r>
          <m:t>F</m:t>
        </m:r>
        <m:r>
          <m:t>I</m:t>
        </m:r>
      </m:oMath>
      <w:r>
        <w:t xml:space="preserve"> </w:t>
      </w:r>
      <w:r>
        <w:t xml:space="preserve">= 0.941. These are not distinct effect sizes</w:t>
      </w:r>
      <w:r>
        <w:t xml:space="preserve"> </w:t>
      </w:r>
      <w:r>
        <w:t xml:space="preserve">but alternative summaries of the same degree of model misfit, expressed</w:t>
      </w:r>
      <w:r>
        <w:t xml:space="preserve"> </w:t>
      </w:r>
      <w:r>
        <w:t xml:space="preserve">in the metrics used by</w:t>
      </w:r>
      <w:r>
        <w:t xml:space="preserve"> </w:t>
      </w:r>
      <w:r>
        <w:rPr>
          <w:rStyle w:val="VerbatimChar"/>
        </w:rPr>
        <w:t xml:space="preserve">semPower</w:t>
      </w:r>
      <w:r>
        <w:t xml:space="preserve"> </w:t>
      </w:r>
      <w:r>
        <w:t xml:space="preserve">(Moshagen &amp; Bader, 2024)</w:t>
      </w:r>
      <w:r>
        <w:t xml:space="preserve">.</w:t>
      </w:r>
    </w:p>
    <w:p>
      <w:pPr>
        <w:pStyle w:val="BodyText"/>
      </w:pPr>
      <w:r>
        <w:t xml:space="preserve">The key conversion is: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f</m:t>
          </m:r>
          <m:r>
            <m:t> </m:t>
          </m:r>
          <m:sSup>
            <m:e>
              <m:r>
                <m:rPr>
                  <m:nor/>
                  <m:sty m:val="p"/>
                </m:rPr>
                <m:t>RMSEA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which translates the chosen misfit into the noncentrality parameter used</w:t>
      </w:r>
      <w:r>
        <w:t xml:space="preserve"> </w:t>
      </w:r>
      <w:r>
        <w:t xml:space="preserve">to locate the alternative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(Jak et al., 2021; MacCallum et al., 1996)</w:t>
      </w:r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d</m:t>
        </m:r>
        <m:r>
          <m:t>f</m:t>
        </m:r>
      </m:oMath>
      <w:r>
        <w:t xml:space="preserve"> </w:t>
      </w:r>
      <w:r>
        <w:t xml:space="preserve">= 249, the a priori solution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= 99. At that</w:t>
      </w:r>
      <w:r>
        <w:t xml:space="preserve"> </w:t>
      </w:r>
      <m:oMath>
        <m:r>
          <m:t>N</m:t>
        </m:r>
      </m:oMath>
      <w:r>
        <w:t xml:space="preserve">, the noncentrality parameter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= 61.005 and the critical value</w:t>
      </w:r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χ</m:t>
            </m:r>
          </m:e>
          <m:sub>
            <m:r>
              <m:t>c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= 286.808. The implied</w:t>
      </w:r>
      <w:r>
        <w:t xml:space="preserve"> </w:t>
      </w:r>
      <m:oMath>
        <m:r>
          <m:t>β</m:t>
        </m:r>
      </m:oMath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0.199 corresponds to power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β</m:t>
        </m:r>
      </m:oMath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0.801, confirming</w:t>
      </w:r>
      <w:r>
        <w:t xml:space="preserve"> </w:t>
      </w:r>
      <w:r>
        <w:t xml:space="preserve">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= 99 is the minimum sample size at which</w:t>
      </w:r>
      <w:r>
        <w:t xml:space="preserve"> </w:t>
      </w:r>
      <w:r>
        <w:t xml:space="preserve">the target operating characteristics are met</w:t>
      </w:r>
      <w:r>
        <w:t xml:space="preserve"> </w:t>
      </w:r>
      <w:r>
        <w:t xml:space="preserve">(Jobst et al., 2023)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fig-apriori-rmsea">
        <w:r>
          <w:rPr>
            <w:rStyle w:val="Hyperlink"/>
          </w:rPr>
          <w:t xml:space="preserve">Figure 6</w:t>
        </w:r>
      </w:hyperlink>
      <w:r>
        <w:t xml:space="preserve">, the solid red curve is the central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exact</w:t>
      </w:r>
      <w:r>
        <w:t xml:space="preserve"> </w:t>
      </w:r>
      <w:r>
        <w:t xml:space="preserve">fit, the dashed blue curve is the noncentral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 target</w:t>
      </w:r>
      <w:r>
        <w:t xml:space="preserve"> </w:t>
      </w:r>
      <w:r>
        <w:t xml:space="preserve">misspecification, and the vertical dotted line at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= 286.808 is the decision threshold</w:t>
      </w:r>
      <w:r>
        <w:t xml:space="preserve"> </w:t>
      </w:r>
      <w:r>
        <w:t xml:space="preserve">(Jak et al., 2021; Moshagen &amp; Bader, 2024)</w:t>
      </w:r>
      <w:r>
        <w:t xml:space="preserve">.</w:t>
      </w:r>
    </w:p>
    <w:bookmarkEnd w:id="61"/>
    <w:bookmarkStart w:id="67" w:name="model-based-approach"/>
    <w:p>
      <w:pPr>
        <w:pStyle w:val="Heading4"/>
      </w:pPr>
      <w:r>
        <w:t xml:space="preserve">3.2.2 Model-based approach</w:t>
      </w:r>
    </w:p>
    <w:p>
      <w:pPr>
        <w:pStyle w:val="FirstParagraph"/>
      </w:pPr>
      <w:r>
        <w:t xml:space="preserve">When substantive theory specifies the population structure, a</w:t>
      </w:r>
      <w:r>
        <w:t xml:space="preserve"> </w:t>
      </w:r>
      <w:r>
        <w:t xml:space="preserve">model-based power analysis is more informative: rather than setting</w:t>
      </w:r>
      <w:r>
        <w:t xml:space="preserve"> </w:t>
      </w:r>
      <w:r>
        <w:t xml:space="preserve">misfit to a generic RMSEA value, the effect is implied by the</w:t>
      </w:r>
      <w:r>
        <w:t xml:space="preserve"> </w:t>
      </w:r>
      <w:r>
        <w:t xml:space="preserve">discrepancy between an explicitly defined population model and the</w:t>
      </w:r>
      <w:r>
        <w:t xml:space="preserve"> </w:t>
      </w:r>
      <w:r>
        <w:t xml:space="preserve">restricted analysis model</w:t>
      </w:r>
      <w:r>
        <w:t xml:space="preserve"> </w:t>
      </w:r>
      <w:r>
        <w:t xml:space="preserve">(Feng &amp; Hancock, 2023; Wang, 2023)</w:t>
      </w:r>
      <w:r>
        <w:t xml:space="preserve">. This makes the</w:t>
      </w:r>
      <w:r>
        <w:t xml:space="preserve"> </w:t>
      </w:r>
      <w:r>
        <w:t xml:space="preserve">sample size estimate dependent on the hypothesized parameter</w:t>
      </w:r>
      <w:r>
        <w:t xml:space="preserve"> </w:t>
      </w:r>
      <w:r>
        <w:t xml:space="preserve">configuration rather than on a conventional threshold.</w:t>
      </w:r>
    </w:p>
    <w:p>
      <w:pPr>
        <w:pStyle w:val="BodyText"/>
      </w:pPr>
      <w:r>
        <w:rPr>
          <w:rStyle w:val="VerbatimChar"/>
        </w:rPr>
        <w:t xml:space="preserve">semPower.powerLav()</w:t>
      </w:r>
      <w:r>
        <w:t xml:space="preserve"> </w:t>
      </w:r>
      <w:r>
        <w:t xml:space="preserve">implements this by fitting the null model to the</w:t>
      </w:r>
      <w:r>
        <w:t xml:space="preserve"> </w:t>
      </w:r>
      <w:r>
        <w:t xml:space="preserve">population-implied covariance matrix and translating the resulting</w:t>
      </w:r>
      <w:r>
        <w:t xml:space="preserve"> </w:t>
      </w:r>
      <w:r>
        <w:t xml:space="preserve">discrepancy into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then into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. When</w:t>
      </w:r>
      <w:r>
        <w:t xml:space="preserve"> </w:t>
      </w:r>
      <w:r>
        <w:rPr>
          <w:rStyle w:val="VerbatimChar"/>
        </w:rPr>
        <w:t xml:space="preserve">modelH1</w:t>
      </w:r>
      <w:r>
        <w:t xml:space="preserve"> </w:t>
      </w:r>
      <w:r>
        <w:t xml:space="preserve">is omitted, the null model is evaluated against the saturated</w:t>
      </w:r>
      <w:r>
        <w:t xml:space="preserve"> </w:t>
      </w:r>
      <w:r>
        <w:t xml:space="preserve">model, making the analysis a global test of fit rather than a test of</w:t>
      </w:r>
      <w:r>
        <w:t xml:space="preserve"> </w:t>
      </w:r>
      <w:r>
        <w:t xml:space="preserve">any single restriction</w:t>
      </w:r>
      <w:r>
        <w:t xml:space="preserve"> </w:t>
      </w:r>
      <w:r>
        <w:t xml:space="preserve">(Jobst et al., 2023; Moshagen &amp; Bader, 2024)</w:t>
      </w:r>
      <w:r>
        <w:t xml:space="preserve">. Because the effect</w:t>
      </w:r>
      <w:r>
        <w:t xml:space="preserve"> </w:t>
      </w:r>
      <w:r>
        <w:t xml:space="preserve">is generated from the full model specification, any change to loadings,</w:t>
      </w:r>
      <w:r>
        <w:t xml:space="preserve"> </w:t>
      </w:r>
      <w:r>
        <w:t xml:space="preserve">factor correlations, or residual variances will alter the required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— an important point when conducting sensitivity analyses</w:t>
      </w:r>
      <w:r>
        <w:t xml:space="preserve"> </w:t>
      </w:r>
      <w:r>
        <w:t xml:space="preserve">(Buchberger et al., 2024)</w:t>
      </w:r>
      <w:r>
        <w:t xml:space="preserve">.</w:t>
      </w:r>
    </w:p>
    <w:p>
      <w:pPr>
        <w:pStyle w:val="SourceCode"/>
      </w:pPr>
      <w:r>
        <w:br/>
      </w:r>
      <w:r>
        <w:rPr>
          <w:rStyle w:val="VerbatimChar"/>
        </w:rPr>
        <w:t xml:space="preserve"> semPower: A priori power analysis</w:t>
      </w:r>
      <w:r>
        <w:br/>
      </w:r>
      <w:r>
        <w:rPr>
          <w:rStyle w:val="VerbatimChar"/>
        </w:rPr>
        <w:t xml:space="preserve">                                   </w:t>
      </w:r>
      <w:r>
        <w:br/>
      </w:r>
      <w:r>
        <w:rPr>
          <w:rStyle w:val="VerbatimChar"/>
        </w:rPr>
        <w:t xml:space="preserve"> F0                        0.303870</w:t>
      </w:r>
      <w:r>
        <w:br/>
      </w:r>
      <w:r>
        <w:rPr>
          <w:rStyle w:val="VerbatimChar"/>
        </w:rPr>
        <w:t xml:space="preserve"> RMSEA                     0.034934</w:t>
      </w:r>
      <w:r>
        <w:br/>
      </w:r>
      <w:r>
        <w:rPr>
          <w:rStyle w:val="VerbatimChar"/>
        </w:rPr>
        <w:t xml:space="preserve"> SRMR                      0.175600</w:t>
      </w:r>
      <w:r>
        <w:br/>
      </w:r>
      <w:r>
        <w:rPr>
          <w:rStyle w:val="VerbatimChar"/>
        </w:rPr>
        <w:t xml:space="preserve"> Mc                        0.859044</w:t>
      </w:r>
      <w:r>
        <w:br/>
      </w:r>
      <w:r>
        <w:rPr>
          <w:rStyle w:val="VerbatimChar"/>
        </w:rPr>
        <w:t xml:space="preserve"> GFI                       0.975303</w:t>
      </w:r>
      <w:r>
        <w:br/>
      </w:r>
      <w:r>
        <w:rPr>
          <w:rStyle w:val="VerbatimChar"/>
        </w:rPr>
        <w:t xml:space="preserve"> AGFI                      0.970244</w:t>
      </w:r>
      <w:r>
        <w:br/>
      </w:r>
      <w:r>
        <w:rPr>
          <w:rStyle w:val="VerbatimChar"/>
        </w:rPr>
        <w:t xml:space="preserve"> CFI                       0.977582</w:t>
      </w:r>
      <w:r>
        <w:br/>
      </w:r>
      <w:r>
        <w:rPr>
          <w:rStyle w:val="VerbatimChar"/>
        </w:rPr>
        <w:t xml:space="preserve">                                   </w:t>
      </w:r>
      <w:r>
        <w:br/>
      </w:r>
      <w:r>
        <w:rPr>
          <w:rStyle w:val="VerbatimChar"/>
        </w:rPr>
        <w:t xml:space="preserve"> df                        249     </w:t>
      </w:r>
      <w:r>
        <w:br/>
      </w:r>
      <w:r>
        <w:rPr>
          <w:rStyle w:val="VerbatimChar"/>
        </w:rPr>
        <w:t xml:space="preserve"> Required Num Observations 202     </w:t>
      </w:r>
      <w:r>
        <w:br/>
      </w:r>
      <w:r>
        <w:rPr>
          <w:rStyle w:val="VerbatimChar"/>
        </w:rPr>
        <w:t xml:space="preserve">                                   </w:t>
      </w:r>
      <w:r>
        <w:br/>
      </w:r>
      <w:r>
        <w:rPr>
          <w:rStyle w:val="VerbatimChar"/>
        </w:rPr>
        <w:t xml:space="preserve"> Critical Chi-Square       286.8077</w:t>
      </w:r>
      <w:r>
        <w:br/>
      </w:r>
      <w:r>
        <w:rPr>
          <w:rStyle w:val="VerbatimChar"/>
        </w:rPr>
        <w:t xml:space="preserve"> NCP                       61.07791</w:t>
      </w:r>
      <w:r>
        <w:br/>
      </w:r>
      <w:r>
        <w:rPr>
          <w:rStyle w:val="VerbatimChar"/>
        </w:rPr>
        <w:t xml:space="preserve"> Alpha                     0.050000</w:t>
      </w:r>
      <w:r>
        <w:br/>
      </w:r>
      <w:r>
        <w:rPr>
          <w:rStyle w:val="VerbatimChar"/>
        </w:rPr>
        <w:t xml:space="preserve"> Beta                      0.198481</w:t>
      </w:r>
      <w:r>
        <w:br/>
      </w:r>
      <w:r>
        <w:rPr>
          <w:rStyle w:val="VerbatimChar"/>
        </w:rPr>
        <w:t xml:space="preserve"> Power (1 - Beta)          0.801519</w:t>
      </w:r>
      <w:r>
        <w:br/>
      </w:r>
      <w:r>
        <w:rPr>
          <w:rStyle w:val="VerbatimChar"/>
        </w:rPr>
        <w:t xml:space="preserve"> Implied Alpha/Beta Ratio  0.251914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apriori-popmodel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2_analytical_power-fig-apriori-popmodel-output-2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A priori power analysis Model-based approach (popModel)</w:t>
            </w:r>
          </w:p>
          <w:bookmarkEnd w:id="65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66">
        <w:r>
          <w:rPr>
            <w:rStyle w:val="Hyperlink"/>
            <w:vertAlign w:val="subscript"/>
          </w:rPr>
          <w:t xml:space="preserve">Analytical Power Analysis</w:t>
        </w:r>
      </w:hyperlink>
    </w:p>
    <w:p>
      <w:pPr>
        <w:pStyle w:val="BodyText"/>
      </w:pPr>
      <w:r>
        <w:t xml:space="preserve">The output reports a population discrepancy of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0.304, equivalently expressed as</w:t>
      </w:r>
      <w:r>
        <w:t xml:space="preserve"> </w:t>
      </w:r>
      <m:oMath>
        <m:r>
          <m:rPr>
            <m:nor/>
            <m:sty m:val="p"/>
          </m:rPr>
          <m:t>RMSEA</m:t>
        </m:r>
      </m:oMath>
      <w:r>
        <w:t xml:space="preserve"> </w:t>
      </w:r>
      <w:r>
        <w:t xml:space="preserve">= 0.035 and</w:t>
      </w:r>
      <w:r>
        <w:t xml:space="preserve"> </w:t>
      </w:r>
      <m:oMath>
        <m:r>
          <m:t>M</m:t>
        </m:r>
        <m:r>
          <m:t>c</m:t>
        </m:r>
      </m:oMath>
      <w:r>
        <w:t xml:space="preserve"> </w:t>
      </w:r>
      <w:r>
        <w:t xml:space="preserve">= 0.859. With</w:t>
      </w:r>
      <w:r>
        <w:t xml:space="preserve"> </w:t>
      </w:r>
      <m:oMath>
        <m:r>
          <m:t>d</m:t>
        </m:r>
        <m:r>
          <m:t>f</m:t>
        </m:r>
      </m:oMath>
      <w:r>
        <w:t xml:space="preserve"> </w:t>
      </w:r>
      <w:r>
        <w:t xml:space="preserve">= 249, the required sample size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= 202, and the corresponding critical</w:t>
      </w:r>
      <w:r>
        <w:t xml:space="preserve"> </w:t>
      </w:r>
      <w:r>
        <w:t xml:space="preserve">chi-square is 286.808. The noncentrality</w:t>
      </w:r>
      <w:r>
        <w:t xml:space="preserve"> </w:t>
      </w:r>
      <w:r>
        <w:t xml:space="preserve">parameter 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= 61.078,</w:t>
      </w:r>
      <w:r>
        <w:t xml:space="preserve"> </w:t>
      </w:r>
      <w:r>
        <w:t xml:space="preserve">consistent with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obtained solution. The error rates</w:t>
      </w:r>
      <w:r>
        <w:t xml:space="preserve"> </w:t>
      </w:r>
      <w:r>
        <w:t xml:space="preserve">are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= 0.05,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= 0.198, and</w:t>
      </w:r>
      <w:r>
        <w:t xml:space="preserve"> </w:t>
      </w:r>
      <w:r>
        <w:t xml:space="preserve">power = 0.802, confirming that the</w:t>
      </w:r>
      <w:r>
        <w:t xml:space="preserve"> </w:t>
      </w:r>
      <w:r>
        <w:t xml:space="preserve">design conditions are met 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= 202.</w:t>
      </w:r>
    </w:p>
    <w:bookmarkEnd w:id="67"/>
    <w:bookmarkEnd w:id="68"/>
    <w:bookmarkStart w:id="81" w:name="sec-power-curves"/>
    <w:p>
      <w:pPr>
        <w:pStyle w:val="Heading3"/>
      </w:pPr>
      <w:r>
        <w:t xml:space="preserve">3.3 Power Curves</w:t>
      </w:r>
    </w:p>
    <w:p>
      <w:pPr>
        <w:pStyle w:val="FirstParagraph"/>
      </w:pPr>
      <w:r>
        <w:t xml:space="preserve">Power curves visualize the relationship between sample size and the</w:t>
      </w:r>
      <w:r>
        <w:t xml:space="preserve"> </w:t>
      </w:r>
      <w:r>
        <w:t xml:space="preserve">probability of detecting a prespecified degree of model misspecification,</w:t>
      </w:r>
      <w:r>
        <w:t xml:space="preserve"> </w:t>
      </w:r>
      <w:r>
        <w:t xml:space="preserve">holding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f</m:t>
        </m:r>
      </m:oMath>
      <w:r>
        <w:t xml:space="preserve"> </w:t>
      </w:r>
      <w:r>
        <w:t xml:space="preserve">constant. They serve as a planning aid by</w:t>
      </w:r>
      <w:r>
        <w:t xml:space="preserve"> </w:t>
      </w:r>
      <w:r>
        <w:t xml:space="preserve">showing at a glance which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values are underpowered and where</w:t>
      </w:r>
      <w:r>
        <w:t xml:space="preserve"> </w:t>
      </w:r>
      <w:r>
        <w:t xml:space="preserve">additional observations yield diminishing returns</w:t>
      </w:r>
      <w:r>
        <w:t xml:space="preserve"> </w:t>
      </w:r>
      <w:r>
        <w:t xml:space="preserve">(Moshagen &amp; Bader, 2024)</w:t>
      </w:r>
      <w:r>
        <w:t xml:space="preserve">.</w:t>
      </w:r>
    </w:p>
    <w:bookmarkStart w:id="74" w:name="model-free-approach-rmsea-based-1"/>
    <w:p>
      <w:pPr>
        <w:pStyle w:val="Heading4"/>
      </w:pPr>
      <w:r>
        <w:t xml:space="preserve">3.3.1 Model-free approach (RMSEA-based)</w:t>
      </w:r>
    </w:p>
    <w:p>
      <w:pPr>
        <w:pStyle w:val="FirstParagraph"/>
      </w:pPr>
      <w:r>
        <w:t xml:space="preserve">In the model-free setup, the power function depends entirely on</w:t>
      </w:r>
      <w:r>
        <w:t xml:space="preserve"> </w:t>
      </w:r>
      <m:oMath>
        <m:r>
          <m:rPr>
            <m:nor/>
            <m:sty m:val="p"/>
          </m:rPr>
          <m:t>RMSEA</m:t>
        </m:r>
      </m:oMath>
      <w:r>
        <w:t xml:space="preserve">,</w:t>
      </w:r>
      <w:r>
        <w:t xml:space="preserve"> </w:t>
      </w:r>
      <m:oMath>
        <m:r>
          <m:t>d</m:t>
        </m:r>
        <m:r>
          <m:t>f</m:t>
        </m:r>
      </m:oMath>
      <w:r>
        <w:t xml:space="preserve">, and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— not on any substantive model</w:t>
      </w:r>
      <w:r>
        <w:t xml:space="preserve"> </w:t>
      </w:r>
      <w:r>
        <w:t xml:space="preserve">parameters. Representing this function graphically answers a direct</w:t>
      </w:r>
      <w:r>
        <w:t xml:space="preserve"> </w:t>
      </w:r>
      <w:r>
        <w:t xml:space="preserve">planning question: for a model with fixed</w:t>
      </w:r>
      <w:r>
        <w:t xml:space="preserve"> </w:t>
      </w:r>
      <m:oMath>
        <m:r>
          <m:t>d</m:t>
        </m:r>
        <m:r>
          <m:t>f</m:t>
        </m:r>
      </m:oMath>
      <w:r>
        <w:t xml:space="preserve">, how large must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to</w:t>
      </w:r>
      <w:r>
        <w:t xml:space="preserve"> </w:t>
      </w:r>
      <w:r>
        <w:t xml:space="preserve">achieve a sufficiently high probability of detecting misfit of at least</w:t>
      </w:r>
      <w:r>
        <w:t xml:space="preserve"> </w:t>
      </w:r>
      <w:r>
        <w:t xml:space="preserve">the target magnitude</w:t>
      </w:r>
      <w:r>
        <w:t xml:space="preserve"> </w:t>
      </w:r>
      <w:r>
        <w:t xml:space="preserve">(Jak et al., 2021; Jobst et al., 2023)</w:t>
      </w:r>
      <w:r>
        <w:t xml:space="preserve">? This visualization is</w:t>
      </w:r>
      <w:r>
        <w:t xml:space="preserve"> </w:t>
      </w:r>
      <w:r>
        <w:t xml:space="preserve">especially useful when the research objective concerns global fit rather</w:t>
      </w:r>
      <w:r>
        <w:t xml:space="preserve"> </w:t>
      </w:r>
      <w:r>
        <w:t xml:space="preserve">than individual parameter restrictions, and it also makes it easy to</w:t>
      </w:r>
      <w:r>
        <w:t xml:space="preserve"> </w:t>
      </w:r>
      <w:r>
        <w:t xml:space="preserve">communicate design justification to reviewers or funding agencies</w:t>
      </w:r>
      <w:r>
        <w:t xml:space="preserve"> </w:t>
      </w:r>
      <w:r>
        <w:t xml:space="preserve">(Moshagen &amp; Bader, 2024; Wang, 2023)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power-rmsea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2_analytical_power-fig-power-rmsea-output-1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Power as a function of sample size for RMSEA = 0.05</w:t>
            </w:r>
          </w:p>
          <w:bookmarkEnd w:id="72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73">
        <w:r>
          <w:rPr>
            <w:rStyle w:val="Hyperlink"/>
            <w:vertAlign w:val="subscript"/>
          </w:rPr>
          <w:t xml:space="preserve">Analytical Power Analysis</w:t>
        </w:r>
      </w:hyperlink>
    </w:p>
    <w:p>
      <w:pPr>
        <w:pStyle w:val="BodyText"/>
      </w:pPr>
      <w:r>
        <w:t xml:space="preserve">Power increases monotonically with</w:t>
      </w:r>
      <w:r>
        <w:t xml:space="preserve"> </w:t>
      </w:r>
      <m:oMath>
        <m:r>
          <m:t>N</m:t>
        </m:r>
      </m:oMath>
      <w:r>
        <w:t xml:space="preserve">. At the lower end of the range,</w:t>
      </w:r>
      <w:r>
        <w:t xml:space="preserve"> </w:t>
      </w:r>
      <w:r>
        <w:t xml:space="preserve">the curve is well below the target threshold, indicating insufficient</w:t>
      </w:r>
      <w:r>
        <w:t xml:space="preserve"> </w:t>
      </w:r>
      <w:r>
        <w:t xml:space="preserve">sensitivity to detect the prespecified misspecification; at higher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 approaches the ceiling. The crossing point between the curve and</w:t>
      </w:r>
      <w:r>
        <w:t xml:space="preserve"> </w:t>
      </w:r>
      <w:r>
        <w:t xml:space="preserve">the target power level identifies the minimum adequate sample size,</w:t>
      </w:r>
      <w:r>
        <w:t xml:space="preserve"> </w:t>
      </w:r>
      <w:r>
        <w:t xml:space="preserve">and the shape of the curve shows how quickly additional observations</w:t>
      </w:r>
      <w:r>
        <w:t xml:space="preserve"> </w:t>
      </w:r>
      <w:r>
        <w:t xml:space="preserve">convert into detection probability in this particular setting.</w:t>
      </w:r>
    </w:p>
    <w:bookmarkEnd w:id="74"/>
    <w:bookmarkStart w:id="80" w:name="model-based-approach-1"/>
    <w:p>
      <w:pPr>
        <w:pStyle w:val="Heading4"/>
      </w:pPr>
      <w:r>
        <w:t xml:space="preserve">3.3.2 Model-based approach</w:t>
      </w:r>
    </w:p>
    <w:p>
      <w:pPr>
        <w:pStyle w:val="FirstParagraph"/>
      </w:pPr>
      <w:r>
        <w:t xml:space="preserve">When the effect is grounded in an explicitly specified population model,</w:t>
      </w:r>
      <w:r>
        <w:t xml:space="preserve"> </w:t>
      </w:r>
      <w:r>
        <w:t xml:space="preserve">the power curve traces the same monotonic pattern but now reflects the</w:t>
      </w:r>
      <w:r>
        <w:t xml:space="preserve"> </w:t>
      </w:r>
      <w:r>
        <w:t xml:space="preserve">particular covariance structure implied by the substantive hypotheses</w:t>
      </w:r>
      <w:r>
        <w:t xml:space="preserve"> </w:t>
      </w:r>
      <w:r>
        <w:t xml:space="preserve">(Buchberger et al., 2024; Feng &amp; Hancock, 2023)</w:t>
      </w:r>
      <w:r>
        <w:t xml:space="preserve">.</w:t>
      </w:r>
      <w:r>
        <w:t xml:space="preserve"> </w:t>
      </w:r>
      <w:r>
        <w:rPr>
          <w:rStyle w:val="VerbatimChar"/>
        </w:rPr>
        <w:t xml:space="preserve">semPower.powerPlot()</w:t>
      </w:r>
      <w:r>
        <w:t xml:space="preserve"> </w:t>
      </w:r>
      <w:r>
        <w:t xml:space="preserve">evaluates the</w:t>
      </w:r>
      <w:r>
        <w:t xml:space="preserve"> </w:t>
      </w:r>
      <w:r>
        <w:t xml:space="preserve">previously specified model-based effect at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the grid,</w:t>
      </w:r>
      <w:r>
        <w:t xml:space="preserve"> </w:t>
      </w:r>
      <w:r>
        <w:t xml:space="preserve">so the curve is a design-oriented summary of how sensitivity changes as</w:t>
      </w:r>
      <w:r>
        <w:t xml:space="preserve"> </w:t>
      </w:r>
      <w:r>
        <w:t xml:space="preserve">sample size grows — without re-estimating any parameters</w:t>
      </w:r>
      <w:r>
        <w:t xml:space="preserve"> </w:t>
      </w:r>
      <w:r>
        <w:t xml:space="preserve">(Moshagen &amp; Bader, 2024)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power-popmodel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2_analytical_power-fig-power-popmodel-output-1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Power as a function of sample size for the population model (popModel)</w:t>
            </w:r>
          </w:p>
          <w:bookmarkEnd w:id="78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79">
        <w:r>
          <w:rPr>
            <w:rStyle w:val="Hyperlink"/>
            <w:vertAlign w:val="subscript"/>
          </w:rPr>
          <w:t xml:space="preserve">Analytical Power Analysis</w:t>
        </w:r>
      </w:hyperlink>
    </w:p>
    <w:p>
      <w:pPr>
        <w:pStyle w:val="BodyText"/>
      </w:pPr>
      <w:r>
        <w:t xml:space="preserve">The plot titled Power for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0.304 shows</w:t>
      </w:r>
      <w:r>
        <w:t xml:space="preserve"> </w:t>
      </w:r>
      <w:r>
        <w:t xml:space="preserve">a clear monotonic increase. At the lower end, power hovers near</w:t>
      </w:r>
      <w:r>
        <w:t xml:space="preserve"> </w:t>
      </w:r>
      <m:oMath>
        <m:r>
          <m:t>0.07</m:t>
        </m:r>
      </m:oMath>
      <w:r>
        <w:t xml:space="preserve">–</w:t>
      </w:r>
      <m:oMath>
        <m:r>
          <m:t>0.10</m:t>
        </m:r>
      </m:oMath>
      <w:r>
        <w:t xml:space="preserve">,</w:t>
      </w:r>
      <w:r>
        <w:t xml:space="preserve"> </w:t>
      </w:r>
      <w:r>
        <w:t xml:space="preserve">indicating inadequate sensitivity for small samples. A period of</w:t>
      </w:r>
      <w:r>
        <w:t xml:space="preserve"> </w:t>
      </w:r>
      <w:r>
        <w:t xml:space="preserve">rapid growth occurs between roughly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220</m:t>
        </m:r>
      </m:oMath>
      <w:r>
        <w:t xml:space="preserve">, where</w:t>
      </w:r>
      <w:r>
        <w:t xml:space="preserve"> </w:t>
      </w:r>
      <w:r>
        <w:t xml:space="preserve">each additional observation translates into a substantial gain. The</w:t>
      </w:r>
      <w:r>
        <w:t xml:space="preserve"> </w:t>
      </w:r>
      <w:r>
        <w:t xml:space="preserve">conventional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threshold is crossed at approximately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200</m:t>
        </m:r>
      </m:oMath>
      <w:r>
        <w:t xml:space="preserve">, and power approaches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280</m:t>
        </m:r>
      </m:oMath>
      <w:r>
        <w:t xml:space="preserve">,</w:t>
      </w:r>
      <w:r>
        <w:t xml:space="preserve"> </w:t>
      </w:r>
      <w:r>
        <w:t xml:space="preserve">with further gains becoming marginal above that.</w:t>
      </w:r>
    </w:p>
    <w:bookmarkEnd w:id="80"/>
    <w:bookmarkEnd w:id="81"/>
    <w:bookmarkStart w:id="87" w:name="summary-table"/>
    <w:p>
      <w:pPr>
        <w:pStyle w:val="Heading3"/>
      </w:pPr>
      <w:r>
        <w:t xml:space="preserve">3.4 Summary table</w:t>
      </w:r>
    </w:p>
    <w:p>
      <w:pPr>
        <w:pStyle w:val="FirstParagraph"/>
      </w:pPr>
      <w:hyperlink w:anchor="tbl-analytical-summary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shows that the model-based approach requires</w:t>
      </w:r>
      <w:r>
        <w:t xml:space="preserve"> </w:t>
      </w:r>
      <w:r>
        <w:t xml:space="preserve">roughly twice as many observations as the model-free RMSEA-based</w:t>
      </w:r>
      <w:r>
        <w:t xml:space="preserve"> </w:t>
      </w:r>
      <w:r>
        <w:t xml:space="preserve">approach to achieve equivalent target power. This gap arises because</w:t>
      </w:r>
      <w:r>
        <w:t xml:space="preserve"> </w:t>
      </w:r>
      <w:r>
        <w:t xml:space="preserve">the model-based effect is derived from the actual discrepancy implied</w:t>
      </w:r>
      <w:r>
        <w:t xml:space="preserve"> </w:t>
      </w:r>
      <w:r>
        <w:t xml:space="preserve">by the population covariance structure, rather than from a generic</w:t>
      </w:r>
      <w:r>
        <w:t xml:space="preserve"> </w:t>
      </w:r>
      <m:oMath>
        <m:r>
          <m:rPr>
            <m:nor/>
            <m:sty m:val="p"/>
          </m:rPr>
          <m:t>RMSEA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convention; it therefore reflects a more</w:t>
      </w:r>
      <w:r>
        <w:t xml:space="preserve"> </w:t>
      </w:r>
      <w:r>
        <w:t xml:space="preserve">substantively grounded — and in this case more conservative — estimate</w:t>
      </w:r>
      <w:r>
        <w:t xml:space="preserve"> </w:t>
      </w:r>
      <w:r>
        <w:t xml:space="preserve">of the required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(Feng &amp; Hancock, 2023; Wang, 2023)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tbl-analytica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of analytical power analysis results</w:t>
            </w:r>
          </w:p>
          <w:tbl>
            <w:tblPr>
              <w:tblStyle w:val="Table"/>
              <w:tblW w:type="pct" w:w="4872"/>
              <w:tblLayout w:type="fixed"/>
              <w:tblLook w:firstRow="1" w:lastRow="0" w:firstColumn="0" w:lastColumn="0" w:noHBand="0" w:noVBand="0" w:val="0020"/>
            </w:tblPr>
            <w:tblGrid>
              <w:gridCol w:w="3655"/>
              <w:gridCol w:w="1116"/>
              <w:gridCol w:w="913"/>
              <w:gridCol w:w="1421"/>
              <w:gridCol w:w="60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 Required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Implied RMSEA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df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Model-free a priori (RMSEA = .05)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Model-based a priori (Population</w:t>
                  </w:r>
                  <w:r>
                    <w:t xml:space="preserve"> </w:t>
                  </w:r>
                  <w:r>
                    <w:t xml:space="preserve">Model)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0.0349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249</w:t>
                  </w:r>
                </w:p>
              </w:tc>
            </w:tr>
          </w:tbl>
          <w:bookmarkEnd w:id="82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83">
        <w:r>
          <w:rPr>
            <w:rStyle w:val="Hyperlink"/>
            <w:vertAlign w:val="subscript"/>
          </w:rPr>
          <w:t xml:space="preserve">Analytical Power Analysis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C:\Program Files\Quarto\share\formats\docx\important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Limitations of the Analytical Approach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RMSEA/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-based analytical method assumes continuous,</w:t>
            </w:r>
            <w:r>
              <w:t xml:space="preserve"> </w:t>
            </w:r>
            <w:r>
              <w:t xml:space="preserve">multivariate normal data and Maximum Likelihood estimation. It can</w:t>
            </w:r>
            <w:r>
              <w:t xml:space="preserve"> </w:t>
            </w:r>
            <w:r>
              <w:t xml:space="preserve">yield biased sample size estimates when distributions are non-normal,</w:t>
            </w:r>
            <w:r>
              <w:t xml:space="preserve"> </w:t>
            </w:r>
            <w:r>
              <w:t xml:space="preserve">data are ordinal, or missing data reduce estimation efficiency.</w:t>
            </w:r>
            <w:r>
              <w:t xml:space="preserve"> </w:t>
            </w:r>
            <w:r>
              <w:t xml:space="preserve">Furthermore, because power is framed around global misfit, the</w:t>
            </w:r>
            <w:r>
              <w:t xml:space="preserve"> </w:t>
            </w:r>
            <w:r>
              <w:t xml:space="preserve">analytical approach provides no information about whether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sufficient to detect specific weak loadings, factor correlations, or</w:t>
            </w:r>
            <w:r>
              <w:t xml:space="preserve"> </w:t>
            </w:r>
            <w:r>
              <w:t xml:space="preserve">structural paths. These limitations motivate the simulation-based</w:t>
            </w:r>
            <w:r>
              <w:t xml:space="preserve"> </w:t>
            </w:r>
            <w:r>
              <w:t xml:space="preserve">extensions developed in subsequent sections.</w:t>
            </w:r>
          </w:p>
          <w:p/>
        </w:tc>
      </w:tr>
    </w:tbl>
    <w:bookmarkEnd w:id="87"/>
    <w:bookmarkEnd w:id="88"/>
    <w:bookmarkStart w:id="149" w:name="sec-sim-ideal"/>
    <w:p>
      <w:pPr>
        <w:pStyle w:val="Heading2"/>
      </w:pPr>
      <w:r>
        <w:t xml:space="preserve">4 Monte Carlo Simulation: Ideal Conditions</w:t>
      </w:r>
    </w:p>
    <w:p>
      <w:pPr>
        <w:pStyle w:val="FirstParagraph"/>
      </w:pPr>
      <w:r>
        <w:t xml:space="preserve">Simulation-based power analysis in SEM operates on a different logic</w:t>
      </w:r>
      <w:r>
        <w:t xml:space="preserve"> </w:t>
      </w:r>
      <w:r>
        <w:t xml:space="preserve">from its analytical counterpart. Rather than deriving power from the</w:t>
      </w:r>
      <w:r>
        <w:t xml:space="preserve"> </w:t>
      </w:r>
      <w:r>
        <w:t xml:space="preserve">non-central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distribution, the approach repeatedly generates</w:t>
      </w:r>
      <w:r>
        <w:t xml:space="preserve"> </w:t>
      </w:r>
      <w:r>
        <w:t xml:space="preserve">data from an assumed population model, fits the analysis model to each</w:t>
      </w:r>
      <w:r>
        <w:t xml:space="preserve"> </w:t>
      </w:r>
      <w:r>
        <w:t xml:space="preserve">replicate, and summarizes rejection rates empirically. This makes the</w:t>
      </w:r>
      <w:r>
        <w:t xml:space="preserve"> </w:t>
      </w:r>
      <w:r>
        <w:t xml:space="preserve">framework far more flexible: it can accommodate complex data conditions,</w:t>
      </w:r>
      <w:r>
        <w:t xml:space="preserve"> </w:t>
      </w:r>
      <w:r>
        <w:t xml:space="preserve">evaluate multiple fit criteria simultaneously, and quantify estimation</w:t>
      </w:r>
      <w:r>
        <w:t xml:space="preserve"> </w:t>
      </w:r>
      <w:r>
        <w:t xml:space="preserve">quality — bias, standard error accuracy, and coverage — alongside</w:t>
      </w:r>
      <w:r>
        <w:t xml:space="preserve"> </w:t>
      </w:r>
      <w:r>
        <w:t xml:space="preserve">power</w:t>
      </w:r>
      <w:r>
        <w:t xml:space="preserve"> </w:t>
      </w:r>
      <w:r>
        <w:t xml:space="preserve">(Muthén &amp; Muthén, 2002; Pornprasertmanit et al., 2021)</w:t>
      </w:r>
      <w:r>
        <w:t xml:space="preserve">.</w:t>
      </w:r>
    </w:p>
    <w:p>
      <w:pPr>
        <w:pStyle w:val="BodyText"/>
      </w:pPr>
      <w:r>
        <w:t xml:space="preserve">The central distinction in the design is between the</w:t>
      </w:r>
      <w:r>
        <w:t xml:space="preserve"> </w:t>
      </w:r>
      <w:r>
        <w:rPr>
          <w:i/>
          <w:iCs/>
        </w:rPr>
        <w:t xml:space="preserve">data-generating</w:t>
      </w:r>
      <w:r>
        <w:rPr>
          <w:i/>
          <w:iCs/>
        </w:rP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analysis model</w:t>
      </w:r>
      <w:r>
        <w:t xml:space="preserve"> </w:t>
      </w:r>
      <w:r>
        <w:t xml:space="preserve">(Feng &amp; Hancock, 2023)</w:t>
      </w:r>
      <w:r>
        <w:t xml:space="preserve">. The former defines the</w:t>
      </w:r>
      <w:r>
        <w:t xml:space="preserve"> </w:t>
      </w:r>
      <w:r>
        <w:t xml:space="preserve">population from which replicated samples are drawn; the latter defines</w:t>
      </w:r>
      <w:r>
        <w:t xml:space="preserve"> </w:t>
      </w:r>
      <w:r>
        <w:t xml:space="preserve">the structure that is repeatedly fit to each sample. Statistical power</w:t>
      </w:r>
      <w:r>
        <w:t xml:space="preserve"> </w:t>
      </w:r>
      <w:r>
        <w:t xml:space="preserve">in SEM depends not only on</w:t>
      </w:r>
      <w:r>
        <w:t xml:space="preserve"> </w:t>
      </w:r>
      <m:oMath>
        <m:r>
          <m:t>N</m:t>
        </m:r>
      </m:oMath>
      <w:r>
        <w:t xml:space="preserve">, but on the discrepancy between these</w:t>
      </w:r>
      <w:r>
        <w:t xml:space="preserve"> </w:t>
      </w:r>
      <w:r>
        <w:t xml:space="preserve">two models, so this separation is essential</w:t>
      </w:r>
      <w:r>
        <w:t xml:space="preserve"> </w:t>
      </w:r>
      <w:r>
        <w:t xml:space="preserve">(Feng &amp; Hancock, 2023; Jobst et al., 2023)</w:t>
      </w:r>
      <w:r>
        <w:t xml:space="preserve">.</w:t>
      </w:r>
    </w:p>
    <w:p>
      <w:pPr>
        <w:pStyle w:val="BodyText"/>
      </w:pPr>
      <w:r>
        <w:t xml:space="preserve">In the main analysis, the reference condition uses data generated from</w:t>
      </w:r>
      <w:r>
        <w:t xml:space="preserve"> </w:t>
      </w:r>
      <w:r>
        <w:rPr>
          <w:rStyle w:val="VerbatimChar"/>
        </w:rPr>
        <w:t xml:space="preserve">popmodel</w:t>
      </w:r>
      <w:r>
        <w:t xml:space="preserve">, while the alternative condition uses data generated from</w:t>
      </w:r>
      <w:r>
        <w:t xml:space="preserve"> </w:t>
      </w:r>
      <w:r>
        <w:rPr>
          <w:rStyle w:val="VerbatimChar"/>
        </w:rPr>
        <w:t xml:space="preserve">h1model</w:t>
      </w:r>
      <w:r>
        <w:t xml:space="preserve"> </w:t>
      </w:r>
      <w:r>
        <w:t xml:space="preserve">— a structurally equivalent model with three additional</w:t>
      </w:r>
      <w:r>
        <w:t xml:space="preserve"> </w:t>
      </w:r>
      <w:r>
        <w:t xml:space="preserve">cross-loadings. The analysis model (</w:t>
      </w:r>
      <w:r>
        <w:rPr>
          <w:rStyle w:val="VerbatimChar"/>
        </w:rPr>
        <w:t xml:space="preserve">analyzemodel</w:t>
      </w:r>
      <w:r>
        <w:t xml:space="preserve">) omits those</w:t>
      </w:r>
      <w:r>
        <w:t xml:space="preserve"> </w:t>
      </w:r>
      <w:r>
        <w:t xml:space="preserve">cross-loadings, so power reflects the probability that global fit</w:t>
      </w:r>
      <w:r>
        <w:t xml:space="preserve"> </w:t>
      </w:r>
      <w:r>
        <w:t xml:space="preserve">indices flag this deliberate misspecification. Varying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across a</w:t>
      </w:r>
      <w:r>
        <w:t xml:space="preserve"> </w:t>
      </w:r>
      <w:r>
        <w:t xml:space="preserve">predefined sequence turns the simulation into a sample size planning</w:t>
      </w:r>
      <w:r>
        <w:t xml:space="preserve"> </w:t>
      </w:r>
      <w:r>
        <w:t xml:space="preserve">exercise: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 the sampling distributions under the reference</w:t>
      </w:r>
      <w:r>
        <w:t xml:space="preserve"> </w:t>
      </w:r>
      <w:r>
        <w:t xml:space="preserve">and alternative conditions separate, and the probability of correctly</w:t>
      </w:r>
      <w:r>
        <w:t xml:space="preserve"> </w:t>
      </w:r>
      <w:r>
        <w:t xml:space="preserve">flagging the misspecified condition increases</w:t>
      </w:r>
      <w:r>
        <w:t xml:space="preserve"> </w:t>
      </w:r>
      <w:r>
        <w:t xml:space="preserve">(Feng &amp; Hancock, 2023; Jobst et al., 2023)</w:t>
      </w:r>
      <w:r>
        <w:t xml:space="preserve">.</w:t>
      </w:r>
    </w:p>
    <w:p>
      <w:pPr>
        <w:pStyle w:val="BodyText"/>
      </w:pPr>
      <w:r>
        <w:t xml:space="preserve">Power based on fit indices is therefore interpreted as the probability</w:t>
      </w:r>
      <w:r>
        <w:t xml:space="preserve"> </w:t>
      </w:r>
      <w:r>
        <w:t xml:space="preserve">that a rejection rule — calibrated from the reference distribution at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— classifies data generated under the alternative as showing</w:t>
      </w:r>
      <w:r>
        <w:t xml:space="preserve"> </w:t>
      </w:r>
      <w:r>
        <w:t xml:space="preserve">worse fit than expected under the well-fitting model. Practically,</w:t>
      </w:r>
      <w:r>
        <w:t xml:space="preserve"> </w:t>
      </w:r>
      <w:r>
        <w:t xml:space="preserve">this shifts the inferential focus from testing a single parameter to</w:t>
      </w:r>
      <w:r>
        <w:t xml:space="preserve"> </w:t>
      </w:r>
      <w:r>
        <w:t xml:space="preserve">evaluating whether global fit criteria are sensitive enough to detect</w:t>
      </w:r>
      <w:r>
        <w:t xml:space="preserve"> </w:t>
      </w:r>
      <w:r>
        <w:t xml:space="preserve">a substantively meaningful form of misspecification across plausible</w:t>
      </w:r>
      <w:r>
        <w:t xml:space="preserve"> </w:t>
      </w:r>
      <w:r>
        <w:t xml:space="preserve">sample sizes</w:t>
      </w:r>
      <w:r>
        <w:t xml:space="preserve"> </w:t>
      </w:r>
      <w:r>
        <w:t xml:space="preserve">(Liang &amp; Sterba, 2024; Wang, 2023)</w:t>
      </w:r>
      <w:r>
        <w:t xml:space="preserve">.</w:t>
      </w:r>
    </w:p>
    <w:bookmarkStart w:id="101" w:name="main-analysis-under-ideal-conditions"/>
    <w:p>
      <w:pPr>
        <w:pStyle w:val="Heading3"/>
      </w:pPr>
      <w:r>
        <w:t xml:space="preserve">4.1 Main analysis under ideal conditions</w:t>
      </w:r>
    </w:p>
    <w:p>
      <w:pPr>
        <w:pStyle w:val="FirstParagraph"/>
      </w:pPr>
      <w:r>
        <w:t xml:space="preserve">The</w:t>
      </w:r>
      <w:r>
        <w:t xml:space="preserve"> </w:t>
      </w:r>
      <w:hyperlink w:anchor="fig-fit-curve-ideal">
        <w:r>
          <w:rPr>
            <w:rStyle w:val="Hyperlink"/>
          </w:rPr>
          <w:t xml:space="preserve">Figure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fig-power-curve-idea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present the main results for the comparison between</w:t>
      </w:r>
      <w:r>
        <w:t xml:space="preserve"> </w:t>
      </w:r>
      <w:r>
        <w:rPr>
          <w:rStyle w:val="VerbatimChar"/>
        </w:rPr>
        <w:t xml:space="preserve">popmodel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h1model</w:t>
      </w:r>
      <w:r>
        <w:t xml:space="preserve"> </w:t>
      </w:r>
      <w:r>
        <w:t xml:space="preserve">under ideal conditions (multivariate</w:t>
      </w:r>
      <w:r>
        <w:t xml:space="preserve"> </w:t>
      </w:r>
      <w:r>
        <w:t xml:space="preserve">normality, no missing data).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power-curve-ideal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3_simulation_ideal-fig-power-curve-ideal-output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Power curves for fit indices under ideal conditions.</w:t>
            </w:r>
          </w:p>
          <w:bookmarkEnd w:id="92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3">
        <w:r>
          <w:rPr>
            <w:rStyle w:val="Hyperlink"/>
            <w:vertAlign w:val="subscript"/>
          </w:rPr>
          <w:t xml:space="preserve">Simulation — Ideal Conditions</w:t>
        </w:r>
      </w:hyperlink>
    </w:p>
    <w:p>
      <w:pPr>
        <w:pStyle w:val="BodyText"/>
      </w:pPr>
      <w:r>
        <w:t xml:space="preserve">Power increases monotonically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all four indices. At the</w:t>
      </w:r>
      <w:r>
        <w:t xml:space="preserve"> </w:t>
      </w:r>
      <w:r>
        <w:t xml:space="preserve">lower end of the sample-size sequence, every index falls below the</w:t>
      </w:r>
      <w:r>
        <w:t xml:space="preserve"> </w:t>
      </w:r>
      <w:r>
        <w:t xml:space="preserve">target threshold, indicating insufficient sensitivity.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curves diverge: some indices reach the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target earlier than</w:t>
      </w:r>
      <w:r>
        <w:t xml:space="preserve"> </w:t>
      </w:r>
      <w:r>
        <w:t xml:space="preserve">others, reflecting different degrees of sensitivity to the imposed</w:t>
      </w:r>
      <w:r>
        <w:t xml:space="preserve"> </w:t>
      </w:r>
      <w:r>
        <w:t xml:space="preserve">cross-loading misspecification. The most conservative planning decision</w:t>
      </w:r>
      <w:r>
        <w:t xml:space="preserve"> </w:t>
      </w:r>
      <w:r>
        <w:t xml:space="preserve">is therefore anchored in the last index to cross the target —</w:t>
      </w:r>
      <w:r>
        <w:t xml:space="preserve"> </w:t>
      </w:r>
      <w:r>
        <w:t xml:space="preserve">the index whose detection requires the largest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fit-curve-ideal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3_simulation_ideal-fig-fit-curve-ideal-output-1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Power curves for fit indices under ideal conditions without logistic smoothing.</w:t>
            </w:r>
          </w:p>
          <w:bookmarkEnd w:id="97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8">
        <w:r>
          <w:rPr>
            <w:rStyle w:val="Hyperlink"/>
            <w:vertAlign w:val="subscript"/>
          </w:rPr>
          <w:t xml:space="preserve">Simulation — Ideal Conditions</w:t>
        </w:r>
      </w:hyperlink>
    </w:p>
    <w:p>
      <w:pPr>
        <w:pStyle w:val="BodyText"/>
      </w:pPr>
      <w:r>
        <w:t xml:space="preserve">The</w:t>
      </w:r>
      <w:r>
        <w:t xml:space="preserve"> </w:t>
      </w:r>
      <w:hyperlink w:anchor="fig-fit-curve-ideal">
        <w:r>
          <w:rPr>
            <w:rStyle w:val="Hyperlink"/>
          </w:rPr>
          <w:t xml:space="preserve">Figure 11</w:t>
        </w:r>
      </w:hyperlink>
      <w:r>
        <w:t xml:space="preserve"> </w:t>
      </w:r>
      <w:r>
        <w:t xml:space="preserve">makes the discrimination mechanism visible. At small</w:t>
      </w:r>
      <w:r>
        <w:t xml:space="preserve"> </w:t>
      </w:r>
      <m:oMath>
        <m:r>
          <m:t>N</m:t>
        </m:r>
      </m:oMath>
      <w:r>
        <w:t xml:space="preserve">, the sampling distributions of each fit index under the reference</w:t>
      </w:r>
      <w:r>
        <w:t xml:space="preserve"> </w:t>
      </w:r>
      <w:r>
        <w:t xml:space="preserve">and alternative conditions overlap substantially, so the indices cannot</w:t>
      </w:r>
      <w:r>
        <w:t xml:space="preserve"> </w:t>
      </w:r>
      <w:r>
        <w:t xml:space="preserve">reliably distinguish the two scenarios.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increases, the</w:t>
      </w:r>
      <w:r>
        <w:t xml:space="preserve"> </w:t>
      </w:r>
      <w:r>
        <w:t xml:space="preserve">alternative-condition distribution shifts toward worse fit while the</w:t>
      </w:r>
      <w:r>
        <w:t xml:space="preserve"> </w:t>
      </w:r>
      <w:r>
        <w:t xml:space="preserve">reference distribution remains stable, widening the gap between them.</w:t>
      </w:r>
      <w:r>
        <w:t xml:space="preserve"> </w:t>
      </w:r>
      <w:r>
        <w:t xml:space="preserve">This growing separation is the empirical basis for the power gains</w:t>
      </w:r>
      <w:r>
        <w:t xml:space="preserve"> </w:t>
      </w:r>
      <w:r>
        <w:t xml:space="preserve">shown in the</w:t>
      </w:r>
      <w:r>
        <w:t xml:space="preserve"> </w:t>
      </w:r>
      <w:hyperlink w:anchor="fig-power-curve-ideal">
        <w:r>
          <w:rPr>
            <w:rStyle w:val="Hyperlink"/>
          </w:rPr>
          <w:t xml:space="preserve">Figure 10</w:t>
        </w:r>
      </w:hyperlink>
      <w:r>
        <w:t xml:space="preserve">, and it provides an intuitive picture of how</w:t>
      </w:r>
      <w:r>
        <w:t xml:space="preserve"> </w:t>
      </w:r>
      <w:r>
        <w:t xml:space="preserve">fit indices work as decision variables rather than mere descriptive</w:t>
      </w:r>
      <w:r>
        <w:t xml:space="preserve"> </w:t>
      </w:r>
      <w:r>
        <w:t xml:space="preserve">summaries</w:t>
      </w:r>
      <w:r>
        <w:t xml:space="preserve"> </w:t>
      </w:r>
      <w:r>
        <w:t xml:space="preserve">(McNeish &amp; Wolf, 2021; Pornprasertmanit et al., 2021)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power-cutoff-ide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Power and fit index cutoff values under ideal conditions at N = 231.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RMSEA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SRMR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CFI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TLI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Cutoff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0.961</w:t>
                  </w:r>
                </w:p>
              </w:tc>
            </w:tr>
          </w:tbl>
          <w:bookmarkEnd w:id="99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00">
        <w:r>
          <w:rPr>
            <w:rStyle w:val="Hyperlink"/>
            <w:vertAlign w:val="subscript"/>
          </w:rPr>
          <w:t xml:space="preserve">Simulation — Ideal Conditions</w:t>
        </w:r>
      </w:hyperlink>
    </w:p>
    <w:p>
      <w:pPr>
        <w:pStyle w:val="BodyText"/>
      </w:pP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231</m:t>
        </m:r>
      </m:oMath>
      <w:r>
        <w:t xml:space="preserve">, power was 0.9 for RMSEA,</w:t>
      </w:r>
      <w:r>
        <w:t xml:space="preserve"> </w:t>
      </w:r>
      <w:r>
        <w:t xml:space="preserve">0.995 for SRMR, and</w:t>
      </w:r>
      <w:r>
        <w:t xml:space="preserve"> </w:t>
      </w:r>
      <w:r>
        <w:t xml:space="preserve">0.801 for both CFI and TLI. The ordering</w:t>
      </w:r>
      <w:r>
        <w:t xml:space="preserve"> </w:t>
      </w:r>
      <w:r>
        <w:t xml:space="preserve">SRMR &gt; RMSEA &gt; CFI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TLI is consistent across the power curves.</w:t>
      </w:r>
      <w:r>
        <w:t xml:space="preserve"> </w:t>
      </w:r>
      <w:r>
        <w:t xml:space="preserve">The empirical cutoffs were 0.039 for RMSEA,</w:t>
      </w:r>
      <w:r>
        <w:t xml:space="preserve"> </w:t>
      </w:r>
      <w:r>
        <w:t xml:space="preserve">0.058 for SRMR,</w:t>
      </w:r>
      <w:r>
        <w:t xml:space="preserve"> </w:t>
      </w:r>
      <w:r>
        <w:t xml:space="preserve">0.965 for CFI, and</w:t>
      </w:r>
      <w:r>
        <w:t xml:space="preserve"> </w:t>
      </w:r>
      <w:r>
        <w:t xml:space="preserve">0.961 for TLI, defining the data-driven</w:t>
      </w:r>
      <w:r>
        <w:t xml:space="preserve"> </w:t>
      </w:r>
      <w:r>
        <w:t xml:space="preserve">rejection boundaries at this</w:t>
      </w:r>
      <w:r>
        <w:t xml:space="preserve"> </w:t>
      </w:r>
      <m:oMath>
        <m:r>
          <m:t>N</m:t>
        </m:r>
      </m:oMath>
      <w:r>
        <w:t xml:space="preserve">. Taken together, the results confirm</w:t>
      </w:r>
      <w:r>
        <w:t xml:space="preserve"> </w:t>
      </w:r>
      <w:r>
        <w:t xml:space="preserve">that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231</m:t>
        </m:r>
      </m:oMath>
      <w:r>
        <w:t xml:space="preserve"> </w:t>
      </w:r>
      <w:r>
        <w:t xml:space="preserve">is sufficient for all four indices to achieve at least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power in the ideal scenario, with SRMR and RMSEA providing a</w:t>
      </w:r>
      <w:r>
        <w:t xml:space="preserve"> </w:t>
      </w:r>
      <w:r>
        <w:t xml:space="preserve">comfortable margin and CFI/TLI operating near the minimum threshold</w:t>
      </w:r>
      <w:r>
        <w:t xml:space="preserve"> </w:t>
      </w:r>
      <w:r>
        <w:t xml:space="preserve">(Jobst et al., 2023; McNeish &amp; Wolf, 2021)</w:t>
      </w:r>
      <w:r>
        <w:t xml:space="preserve">.</w:t>
      </w:r>
    </w:p>
    <w:bookmarkEnd w:id="101"/>
    <w:bookmarkStart w:id="109" w:name="X70068e6c6160cb41119ebf72f66dcb66c5fd7ee"/>
    <w:p>
      <w:pPr>
        <w:pStyle w:val="Heading3"/>
      </w:pPr>
      <w:r>
        <w:t xml:space="preserve">4.2 Traditional cutoff values for fit indices</w:t>
      </w:r>
    </w:p>
    <w:p>
      <w:pPr>
        <w:pStyle w:val="FirstParagraph"/>
      </w:pPr>
      <w:r>
        <w:t xml:space="preserve">When traditional thresholds are applied —</w:t>
      </w:r>
      <w:r>
        <w:t xml:space="preserve"> </w:t>
      </w:r>
      <m:oMath>
        <m:r>
          <m:rPr>
            <m:nor/>
            <m:sty m:val="p"/>
          </m:rPr>
          <m:t>RMSEA</m:t>
        </m:r>
        <m:r>
          <m:rPr>
            <m:sty m:val="p"/>
          </m:rPr>
          <m:t>≤</m:t>
        </m:r>
        <m:r>
          <m:t>.06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CFI</m:t>
        </m:r>
        <m:r>
          <m:rPr>
            <m:sty m:val="p"/>
          </m:rPr>
          <m:t>≥</m:t>
        </m:r>
        <m:r>
          <m:t>.95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TLI</m:t>
        </m:r>
        <m:r>
          <m:rPr>
            <m:sty m:val="p"/>
          </m:rPr>
          <m:t>≥</m:t>
        </m:r>
        <m:r>
          <m:t>.95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SRMR</m:t>
        </m:r>
        <m:r>
          <m:rPr>
            <m:sty m:val="p"/>
          </m:rPr>
          <m:t>≤</m:t>
        </m:r>
        <m:r>
          <m:t>.06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power is defined as the proportion of replications in which the</w:t>
      </w:r>
      <w:r>
        <w:t xml:space="preserve"> </w:t>
      </w:r>
      <w:r>
        <w:t xml:space="preserve">misspecified model crosses those fixed boundaries in the direction of</w:t>
      </w:r>
      <w:r>
        <w:t xml:space="preserve"> </w:t>
      </w:r>
      <w:r>
        <w:t xml:space="preserve">worse fit. This mirrors common applied practice, but a key limitation</w:t>
      </w:r>
      <w:r>
        <w:t xml:space="preserve"> </w:t>
      </w:r>
      <w:r>
        <w:t xml:space="preserve">is that these thresholds were derived under specific simulation</w:t>
      </w:r>
      <w:r>
        <w:t xml:space="preserve"> </w:t>
      </w:r>
      <w:r>
        <w:t xml:space="preserve">conditions and may not be universally valid across different model</w:t>
      </w:r>
      <w:r>
        <w:t xml:space="preserve"> </w:t>
      </w:r>
      <w:r>
        <w:t xml:space="preserve">structures and sample sizes</w:t>
      </w:r>
      <w:r>
        <w:t xml:space="preserve"> </w:t>
      </w:r>
      <w:r>
        <w:t xml:space="preserve">(Kyriazos, 2018; McNeish &amp; Wolf, 2021)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fig-fit-curve-traditional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3_simulation_ideal-fig-fit-curve-traditional-output-1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Power curves using traditional fit index cutoffs under ideal conditions.</w:t>
            </w:r>
          </w:p>
          <w:bookmarkEnd w:id="105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06">
        <w:r>
          <w:rPr>
            <w:rStyle w:val="Hyperlink"/>
            <w:vertAlign w:val="subscript"/>
          </w:rPr>
          <w:t xml:space="preserve">Simulation — Ideal Conditions</w:t>
        </w:r>
      </w:hyperlink>
    </w:p>
    <w:p>
      <w:pPr>
        <w:pStyle w:val="BodyText"/>
      </w:pPr>
      <w:r>
        <w:t xml:space="preserve">The contrast with the empirical-cutoff results is instructive. SRMR</w:t>
      </w:r>
      <w:r>
        <w:t xml:space="preserve"> </w:t>
      </w:r>
      <w:r>
        <w:t xml:space="preserve">is the only index that achieves clear visual discrimination under the</w:t>
      </w:r>
      <w:r>
        <w:t xml:space="preserve"> </w:t>
      </w:r>
      <w:r>
        <w:t xml:space="preserve">traditional threshold, and only at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200</m:t>
        </m:r>
      </m:oMath>
      <w:r>
        <w:t xml:space="preserve"> </w:t>
      </w:r>
      <w:r>
        <w:t xml:space="preserve">or larger. RMSEA</w:t>
      </w:r>
      <w:r>
        <w:t xml:space="preserve"> </w:t>
      </w:r>
      <w:r>
        <w:t xml:space="preserve">shows some separation but would require a cutoff near</w:t>
      </w:r>
      <w:r>
        <w:t xml:space="preserve"> </w:t>
      </w:r>
      <m:oMath>
        <m:r>
          <m:t>0.04</m:t>
        </m:r>
      </m:oMath>
      <w:r>
        <w:t xml:space="preserve"> </w:t>
      </w:r>
      <w:r>
        <w:t xml:space="preserve">rather</w:t>
      </w:r>
      <w:r>
        <w:t xml:space="preserve"> </w:t>
      </w:r>
      <w:r>
        <w:t xml:space="preserve">than</w:t>
      </w:r>
      <w:r>
        <w:t xml:space="preserve"> </w:t>
      </w:r>
      <m:oMath>
        <m:r>
          <m:t>0.06</m:t>
        </m:r>
      </m:oMath>
      <w:r>
        <w:t xml:space="preserve"> </w:t>
      </w:r>
      <w:r>
        <w:t xml:space="preserve">to make a meaningful distinction in this figure. CFI and</w:t>
      </w:r>
      <w:r>
        <w:t xml:space="preserve"> </w:t>
      </w:r>
      <w:r>
        <w:t xml:space="preserve">TLI show essentially no discrimination at the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threshold because</w:t>
      </w:r>
      <w:r>
        <w:t xml:space="preserve"> </w:t>
      </w:r>
      <w:r>
        <w:t xml:space="preserve">both the reference and alternative point clouds cluster in the same</w:t>
      </w:r>
      <w:r>
        <w:t xml:space="preserve"> </w:t>
      </w:r>
      <w:r>
        <w:t xml:space="preserve">region throughout the sample-size range (</w:t>
      </w:r>
      <w:hyperlink w:anchor="fig-fit-curve-traditional">
        <w:r>
          <w:rPr>
            <w:rStyle w:val="Hyperlink"/>
          </w:rPr>
          <w:t xml:space="preserve">Figure 12</w:t>
        </w:r>
      </w:hyperlink>
      <w:r>
        <w:t xml:space="preserve">). The</w:t>
      </w:r>
      <w:r>
        <w:t xml:space="preserve"> </w:t>
      </w:r>
      <w:hyperlink w:anchor="tbl-power-cutoff-traditional">
        <w:r>
          <w:rPr>
            <w:rStyle w:val="Hyperlink"/>
          </w:rPr>
          <w:t xml:space="preserve">Table 15</w:t>
        </w:r>
      </w:hyperlink>
      <w:r>
        <w:t xml:space="preserve"> </w:t>
      </w:r>
      <w:r>
        <w:t xml:space="preserve">summarizes the power for each fit index under the traditional cutoff values.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power-cutoff-tradition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Power for traditional fit index cutoffs under ideal conditions at N = 231.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CFI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TLI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RMSEA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SRMR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&gt; 0.98</w:t>
                  </w:r>
                </w:p>
              </w:tc>
            </w:tr>
          </w:tbl>
          <w:bookmarkEnd w:id="107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08">
        <w:r>
          <w:rPr>
            <w:rStyle w:val="Hyperlink"/>
            <w:vertAlign w:val="subscript"/>
          </w:rPr>
          <w:t xml:space="preserve">Simulation — Ideal Conditions</w:t>
        </w:r>
      </w:hyperlink>
    </w:p>
    <w:bookmarkEnd w:id="109"/>
    <w:bookmarkStart w:id="114" w:name="targeting-specific-parameters"/>
    <w:p>
      <w:pPr>
        <w:pStyle w:val="Heading3"/>
      </w:pPr>
      <w:r>
        <w:t xml:space="preserve">4.3 Targeting specific parameters</w:t>
      </w:r>
    </w:p>
    <w:p>
      <w:pPr>
        <w:pStyle w:val="FirstParagraph"/>
      </w:pPr>
      <w:r>
        <w:t xml:space="preserve">The previous analyses focused on global fit. However, power is always</w:t>
      </w:r>
      <w:r>
        <w:t xml:space="preserve"> </w:t>
      </w:r>
      <w:r>
        <w:t xml:space="preserve">tied to a specific hypothesis, and different parameters within the same</w:t>
      </w:r>
      <w:r>
        <w:t xml:space="preserve"> </w:t>
      </w:r>
      <w:r>
        <w:t xml:space="preserve">model can require markedly different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reach the same target</w:t>
      </w:r>
      <w:r>
        <w:t xml:space="preserve"> </w:t>
      </w:r>
      <w:r>
        <w:t xml:space="preserve">(Moshagen &amp; Bader, 2024; Wang, 2023)</w:t>
      </w:r>
      <w:r>
        <w:t xml:space="preserve">. This section evaluates power at the</w:t>
      </w:r>
      <w:r>
        <w:t xml:space="preserve"> </w:t>
      </w:r>
      <w:r>
        <w:t xml:space="preserve">parameter level to identify which parts of the model are hardest to</w:t>
      </w:r>
      <w:r>
        <w:t xml:space="preserve"> </w:t>
      </w:r>
      <w:r>
        <w:t xml:space="preserve">recover and should therefore anchor the sample size decision.</w:t>
      </w:r>
    </w:p>
    <w:p>
      <w:pPr>
        <w:pStyle w:val="BodyText"/>
      </w:pPr>
      <w:r>
        <w:t xml:space="preserve">In</w:t>
      </w:r>
      <w:r>
        <w:t xml:space="preserve"> </w:t>
      </w:r>
      <w:r>
        <w:rPr>
          <w:rStyle w:val="VerbatimChar"/>
        </w:rPr>
        <w:t xml:space="preserve">simsem</w:t>
      </w:r>
      <w:r>
        <w:t xml:space="preserve">, parameter-level summaries include relative bias,</w:t>
      </w:r>
      <w:r>
        <w:t xml:space="preserve"> </w:t>
      </w:r>
      <w:r>
        <w:t xml:space="preserve">standard-error bias, CI coverage, and detection power. These four</w:t>
      </w:r>
      <w:r>
        <w:t xml:space="preserve"> </w:t>
      </w:r>
      <w:r>
        <w:t xml:space="preserve">indicators are not redundant: a parameter may show high power while</w:t>
      </w:r>
      <w:r>
        <w:t xml:space="preserve"> </w:t>
      </w:r>
      <w:r>
        <w:t xml:space="preserve">still being poorly estimated, and estimation quality should always be</w:t>
      </w:r>
      <w:r>
        <w:t xml:space="preserve"> </w:t>
      </w:r>
      <w:r>
        <w:t xml:space="preserve">verified alongside detection rates</w:t>
      </w:r>
      <w:r>
        <w:t xml:space="preserve"> </w:t>
      </w:r>
      <w:r>
        <w:t xml:space="preserve">(Pornprasertmanit et al., 2021; Wang &amp; Rhemtulla, 2021)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param-estimate-ide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Summary of parameter estimates under ideal conditions.</w:t>
            </w:r>
          </w:p>
          <w:p>
            <w:pPr>
              <w:pStyle w:val="Compact"/>
              <w:jc w:val="center"/>
            </w:pPr>
            <w:r>
              <w:t xml:space="preserve">Parameter estimates under ideal conditions {quarto-postprocess='true'}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Parameter estimates under ideal conditions {quarto-postprocess='true'}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Rel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Rel SE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Power (Not equal 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-0.063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social=~Q20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social=~Q21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social=~Q22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psycho~~physical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psycho~~social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psycho~~environment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0.286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physical~~social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physical~~environment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social~~environment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Q3~~Q4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Q5~~Q5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Q6~~Q6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Q7~~Q7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0.993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Q11~~Q11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Q19~~Q19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Q26~~Q26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Q3~~Q3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Q4~~Q4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Q10~~Q10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Q15~~Q15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Q16~~Q16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Q17~~Q17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Q18~~Q18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Q20~~Q20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Q21~~Q21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Q22~~Q22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Q8~~Q8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Q9~~Q9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Q12~~Q12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Q13~~Q13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Q14~~Q14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Q23~~Q23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Q24~~Q24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Q25~~Q25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</w:tr>
          </w:tbl>
          <w:bookmarkEnd w:id="110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11">
        <w:r>
          <w:rPr>
            <w:rStyle w:val="Hyperlink"/>
            <w:vertAlign w:val="subscript"/>
          </w:rPr>
          <w:t xml:space="preserve">Simulation — Ideal Conditions</w:t>
        </w:r>
      </w:hyperlink>
    </w:p>
    <w:p>
      <w:pPr>
        <w:pStyle w:val="BodyText"/>
      </w:pPr>
      <w:r>
        <w:t xml:space="preserve">Primary factor loadings for</w:t>
      </w:r>
      <w:r>
        <w:t xml:space="preserve"> </w:t>
      </w:r>
      <w:r>
        <w:rPr>
          <w:rStyle w:val="VerbatimChar"/>
        </w:rPr>
        <w:t xml:space="preserve">psycho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physical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social</w:t>
      </w:r>
      <w:r>
        <w:t xml:space="preserve"> </w:t>
      </w:r>
      <w:r>
        <w:t xml:space="preserve">recover very well: high power, minimal bias, modest SE distortion,</w:t>
      </w:r>
      <w:r>
        <w:t xml:space="preserve"> </w:t>
      </w:r>
      <w:r>
        <w:t xml:space="preserve">and coverage close to nominal. Two exceptions stand out. The loading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  <m:r>
          <m:t>8</m:t>
        </m:r>
      </m:oMath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t xml:space="preserve">and its residual variance are easily detected</w:t>
      </w:r>
      <w:r>
        <w:t xml:space="preserve"> </w:t>
      </w:r>
      <w:r>
        <w:t xml:space="preserve">but not well recovered — the model would flag this parameter as</w:t>
      </w:r>
      <w:r>
        <w:t xml:space="preserve"> </w:t>
      </w:r>
      <w:r>
        <w:t xml:space="preserve">non-zero while still estimating it with noticeable distortion. Item</w:t>
      </w:r>
      <w:r>
        <w:t xml:space="preserve"> </w:t>
      </w:r>
      <m:oMath>
        <m:r>
          <m:t>Q</m:t>
        </m:r>
        <m:r>
          <m:t>15</m:t>
        </m:r>
      </m:oMath>
      <w:r>
        <w:t xml:space="preserve"> </w:t>
      </w:r>
      <w:r>
        <w:t xml:space="preserve">shows a secondary warning on the same dimensions. Among the</w:t>
      </w:r>
      <w:r>
        <w:t xml:space="preserve"> </w:t>
      </w:r>
      <w:r>
        <w:t xml:space="preserve">latent parameters, interfactor covariances — particularly those</w:t>
      </w:r>
      <w:r>
        <w:t xml:space="preserve"> </w:t>
      </w:r>
      <w:r>
        <w:t xml:space="preserve">involving</w:t>
      </w:r>
      <w:r>
        <w:t xml:space="preserve"> </w:t>
      </w:r>
      <w:r>
        <w:rPr>
          <w:rStyle w:val="VerbatimChar"/>
        </w:rPr>
        <w:t xml:space="preserve">social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t xml:space="preserve">— are harder to recover than</w:t>
      </w:r>
      <w:r>
        <w:t xml:space="preserve"> </w:t>
      </w:r>
      <w:r>
        <w:t xml:space="preserve">loadings, with lower power and weaker coverage. The residual covariance</w:t>
      </w:r>
      <w:r>
        <w:t xml:space="preserve"> </w:t>
      </w:r>
      <m:oMath>
        <m:r>
          <m:t>Q</m:t>
        </m:r>
        <m:r>
          <m:t>3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t>Q</m:t>
        </m:r>
        <m:r>
          <m:t>4</m:t>
        </m:r>
      </m:oMath>
      <w:r>
        <w:t xml:space="preserve"> </w:t>
      </w:r>
      <w:r>
        <w:t xml:space="preserve">stands out as the most demanding residual parameter,</w:t>
      </w:r>
      <w:r>
        <w:t xml:space="preserve"> </w:t>
      </w:r>
      <w:r>
        <w:t xml:space="preserve">behaving more like a latent covariance than a measurement parameter</w:t>
      </w:r>
      <w:r>
        <w:t xml:space="preserve"> </w:t>
      </w:r>
      <w:r>
        <w:t xml:space="preserve">in terms of inferential difficulty.</w:t>
      </w:r>
    </w:p>
    <w:p>
      <w:pPr>
        <w:pStyle w:val="BodyText"/>
      </w:pPr>
      <w:r>
        <w:t xml:space="preserve">The required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each parameter follows directly from these</w:t>
      </w:r>
      <w:r>
        <w:t xml:space="preserve"> </w:t>
      </w:r>
      <w:r>
        <w:t xml:space="preserve">patterns</w:t>
      </w:r>
      <w:r>
        <w:t xml:space="preserve"> </w:t>
      </w:r>
      <w:r>
        <w:t xml:space="preserve">(Jobst et al., 2023; Moshagen &amp; Bader, 2024)</w:t>
      </w:r>
      <w:r>
        <w:t xml:space="preserve">, as shown in</w:t>
      </w:r>
      <w:r>
        <w:t xml:space="preserve"> </w:t>
      </w:r>
      <w:hyperlink w:anchor="tbl-power-n-ideal">
        <w:r>
          <w:rPr>
            <w:rStyle w:val="Hyperlink"/>
          </w:rPr>
          <w:t xml:space="preserve">Table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tbl-power-n-ide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Sample size needed for 80% power under ideal conditions.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psycho~~physical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psycho~~social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psycho~~environment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physical~~social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physical~~environment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social~~environment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Q3~~Q4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Q5~~Q5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Q7~~Q7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Q17~~Q17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Q20~~Q20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143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Q21~~Q21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51</w:t>
                  </w:r>
                </w:p>
              </w:tc>
            </w:tr>
          </w:tbl>
          <w:bookmarkEnd w:id="112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13">
        <w:r>
          <w:rPr>
            <w:rStyle w:val="Hyperlink"/>
            <w:vertAlign w:val="subscript"/>
          </w:rPr>
          <w:t xml:space="preserve">Simulation — Ideal Conditions</w:t>
        </w:r>
      </w:hyperlink>
    </w:p>
    <w:p>
      <w:pPr>
        <w:pStyle w:val="BodyText"/>
      </w:pPr>
      <w:r>
        <w:t xml:space="preserve">Many primary loadings and residual variances reach the target power</w:t>
      </w:r>
      <w:r>
        <w:t xml:space="preserve"> </w:t>
      </w:r>
      <w:r>
        <w:t xml:space="preserve">at the low end of the simulated range. Latent covariances and the</w:t>
      </w:r>
      <w:r>
        <w:t xml:space="preserve"> </w:t>
      </w:r>
      <w:r>
        <w:t xml:space="preserve">residual covariance</w:t>
      </w:r>
      <w:r>
        <w:t xml:space="preserve"> </w:t>
      </w:r>
      <m:oMath>
        <m:r>
          <m:t>Q</m:t>
        </m:r>
        <m:r>
          <m:t>3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t>Q</m:t>
        </m:r>
        <m:r>
          <m:t>4</m:t>
        </m:r>
      </m:oMath>
      <w:r>
        <w:t xml:space="preserve"> </w:t>
      </w:r>
      <w:r>
        <w:t xml:space="preserve">require substantially larger</w:t>
      </w:r>
      <w:r>
        <w:t xml:space="preserve"> </w:t>
      </w:r>
      <w:r>
        <w:t xml:space="preserve">samples. In practice, the sample size decision should be driven by</w:t>
      </w:r>
      <w:r>
        <w:t xml:space="preserve"> </w:t>
      </w:r>
      <w:r>
        <w:t xml:space="preserve">the hardest-to-detect parameters, not by the easiest ones — a</w:t>
      </w:r>
      <w:r>
        <w:t xml:space="preserve"> </w:t>
      </w:r>
      <w:r>
        <w:t xml:space="preserve">principle that pushes the practical reference toward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200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50</m:t>
        </m:r>
      </m:oMath>
      <w:r>
        <w:t xml:space="preserve"> </w:t>
      </w:r>
      <w:r>
        <w:t xml:space="preserve">(Pornprasertmanit et al., 2021; Wang &amp; Rhemtulla, 2021)</w:t>
      </w:r>
      <w:r>
        <w:t xml:space="preserve">. Specifically,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psycho~~social</w:t>
      </w:r>
      <w:r>
        <w:t xml:space="preserve"> </w:t>
      </w:r>
      <w:r>
        <w:t xml:space="preserve">covariance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= 212, which sets the effective ceiling</w:t>
      </w:r>
      <w:r>
        <w:t xml:space="preserve"> </w:t>
      </w:r>
      <w:r>
        <w:t xml:space="preserve">for parameter-level planning in this model.</w:t>
      </w:r>
    </w:p>
    <w:bookmarkEnd w:id="114"/>
    <w:bookmarkStart w:id="121" w:name="recovering-population-parameters"/>
    <w:p>
      <w:pPr>
        <w:pStyle w:val="Heading3"/>
      </w:pPr>
      <w:r>
        <w:t xml:space="preserve">4.4 Recovering population parameters</w:t>
      </w:r>
    </w:p>
    <w:bookmarkStart w:id="117" w:name="X1209260cfd11d7a4f20ced4599fb769750fdbcd"/>
    <w:p>
      <w:pPr>
        <w:pStyle w:val="Heading4"/>
      </w:pPr>
      <w:r>
        <w:t xml:space="preserve">4.4.1 Parameter-level power under the naive model</w:t>
      </w:r>
    </w:p>
    <w:p>
      <w:pPr>
        <w:pStyle w:val="FirstParagraph"/>
      </w:pPr>
      <w:r>
        <w:t xml:space="preserve">Examining parameter recovery under the naive model serves as a</w:t>
      </w:r>
      <w:r>
        <w:t xml:space="preserve"> </w:t>
      </w:r>
      <w:r>
        <w:t xml:space="preserve">worst-case benchmark: because this population uses the weakest</w:t>
      </w:r>
      <w:r>
        <w:t xml:space="preserve"> </w:t>
      </w:r>
      <w:r>
        <w:t xml:space="preserve">loadings and the highest interfactor correlations, it maximizes</w:t>
      </w:r>
      <w:r>
        <w:t xml:space="preserve"> </w:t>
      </w:r>
      <w:r>
        <w:t xml:space="preserve">the sample size needed to recover each parameter</w:t>
      </w:r>
      <w:r>
        <w:t xml:space="preserve"> </w:t>
      </w:r>
      <w:r>
        <w:t xml:space="preserve">(</w:t>
      </w:r>
      <w:r>
        <w:t xml:space="preserve">Mosqueira Taipe et al.</w:t>
      </w:r>
      <w:r>
        <w:t xml:space="preserve">, 2026)</w:t>
      </w:r>
      <w:r>
        <w:t xml:space="preserve">.</w:t>
      </w:r>
      <w:r>
        <w:t xml:space="preserve"> </w:t>
      </w:r>
      <w:r>
        <w:t xml:space="preserve">The goal here is not to evaluate global fit, but to identify the</w:t>
      </w:r>
      <w:r>
        <w:t xml:space="preserve"> </w:t>
      </w:r>
      <w:r>
        <w:t xml:space="preserve">bottleneck parameter — the one that must be detected if the entire</w:t>
      </w:r>
      <w:r>
        <w:t xml:space="preserve"> </w:t>
      </w:r>
      <w:r>
        <w:t xml:space="preserve">set of model effects is to be reliably inferred</w:t>
      </w:r>
      <w:r>
        <w:t xml:space="preserve"> </w:t>
      </w:r>
      <w:r>
        <w:t xml:space="preserve">(Pornprasertmanit et al., 2021; Wang &amp; Rhemtulla, 2021)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tbl-power-n-naiv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Parameter estimates and required sample size for 80% power under naive conditions.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Rel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Rel SE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Power (Not equal 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Required 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psycho~~physical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-0.944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psycho~~social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psycho~~environment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-0.089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physical~~social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-0.971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physical~~environment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-0.932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social~~environment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Q3~~Q4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143</w:t>
                  </w:r>
                </w:p>
              </w:tc>
            </w:tr>
          </w:tbl>
          <w:bookmarkEnd w:id="115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16">
        <w:r>
          <w:rPr>
            <w:rStyle w:val="Hyperlink"/>
            <w:vertAlign w:val="subscript"/>
          </w:rPr>
          <w:t xml:space="preserve">Simulation — Ideal Conditions</w:t>
        </w:r>
      </w:hyperlink>
    </w:p>
    <w:p>
      <w:pPr>
        <w:pStyle w:val="BodyText"/>
      </w:pPr>
      <w:r>
        <w:t xml:space="preserve">Most factor loadings reach the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target with</w:t>
      </w:r>
      <w:r>
        <w:t xml:space="preserve"> </w:t>
      </w:r>
      <m:oMath>
        <m:r>
          <m:t>N</m:t>
        </m:r>
        <m:r>
          <m:rPr>
            <m:sty m:val="p"/>
          </m:rPr>
          <m:t>&lt;</m:t>
        </m:r>
        <m:r>
          <m:t>60</m:t>
        </m:r>
      </m:oMath>
      <w:r>
        <w:t xml:space="preserve">, confirming</w:t>
      </w:r>
      <w:r>
        <w:t xml:space="preserve"> </w:t>
      </w:r>
      <w:r>
        <w:t xml:space="preserve">that the loading structure is not the binding constraint. The binding</w:t>
      </w:r>
      <w:r>
        <w:t xml:space="preserve"> </w:t>
      </w:r>
      <w:r>
        <w:t xml:space="preserve">constraint is the set of latent covariances. Their required sample</w:t>
      </w:r>
      <w:r>
        <w:t xml:space="preserve"> </w:t>
      </w:r>
      <w:r>
        <w:t xml:space="preserve">sizes are:</w:t>
      </w:r>
      <w:r>
        <w:t xml:space="preserve"> </w:t>
      </w:r>
      <m:oMath>
        <m:r>
          <m:rPr>
            <m:nor/>
            <m:sty m:val="p"/>
          </m:rPr>
          <m:t>psycho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rPr>
            <m:nor/>
            <m:sty m:val="p"/>
          </m:rPr>
          <m:t>physical</m:t>
        </m:r>
      </m:oMath>
      <w:r>
        <w:t xml:space="preserve"> </w:t>
      </w:r>
      <w:r>
        <w:t xml:space="preserve">= 180,</w:t>
      </w:r>
      <w:r>
        <w:t xml:space="preserve"> </w:t>
      </w:r>
      <m:oMath>
        <m:r>
          <m:rPr>
            <m:nor/>
            <m:sty m:val="p"/>
          </m:rPr>
          <m:t>psycho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rPr>
            <m:nor/>
            <m:sty m:val="p"/>
          </m:rPr>
          <m:t>social</m:t>
        </m:r>
      </m:oMath>
      <w:r>
        <w:t xml:space="preserve"> </w:t>
      </w:r>
      <w:r>
        <w:t xml:space="preserve">= 186,</w:t>
      </w:r>
      <w:r>
        <w:t xml:space="preserve"> </w:t>
      </w:r>
      <m:oMath>
        <m:r>
          <m:rPr>
            <m:nor/>
            <m:sty m:val="p"/>
          </m:rPr>
          <m:t>psycho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rPr>
            <m:nor/>
            <m:sty m:val="p"/>
          </m:rPr>
          <m:t>environment</m:t>
        </m:r>
      </m:oMath>
      <w:r>
        <w:t xml:space="preserve"> </w:t>
      </w:r>
      <w:r>
        <w:t xml:space="preserve">= 164,</w:t>
      </w:r>
      <w:r>
        <w:t xml:space="preserve"> </w:t>
      </w:r>
      <m:oMath>
        <m:r>
          <m:rPr>
            <m:nor/>
            <m:sty m:val="p"/>
          </m:rPr>
          <m:t>physical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rPr>
            <m:nor/>
            <m:sty m:val="p"/>
          </m:rPr>
          <m:t>social</m:t>
        </m:r>
      </m:oMath>
      <w:r>
        <w:t xml:space="preserve"> </w:t>
      </w:r>
      <w:r>
        <w:t xml:space="preserve">= 192,</w:t>
      </w:r>
      <w:r>
        <w:t xml:space="preserve"> </w:t>
      </w:r>
      <m:oMath>
        <m:r>
          <m:rPr>
            <m:nor/>
            <m:sty m:val="p"/>
          </m:rPr>
          <m:t>physical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rPr>
            <m:nor/>
            <m:sty m:val="p"/>
          </m:rPr>
          <m:t>environment</m:t>
        </m:r>
      </m:oMath>
      <w:r>
        <w:t xml:space="preserve"> </w:t>
      </w:r>
      <w:r>
        <w:t xml:space="preserve">= 178,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social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rPr>
            <m:nor/>
            <m:sty m:val="p"/>
          </m:rPr>
          <m:t>environment</m:t>
        </m:r>
      </m:oMath>
      <w:r>
        <w:t xml:space="preserve"> </w:t>
      </w:r>
      <w:r>
        <w:t xml:space="preserve">= 184.</w:t>
      </w:r>
      <w:r>
        <w:t xml:space="preserve"> </w:t>
      </w:r>
      <w:r>
        <w:t xml:space="preserve">The residual covariance</w:t>
      </w:r>
      <w:r>
        <w:t xml:space="preserve"> </w:t>
      </w:r>
      <m:oMath>
        <m:r>
          <m:t>Q</m:t>
        </m:r>
        <m:r>
          <m:t>3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t>Q</m:t>
        </m:r>
        <m:r>
          <m:t>4</m:t>
        </m:r>
      </m:oMath>
      <w:r>
        <w:t xml:space="preserve"> </w:t>
      </w:r>
      <w:r>
        <w:t xml:space="preserve">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= 143,</w:t>
      </w:r>
      <w:r>
        <w:t xml:space="preserve"> </w:t>
      </w:r>
      <w:r>
        <w:t xml:space="preserve">placing it between the loadings and the latent covariances in difficulty.</w:t>
      </w:r>
      <w:r>
        <w:t xml:space="preserve"> </w:t>
      </w:r>
      <w:r>
        <w:t xml:space="preserve">The largest required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physical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rPr>
            <m:nor/>
            <m:sty m:val="p"/>
          </m:rPr>
          <m:t>social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192, which therefore governs the minimum</w:t>
      </w:r>
      <w:r>
        <w:t xml:space="preserve"> </w:t>
      </w:r>
      <w:r>
        <w:t xml:space="preserve">sample size for the naive scenario.</w:t>
      </w:r>
    </w:p>
    <w:bookmarkEnd w:id="117"/>
    <w:bookmarkStart w:id="120" w:name="X56f8ae3dd1d94e0156a3456a70160ad55f74458"/>
    <w:p>
      <w:pPr>
        <w:pStyle w:val="Heading4"/>
      </w:pPr>
      <w:r>
        <w:t xml:space="preserve">4.4.2 Parameter-level power under the optimistic model</w:t>
      </w:r>
    </w:p>
    <w:p>
      <w:pPr>
        <w:pStyle w:val="FirstParagraph"/>
      </w:pPr>
      <w:r>
        <w:t xml:space="preserve">Under the optimistic model, stronger loadings and lower interfactor</w:t>
      </w:r>
      <w:r>
        <w:t xml:space="preserve"> </w:t>
      </w:r>
      <w:r>
        <w:t xml:space="preserve">correlations substantially reduce sample size requirements, as expected</w:t>
      </w:r>
      <w:r>
        <w:t xml:space="preserve"> </w:t>
      </w:r>
      <w:r>
        <w:t xml:space="preserve">(</w:t>
      </w:r>
      <w:r>
        <w:t xml:space="preserve">Mosqueira Taipe et al.</w:t>
      </w:r>
      <w:r>
        <w:t xml:space="preserve">, 2026)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findPower</w:t>
      </w:r>
      <w:r>
        <w:t xml:space="preserve"> </w:t>
      </w:r>
      <w:r>
        <w:t xml:space="preserve">results reveal a sparse set of</w:t>
      </w:r>
      <w:r>
        <w:t xml:space="preserve"> </w:t>
      </w:r>
      <w:r>
        <w:t xml:space="preserve">finite required-</w:t>
      </w:r>
      <m:oMath>
        <m:r>
          <m:t>N</m:t>
        </m:r>
      </m:oMath>
      <w:r>
        <w:t xml:space="preserve"> </w:t>
      </w:r>
      <w:r>
        <w:t xml:space="preserve">values: most parameters reach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power at</w:t>
      </w:r>
      <w:r>
        <w:t xml:space="preserve"> </w:t>
      </w:r>
      <w:r>
        <w:t xml:space="preserve">very small samples, and only one parameter — the residual covariance</w:t>
      </w:r>
      <w:r>
        <w:t xml:space="preserve"> </w:t>
      </w:r>
      <m:oMath>
        <m:r>
          <m:t>Q</m:t>
        </m:r>
        <m:r>
          <m:t>3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t>Q</m:t>
        </m:r>
        <m:r>
          <m:t>4</m:t>
        </m:r>
      </m:oMath>
      <w:r>
        <w:t xml:space="preserve"> </w:t>
      </w:r>
      <w:r>
        <w:t xml:space="preserve">— stands apart as the sole finite bottleneck</w:t>
      </w:r>
      <w:r>
        <w:t xml:space="preserve"> </w:t>
      </w:r>
      <w:r>
        <w:t xml:space="preserve">(Lin &amp; Yao, 2022)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tbl-power-n-op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Parameter estimates and required sample size for 80% power under optimal conditions.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Rel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Rel SE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Power (Not equal 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Required 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Q3~~Q4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139</w:t>
                  </w:r>
                </w:p>
              </w:tc>
            </w:tr>
          </w:tbl>
          <w:bookmarkEnd w:id="118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19">
        <w:r>
          <w:rPr>
            <w:rStyle w:val="Hyperlink"/>
            <w:vertAlign w:val="subscript"/>
          </w:rPr>
          <w:t xml:space="preserve">Simulation — Ideal Conditions</w:t>
        </w:r>
      </w:hyperlink>
    </w:p>
    <w:p>
      <w:pPr>
        <w:pStyle w:val="BodyText"/>
      </w:pPr>
      <w:r>
        <w:t xml:space="preserve">The residual covariance</w:t>
      </w:r>
      <w:r>
        <w:t xml:space="preserve"> </w:t>
      </w:r>
      <m:oMath>
        <m:r>
          <m:t>Q</m:t>
        </m:r>
        <m:r>
          <m:t>3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t>Q</m:t>
        </m:r>
        <m:r>
          <m:t>4</m:t>
        </m:r>
      </m:oMath>
      <w:r>
        <w:t xml:space="preserve"> </w:t>
      </w:r>
      <w:r>
        <w:t xml:space="preserve">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= 139, far above the requirements for all other</w:t>
      </w:r>
      <w:r>
        <w:t xml:space="preserve"> </w:t>
      </w:r>
      <w:r>
        <w:t xml:space="preserve">listed parameters. This value alone governs the sample size decision</w:t>
      </w:r>
      <w:r>
        <w:t xml:space="preserve"> </w:t>
      </w:r>
      <w:r>
        <w:t xml:space="preserve">under the optimistic scenario, since every other finite parameter is</w:t>
      </w:r>
      <w:r>
        <w:t xml:space="preserve"> </w:t>
      </w:r>
      <w:r>
        <w:t xml:space="preserve">adequately powered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51</m:t>
        </m:r>
      </m:oMath>
      <w:r>
        <w:t xml:space="preserve">. The contrast between the naive and</w:t>
      </w:r>
      <w:r>
        <w:t xml:space="preserve"> </w:t>
      </w:r>
      <w:r>
        <w:t xml:space="preserve">optimistic results demonstrates how sensitive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recommendations are</w:t>
      </w:r>
      <w:r>
        <w:t xml:space="preserve"> </w:t>
      </w:r>
      <w:r>
        <w:t xml:space="preserve">to the assumed population: the same model structure implies very</w:t>
      </w:r>
      <w:r>
        <w:t xml:space="preserve"> </w:t>
      </w:r>
      <w:r>
        <w:t xml:space="preserve">different requirements depending on which parameter set is used,</w:t>
      </w:r>
      <w:r>
        <w:t xml:space="preserve"> </w:t>
      </w:r>
      <w:r>
        <w:t xml:space="preserve">reinforcing the importance of sensitivity analyses across population</w:t>
      </w:r>
      <w:r>
        <w:t xml:space="preserve"> </w:t>
      </w:r>
      <w:r>
        <w:t xml:space="preserve">variants</w:t>
      </w:r>
      <w:r>
        <w:t xml:space="preserve"> </w:t>
      </w:r>
      <w:r>
        <w:t xml:space="preserve">(Buchberger et al., 2024; Irmer et al., 2024)</w:t>
      </w:r>
      <w:r>
        <w:t xml:space="preserve">.</w:t>
      </w:r>
    </w:p>
    <w:bookmarkEnd w:id="120"/>
    <w:bookmarkEnd w:id="121"/>
    <w:bookmarkStart w:id="148" w:name="Xb68f1ea03b9bd91aa1d7b5afd12faa6a5d24ba1"/>
    <w:p>
      <w:pPr>
        <w:pStyle w:val="Heading3"/>
      </w:pPr>
      <w:r>
        <w:t xml:space="preserve">4.5 Sensitivity to population model assumptions</w:t>
      </w:r>
    </w:p>
    <w:bookmarkStart w:id="134" w:name="X1664010790521ed146608377a53753f92cb2009"/>
    <w:p>
      <w:pPr>
        <w:pStyle w:val="Heading4"/>
      </w:pPr>
      <w:r>
        <w:t xml:space="preserve">4.5.1 Fit-index-based power under the naive population</w:t>
      </w:r>
    </w:p>
    <w:p>
      <w:pPr>
        <w:pStyle w:val="FirstParagraph"/>
      </w:pPr>
      <w:r>
        <w:t xml:space="preserve">Changing the reference population model from</w:t>
      </w:r>
      <w:r>
        <w:t xml:space="preserve"> </w:t>
      </w:r>
      <w:r>
        <w:rPr>
          <w:rStyle w:val="VerbatimChar"/>
        </w:rPr>
        <w:t xml:space="preserve">popmodel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naivemodel</w:t>
      </w:r>
      <w:r>
        <w:t xml:space="preserve"> </w:t>
      </w:r>
      <w:r>
        <w:t xml:space="preserve">tests how sensitive the main conclusions are to the assumed parameter</w:t>
      </w:r>
      <w:r>
        <w:t xml:space="preserve"> </w:t>
      </w:r>
      <w:r>
        <w:t xml:space="preserve">values. Under this scenario, the cutoff values are derived from the</w:t>
      </w:r>
      <w:r>
        <w:t xml:space="preserve"> </w:t>
      </w:r>
      <w:r>
        <w:t xml:space="preserve">naive-model null distribution, and power is the proportion of</w:t>
      </w:r>
      <w:r>
        <w:t xml:space="preserve"> </w:t>
      </w:r>
      <w:r>
        <w:rPr>
          <w:rStyle w:val="VerbatimChar"/>
        </w:rPr>
        <w:t xml:space="preserve">h1model</w:t>
      </w:r>
      <w:r>
        <w:t xml:space="preserve">-generated replications that exceed those cutoffs. Because the</w:t>
      </w:r>
      <w:r>
        <w:t xml:space="preserve"> </w:t>
      </w:r>
      <w:r>
        <w:t xml:space="preserve">naive model implies weaker signal, larger samples are required before</w:t>
      </w:r>
      <w:r>
        <w:t xml:space="preserve"> </w:t>
      </w:r>
      <w:r>
        <w:t xml:space="preserve">the fit indices can reliably distinguish the reference from the</w:t>
      </w:r>
      <w:r>
        <w:t xml:space="preserve"> </w:t>
      </w:r>
      <w:r>
        <w:t xml:space="preserve">misspecified condition</w:t>
      </w:r>
      <w:r>
        <w:t xml:space="preserve"> </w:t>
      </w:r>
      <w:r>
        <w:t xml:space="preserve">(Buchberger et al., 2024)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power-curve-naive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3_simulation_ideal-fig-power-curve-naive-output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Power curves for fit indices using the naive population model.</w:t>
            </w:r>
          </w:p>
          <w:bookmarkEnd w:id="125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26">
        <w:r>
          <w:rPr>
            <w:rStyle w:val="Hyperlink"/>
            <w:vertAlign w:val="subscript"/>
          </w:rPr>
          <w:t xml:space="preserve">Simulation — Ideal Conditions</w:t>
        </w:r>
      </w:hyperlink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fit-curve-naive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3_simulation_ideal-fig-fit-curve-naive-output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Power curves for fit indices using the naive population model without logistic smoothing.</w:t>
            </w:r>
          </w:p>
          <w:bookmarkEnd w:id="130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31">
        <w:r>
          <w:rPr>
            <w:rStyle w:val="Hyperlink"/>
            <w:vertAlign w:val="subscript"/>
          </w:rPr>
          <w:t xml:space="preserve">Simulation — Ideal Conditions</w:t>
        </w:r>
      </w:hyperlink>
    </w:p>
    <w:p>
      <w:pPr>
        <w:pStyle w:val="BodyText"/>
      </w:pPr>
      <w:r>
        <w:t xml:space="preserve">The power curves show two distinct patterns. RMSEA and SRMR increase</w:t>
      </w:r>
      <w:r>
        <w:t xml:space="preserve"> </w:t>
      </w:r>
      <w:r>
        <w:t xml:space="preserve">gradually from moderate levels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 approach</w:t>
      </w:r>
      <w:r>
        <w:t xml:space="preserve"> </w:t>
      </w:r>
      <m:oMath>
        <m:r>
          <m:t>1.00</m:t>
        </m:r>
      </m:oMath>
      <w:r>
        <w:t xml:space="preserve"> </w:t>
      </w:r>
      <w:r>
        <w:t xml:space="preserve">as</w:t>
      </w:r>
      <w:r>
        <w:t xml:space="preserve"> </w:t>
      </w:r>
      <w:r>
        <w:t xml:space="preserve">sample size grows. CFI and TLI remain close to zero across most of</w:t>
      </w:r>
      <w:r>
        <w:t xml:space="preserve"> </w:t>
      </w:r>
      <w:r>
        <w:t xml:space="preserve">the range, then rise sharply only near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310</m:t>
        </m:r>
      </m:oMath>
      <w:r>
        <w:t xml:space="preserve">–</w:t>
      </w:r>
      <m:oMath>
        <m:r>
          <m:t>340</m:t>
        </m:r>
      </m:oMath>
      <w:r>
        <w:t xml:space="preserve">. In the</w:t>
      </w:r>
      <w:r>
        <w:t xml:space="preserve"> </w:t>
      </w:r>
      <w:r>
        <w:t xml:space="preserve">raw fit-index plots, the two point clouds are clearly separated for</w:t>
      </w:r>
      <w:r>
        <w:t xml:space="preserve"> </w:t>
      </w:r>
      <w:r>
        <w:t xml:space="preserve">RMSEA and SRMR at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200</m:t>
        </m:r>
      </m:oMath>
      <w:r>
        <w:t xml:space="preserve">, but overlap substantially for CFI and</w:t>
      </w:r>
      <w:r>
        <w:t xml:space="preserve"> </w:t>
      </w:r>
      <w:r>
        <w:t xml:space="preserve">TLI at all but the largest sample sizes.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tbl-power-cutoff-naiv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Power and fit index cutoff values using the naive population model at N = 330.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RMSEA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SRMR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CFI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TLI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Cutoff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0.959</w:t>
                  </w:r>
                </w:p>
              </w:tc>
            </w:tr>
          </w:tbl>
          <w:bookmarkEnd w:id="132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33">
        <w:r>
          <w:rPr>
            <w:rStyle w:val="Hyperlink"/>
            <w:vertAlign w:val="subscript"/>
          </w:rPr>
          <w:t xml:space="preserve">Simulation — Ideal Conditions</w:t>
        </w:r>
      </w:hyperlink>
    </w:p>
    <w:p>
      <w:pPr>
        <w:pStyle w:val="BodyText"/>
      </w:pP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330</m:t>
        </m:r>
      </m:oMath>
      <w:r>
        <w:t xml:space="preserve">, all four indices exceed</w:t>
      </w:r>
      <w:r>
        <w:t xml:space="preserve"> </w:t>
      </w:r>
      <m:oMath>
        <m:r>
          <m:t>0.80</m:t>
        </m:r>
      </m:oMath>
      <w:r>
        <w:t xml:space="preserve">, but the margin differs</w:t>
      </w:r>
      <w:r>
        <w:t xml:space="preserve"> </w:t>
      </w:r>
      <w:r>
        <w:t xml:space="preserve">substantially. RMSEA and SRMR are near</w:t>
      </w:r>
      <w:r>
        <w:t xml:space="preserve"> </w:t>
      </w:r>
      <m:oMath>
        <m:r>
          <m:t>0.99</m:t>
        </m:r>
      </m:oMath>
      <w:r>
        <w:t xml:space="preserve">; CFI and TLI just clear</w:t>
      </w:r>
      <w:r>
        <w:t xml:space="preserve"> </w:t>
      </w:r>
      <w:r>
        <w:t xml:space="preserve">the threshold. The empirical cutoffs at this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more demanding</w:t>
      </w:r>
      <w:r>
        <w:t xml:space="preserve"> </w:t>
      </w:r>
      <w:r>
        <w:t xml:space="preserve">than conventional thresholds, reflecting the specific distribution</w:t>
      </w:r>
      <w:r>
        <w:t xml:space="preserve"> </w:t>
      </w:r>
      <w:r>
        <w:t xml:space="preserve">of the null model</w:t>
      </w:r>
      <w:r>
        <w:t xml:space="preserve"> </w:t>
      </w:r>
      <w:r>
        <w:t xml:space="preserve">(McNeish &amp; Wolf, 2021)</w:t>
      </w:r>
      <w:r>
        <w:t xml:space="preserve">. The pattern is consistent with the</w:t>
      </w:r>
      <w:r>
        <w:t xml:space="preserve"> </w:t>
      </w:r>
      <w:r>
        <w:t xml:space="preserve">main analysis: residual-type and absolute indices detect the</w:t>
      </w:r>
      <w:r>
        <w:t xml:space="preserve"> </w:t>
      </w:r>
      <w:r>
        <w:t xml:space="preserve">misspecification more readily than incremental indices, though here</w:t>
      </w:r>
      <w:r>
        <w:t xml:space="preserve"> </w:t>
      </w:r>
      <w:r>
        <w:t xml:space="preserve">the gap is considerably wider because the naive population reduces</w:t>
      </w:r>
      <w:r>
        <w:t xml:space="preserve"> </w:t>
      </w:r>
      <w:r>
        <w:t xml:space="preserve">the overall signal available to CFI and TLI.</w:t>
      </w:r>
    </w:p>
    <w:bookmarkEnd w:id="134"/>
    <w:bookmarkStart w:id="147" w:name="Xdd97fc17f465734cdf5493f721d0df769cea342"/>
    <w:p>
      <w:pPr>
        <w:pStyle w:val="Heading4"/>
      </w:pPr>
      <w:r>
        <w:t xml:space="preserve">4.5.2 Sensitivity under the optimistic population</w:t>
      </w:r>
    </w:p>
    <w:p>
      <w:pPr>
        <w:pStyle w:val="FirstParagraph"/>
      </w:pPr>
      <w:r>
        <w:t xml:space="preserve">Under the optimistic population, the same logic applies but the</w:t>
      </w:r>
      <w:r>
        <w:t xml:space="preserve"> </w:t>
      </w:r>
      <w:r>
        <w:t xml:space="preserve">baseline signal is stronger, so power accumulates more rapidly and</w:t>
      </w:r>
      <w:r>
        <w:t xml:space="preserve"> </w:t>
      </w:r>
      <w:r>
        <w:t xml:space="preserve">at smaller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values than in the naive scenario</w:t>
      </w:r>
      <w:r>
        <w:t xml:space="preserve"> </w:t>
      </w:r>
      <w:r>
        <w:t xml:space="preserve">(</w:t>
      </w:r>
      <w:r>
        <w:t xml:space="preserve">Mosqueira Taipe et al.</w:t>
      </w:r>
      <w:r>
        <w:t xml:space="preserve">, 2026)</w:t>
      </w:r>
      <w:r>
        <w:t xml:space="preserve">.</w:t>
      </w:r>
      <w:r>
        <w:t xml:space="preserve"> </w:t>
      </w:r>
      <w:r>
        <w:t xml:space="preserve">Cutoffs are derived from the optimistic null distribution, and power</w:t>
      </w:r>
      <w:r>
        <w:t xml:space="preserve"> </w:t>
      </w:r>
      <w:r>
        <w:t xml:space="preserve">is evaluated against</w:t>
      </w:r>
      <w:r>
        <w:t xml:space="preserve"> </w:t>
      </w:r>
      <w:r>
        <w:rPr>
          <w:rStyle w:val="VerbatimChar"/>
        </w:rPr>
        <w:t xml:space="preserve">h1model</w:t>
      </w:r>
      <w:r>
        <w:t xml:space="preserve">-generated data using the same fit</w:t>
      </w:r>
      <w:r>
        <w:t xml:space="preserve"> </w:t>
      </w:r>
      <w:r>
        <w:t xml:space="preserve">indices.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fig-power-curve-opt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3_simulation_ideal-fig-power-curve-opt-output-1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Power curves for fit indices using the optimal population model.</w:t>
            </w:r>
          </w:p>
          <w:bookmarkEnd w:id="138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39">
        <w:r>
          <w:rPr>
            <w:rStyle w:val="Hyperlink"/>
            <w:vertAlign w:val="subscript"/>
          </w:rPr>
          <w:t xml:space="preserve">Simulation — Ideal Conditions</w:t>
        </w:r>
      </w:hyperlink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fit-curve-opt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3_simulation_ideal-fig-fit-curve-opt-output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Power curves for fit indices using the optimal population model without logistic smoothing.</w:t>
            </w:r>
          </w:p>
          <w:bookmarkEnd w:id="14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44">
        <w:r>
          <w:rPr>
            <w:rStyle w:val="Hyperlink"/>
            <w:vertAlign w:val="subscript"/>
          </w:rPr>
          <w:t xml:space="preserve">Simulation — Ideal Conditions</w:t>
        </w:r>
      </w:hyperlink>
    </w:p>
    <w:p>
      <w:pPr>
        <w:pStyle w:val="BodyText"/>
      </w:pPr>
      <w:r>
        <w:t xml:space="preserve">The power curves mirror the qualitative pattern seen under the naive</w:t>
      </w:r>
      <w:r>
        <w:t xml:space="preserve"> </w:t>
      </w:r>
      <w:r>
        <w:t xml:space="preserve">population — SRMR is the strongest index, followed by RMSEA, with</w:t>
      </w:r>
      <w:r>
        <w:t xml:space="preserve"> </w:t>
      </w:r>
      <w:r>
        <w:t xml:space="preserve">CFI and TLI rising later and more steeply — but all curves shift</w:t>
      </w:r>
      <w:r>
        <w:t xml:space="preserve"> </w:t>
      </w:r>
      <w:r>
        <w:t xml:space="preserve">leftward, reaching target power at smaller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values. The unsmoothed</w:t>
      </w:r>
      <w:r>
        <w:t xml:space="preserve"> </w:t>
      </w:r>
      <w:r>
        <w:t xml:space="preserve">plots confirm that RMSEA and SRMR show clearer separation earlier than</w:t>
      </w:r>
      <w:r>
        <w:t xml:space="preserve"> </w:t>
      </w:r>
      <w:r>
        <w:t xml:space="preserve">CFI and TLI, with visible overlap at lower and intermediate sample</w:t>
      </w:r>
      <w:r>
        <w:t xml:space="preserve"> </w:t>
      </w:r>
      <w:r>
        <w:t xml:space="preserve">sizes for the incremental indices.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tbl-power-cutoff-op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Power and fit index cutoff values using the optimal population model at N = 291.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RMSEA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SRMR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CFI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TLI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Cutoff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0.966</w:t>
                  </w:r>
                </w:p>
              </w:tc>
            </w:tr>
          </w:tbl>
          <w:bookmarkEnd w:id="145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46">
        <w:r>
          <w:rPr>
            <w:rStyle w:val="Hyperlink"/>
            <w:vertAlign w:val="subscript"/>
          </w:rPr>
          <w:t xml:space="preserve">Simulation — Ideal Conditions</w:t>
        </w:r>
      </w:hyperlink>
    </w:p>
    <w:p>
      <w:pPr>
        <w:pStyle w:val="BodyText"/>
      </w:pP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291</m:t>
        </m:r>
      </m:oMath>
      <w:r>
        <w:t xml:space="preserve">, all four indices exceed</w:t>
      </w:r>
      <w:r>
        <w:t xml:space="preserve"> </w:t>
      </w:r>
      <m:oMath>
        <m:r>
          <m:t>0.80</m:t>
        </m:r>
      </m:oMath>
      <w:r>
        <w:t xml:space="preserve">. SRMR and RMSEA are well</w:t>
      </w:r>
      <w:r>
        <w:t xml:space="preserve"> </w:t>
      </w:r>
      <w:r>
        <w:t xml:space="preserve">above the benchmark; CFI and TLI are adequate but comparatively limited.</w:t>
      </w:r>
      <w:r>
        <w:t xml:space="preserve"> </w:t>
      </w:r>
      <w:r>
        <w:t xml:space="preserve">The empirical cutoffs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291</m:t>
        </m:r>
      </m:oMath>
      <w:r>
        <w:t xml:space="preserve"> </w:t>
      </w:r>
      <w:r>
        <w:t xml:space="preserve">are again more conservative than</w:t>
      </w:r>
      <w:r>
        <w:t xml:space="preserve"> </w:t>
      </w:r>
      <w:r>
        <w:t xml:space="preserve">conventional thresholds, and the gap between index sensitivities is</w:t>
      </w:r>
      <w:r>
        <w:t xml:space="preserve"> </w:t>
      </w:r>
      <w:r>
        <w:t xml:space="preserve">smaller here than under the naive population. Taken together, the</w:t>
      </w:r>
      <w:r>
        <w:t xml:space="preserve"> </w:t>
      </w:r>
      <w:r>
        <w:t xml:space="preserve">naive (</w:t>
      </w:r>
      <m:oMath>
        <m:r>
          <m:t>N</m:t>
        </m:r>
        <m:r>
          <m:rPr>
            <m:sty m:val="p"/>
          </m:rPr>
          <m:t>=</m:t>
        </m:r>
        <m:r>
          <m:t>330</m:t>
        </m:r>
      </m:oMath>
      <w:r>
        <w:t xml:space="preserve">) and optimistic (</w:t>
      </w:r>
      <m:oMath>
        <m:r>
          <m:t>N</m:t>
        </m:r>
        <m:r>
          <m:rPr>
            <m:sty m:val="p"/>
          </m:rPr>
          <m:t>=</m:t>
        </m:r>
        <m:r>
          <m:t>291</m:t>
        </m:r>
      </m:oMath>
      <w:r>
        <w:t xml:space="preserve">) results bracket the</w:t>
      </w:r>
      <w:r>
        <w:t xml:space="preserve"> </w:t>
      </w:r>
      <w:r>
        <w:t xml:space="preserve">main estimate (</w:t>
      </w:r>
      <m:oMath>
        <m:r>
          <m:t>N</m:t>
        </m:r>
        <m:r>
          <m:rPr>
            <m:sty m:val="p"/>
          </m:rPr>
          <m:t>=</m:t>
        </m:r>
        <m:r>
          <m:t>231</m:t>
        </m:r>
      </m:oMath>
      <w:r>
        <w:t xml:space="preserve">), providing a concrete picture of how</w:t>
      </w:r>
      <w:r>
        <w:t xml:space="preserve"> </w:t>
      </w:r>
      <w:r>
        <w:t xml:space="preserve">population uncertainty translates into uncertainty about required</w:t>
      </w:r>
      <w:r>
        <w:t xml:space="preserve"> </w:t>
      </w:r>
      <w:r>
        <w:t xml:space="preserve">sample size.</w:t>
      </w:r>
    </w:p>
    <w:bookmarkEnd w:id="147"/>
    <w:bookmarkEnd w:id="148"/>
    <w:bookmarkEnd w:id="149"/>
    <w:bookmarkStart w:id="192" w:name="sec-sim-robust"/>
    <w:p>
      <w:pPr>
        <w:pStyle w:val="Heading2"/>
      </w:pPr>
      <w:r>
        <w:t xml:space="preserve">5 Monte Carlo Simulation: Realistic Scenarios</w:t>
      </w:r>
    </w:p>
    <w:p>
      <w:pPr>
        <w:pStyle w:val="FirstParagraph"/>
      </w:pPr>
      <w:r>
        <w:t xml:space="preserve">The ideal-condition analyses establish a theoretical baseline, but</w:t>
      </w:r>
      <w:r>
        <w:t xml:space="preserve"> </w:t>
      </w:r>
      <w:r>
        <w:t xml:space="preserve">actual data collection rarely conforms to multivariate normality with</w:t>
      </w:r>
      <w:r>
        <w:t xml:space="preserve"> </w:t>
      </w:r>
      <w:r>
        <w:t xml:space="preserve">complete observations. When non-normality or missing data are</w:t>
      </w:r>
      <w:r>
        <w:t xml:space="preserve"> </w:t>
      </w:r>
      <w:r>
        <w:t xml:space="preserve">anticipated, analytical power estimates may be optimistic, and the</w:t>
      </w:r>
      <w:r>
        <w:t xml:space="preserve"> </w:t>
      </w:r>
      <w:r>
        <w:t xml:space="preserve">required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should be reassessed under more realistic assumptions</w:t>
      </w:r>
      <w:r>
        <w:t xml:space="preserve"> </w:t>
      </w:r>
      <w:r>
        <w:t xml:space="preserve">(Feng &amp; Hancock, 2023; Wang, 2023)</w:t>
      </w:r>
      <w:r>
        <w:t xml:space="preserve">. Monte Carlo simulation is especially valuable</w:t>
      </w:r>
      <w:r>
        <w:t xml:space="preserve"> </w:t>
      </w:r>
      <w:r>
        <w:t xml:space="preserve">here because it can encode precisely the data conditions expected in</w:t>
      </w:r>
      <w:r>
        <w:t xml:space="preserve"> </w:t>
      </w:r>
      <w:r>
        <w:t xml:space="preserve">practice — including the missing-data mechanism, the distributional</w:t>
      </w:r>
      <w:r>
        <w:t xml:space="preserve"> </w:t>
      </w:r>
      <w:r>
        <w:t xml:space="preserve">shape, and the estimator — and propagate them through to the power</w:t>
      </w:r>
      <w:r>
        <w:t xml:space="preserve"> </w:t>
      </w:r>
      <w:r>
        <w:t xml:space="preserve">estimate</w:t>
      </w:r>
      <w:r>
        <w:t xml:space="preserve"> </w:t>
      </w:r>
      <w:r>
        <w:t xml:space="preserve">(Irmer et al., 2024; Schoemann et al., 2014)</w:t>
      </w:r>
      <w:r>
        <w:t xml:space="preserve">.</w:t>
      </w:r>
    </w:p>
    <w:p>
      <w:pPr>
        <w:pStyle w:val="BodyText"/>
      </w:pPr>
      <w:r>
        <w:t xml:space="preserve">The goal of this section is not to replace the ideal-condition results</w:t>
      </w:r>
      <w:r>
        <w:t xml:space="preserve"> </w:t>
      </w:r>
      <w:r>
        <w:t xml:space="preserve">but to probe how sensitive they are to two common violations: missing</w:t>
      </w:r>
      <w:r>
        <w:t xml:space="preserve"> </w:t>
      </w:r>
      <w:r>
        <w:t xml:space="preserve">data and non-normality. Both analyses follow the same design logic as</w:t>
      </w:r>
      <w:r>
        <w:t xml:space="preserve"> </w:t>
      </w:r>
      <w:r>
        <w:t xml:space="preserve">before — reference data from</w:t>
      </w:r>
      <w:r>
        <w:t xml:space="preserve"> </w:t>
      </w:r>
      <w:r>
        <w:rPr>
          <w:rStyle w:val="VerbatimChar"/>
        </w:rPr>
        <w:t xml:space="preserve">popmodel</w:t>
      </w:r>
      <w:r>
        <w:t xml:space="preserve">, alternative data from</w:t>
      </w:r>
      <w:r>
        <w:t xml:space="preserve"> </w:t>
      </w:r>
      <w:r>
        <w:rPr>
          <w:rStyle w:val="VerbatimChar"/>
        </w:rPr>
        <w:t xml:space="preserve">h1model</w:t>
      </w:r>
      <w:r>
        <w:t xml:space="preserve">, analysis model</w:t>
      </w:r>
      <w:r>
        <w:t xml:space="preserve"> </w:t>
      </w:r>
      <w:r>
        <w:rPr>
          <w:rStyle w:val="VerbatimChar"/>
        </w:rPr>
        <w:t xml:space="preserve">analyzemodel</w:t>
      </w:r>
      <w:r>
        <w:t xml:space="preserve"> </w:t>
      </w:r>
      <w:r>
        <w:t xml:space="preserve">— so the results remain</w:t>
      </w:r>
      <w:r>
        <w:t xml:space="preserve"> </w:t>
      </w:r>
      <w:r>
        <w:t xml:space="preserve">directly comparable</w:t>
      </w:r>
      <w:r>
        <w:t xml:space="preserve"> </w:t>
      </w:r>
      <w:r>
        <w:t xml:space="preserve">(Jobst et al., 2023; Moshagen &amp; Bader, 2024)</w:t>
      </w:r>
      <w:r>
        <w:t xml:space="preserve">.</w:t>
      </w:r>
    </w:p>
    <w:bookmarkStart w:id="162" w:name="sec-missing"/>
    <w:p>
      <w:pPr>
        <w:pStyle w:val="Heading3"/>
      </w:pPr>
      <w:r>
        <w:t xml:space="preserve">5.1 Missing Data (MCAR)</w:t>
      </w:r>
    </w:p>
    <w:p>
      <w:pPr>
        <w:pStyle w:val="FirstParagraph"/>
      </w:pPr>
      <w:r>
        <w:t xml:space="preserve">Missing data reduce the amount of usable information per participant</w:t>
      </w:r>
      <w:r>
        <w:t xml:space="preserve"> </w:t>
      </w:r>
      <w:r>
        <w:t xml:space="preserve">and therefore generally lower estimation efficiency and statistical</w:t>
      </w:r>
      <w:r>
        <w:t xml:space="preserve"> </w:t>
      </w:r>
      <w:r>
        <w:t xml:space="preserve">power, even when data are missing completely at random (MCAR) and</w:t>
      </w:r>
      <w:r>
        <w:t xml:space="preserve"> </w:t>
      </w:r>
      <w:r>
        <w:t xml:space="preserve">the analysis model handles missingness correctly via full information</w:t>
      </w:r>
      <w:r>
        <w:t xml:space="preserve"> </w:t>
      </w:r>
      <w:r>
        <w:t xml:space="preserve">maximum likelihood</w:t>
      </w:r>
      <w:r>
        <w:t xml:space="preserve"> </w:t>
      </w:r>
      <w:r>
        <w:t xml:space="preserve">(Jak et al., 2021; Wolf et al., 2013)</w:t>
      </w:r>
      <w:r>
        <w:t xml:space="preserve">. The relevant design question</w:t>
      </w:r>
      <w:r>
        <w:t xml:space="preserve"> </w:t>
      </w:r>
      <w:r>
        <w:t xml:space="preserve">is not only how many cases are planned but how much information survives</w:t>
      </w:r>
      <w:r>
        <w:t xml:space="preserve"> </w:t>
      </w:r>
      <w:r>
        <w:t xml:space="preserve">the anticipated missing-data process</w:t>
      </w:r>
      <w:r>
        <w:t xml:space="preserve"> </w:t>
      </w:r>
      <w:r>
        <w:t xml:space="preserve">(Feng &amp; Hancock, 2023)</w:t>
      </w:r>
      <w:r>
        <w:t xml:space="preserve">.</w:t>
      </w:r>
    </w:p>
    <w:p>
      <w:pPr>
        <w:pStyle w:val="BodyText"/>
      </w:pPr>
      <w:r>
        <w:t xml:space="preserve">In this simulation, 10% of observations are set missing at random</w:t>
      </w:r>
      <w:r>
        <w:t xml:space="preserve"> </w:t>
      </w:r>
      <w:r>
        <w:t xml:space="preserve">prior to each analysis. All other aspects of the design are unchanged</w:t>
      </w:r>
      <w:r>
        <w:t xml:space="preserve"> </w:t>
      </w:r>
      <w:r>
        <w:t xml:space="preserve">from the ideal-condition analysis.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fig-power-curve-missing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4_simulation_robust-fig-power-curve-missing-output-1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Power curves for fit indices under missing data conditions.</w:t>
            </w:r>
          </w:p>
          <w:bookmarkEnd w:id="15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54">
        <w:r>
          <w:rPr>
            <w:rStyle w:val="Hyperlink"/>
            <w:vertAlign w:val="subscript"/>
          </w:rPr>
          <w:t xml:space="preserve">Simulation — Realistic Scenarios</w:t>
        </w:r>
      </w:hyperlink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fig-fit-curve-missing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4_simulation_robust-fig-fit-curve-missing-output-1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Power curves for fit indices under missing data conditions without logistic smoothing.</w:t>
            </w:r>
          </w:p>
          <w:bookmarkEnd w:id="158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59">
        <w:r>
          <w:rPr>
            <w:rStyle w:val="Hyperlink"/>
            <w:vertAlign w:val="subscript"/>
          </w:rPr>
          <w:t xml:space="preserve">Simulation — Realistic Scenarios</w:t>
        </w:r>
      </w:hyperlink>
    </w:p>
    <w:p>
      <w:pPr>
        <w:pStyle w:val="BodyText"/>
      </w:pPr>
      <w:r>
        <w:t xml:space="preserve">Both figures show the expected pattern: power curves shift rightward</w:t>
      </w:r>
      <w:r>
        <w:t xml:space="preserve"> </w:t>
      </w:r>
      <w:r>
        <w:t xml:space="preserve">relative to the ideal condition, requiring larger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reach the</w:t>
      </w:r>
      <w:r>
        <w:t xml:space="preserve"> </w:t>
      </w:r>
      <w:r>
        <w:t xml:space="preserve">same thresholds. The separation between distributions in the raw</w:t>
      </w:r>
      <w:r>
        <w:t xml:space="preserve"> </w:t>
      </w:r>
      <w:r>
        <w:t xml:space="preserve">fit-index plots is less pronounced, especially for CFI and TLI, which</w:t>
      </w:r>
      <w:r>
        <w:t xml:space="preserve"> </w:t>
      </w:r>
      <w:r>
        <w:t xml:space="preserve">show more overlap at small and intermediate sample sizes.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power-cutoff-miss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Power and fit index cutoff values under missing data conditions at N = 359.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RMSEA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SRMR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CFI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TLI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Cutoff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1.010</w:t>
                  </w:r>
                </w:p>
              </w:tc>
            </w:tr>
          </w:tbl>
          <w:bookmarkEnd w:id="160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61">
        <w:r>
          <w:rPr>
            <w:rStyle w:val="Hyperlink"/>
            <w:vertAlign w:val="subscript"/>
          </w:rPr>
          <w:t xml:space="preserve">Simulation — Realistic Scenarios</w:t>
        </w:r>
      </w:hyperlink>
    </w:p>
    <w:p>
      <w:pPr>
        <w:pStyle w:val="BodyText"/>
      </w:pP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359</m:t>
        </m:r>
      </m:oMath>
      <w:r>
        <w:t xml:space="preserve">, power was 0.947 for RMSEA,</w:t>
      </w:r>
      <w:r>
        <w:t xml:space="preserve"> </w:t>
      </w:r>
      <w:r>
        <w:t xml:space="preserve">0.987 for SRMR,</w:t>
      </w:r>
      <w:r>
        <w:t xml:space="preserve"> </w:t>
      </w:r>
      <w:r>
        <w:t xml:space="preserve">0.802 for CFI, and</w:t>
      </w:r>
      <w:r>
        <w:t xml:space="preserve"> </w:t>
      </w:r>
      <w:r>
        <w:t xml:space="preserve">0.806 for TLI. SRMR remains the</w:t>
      </w:r>
      <w:r>
        <w:t xml:space="preserve"> </w:t>
      </w:r>
      <w:r>
        <w:t xml:space="preserve">strongest index and RMSEA is close behind; CFI and TLI are adequate</w:t>
      </w:r>
      <w:r>
        <w:t xml:space="preserve"> </w:t>
      </w:r>
      <w:r>
        <w:t xml:space="preserve">but marginally so. The empirical cutoffs were</w:t>
      </w:r>
      <w:r>
        <w:t xml:space="preserve"> </w:t>
      </w:r>
      <w:r>
        <w:t xml:space="preserve">0.011 for RMSEA,</w:t>
      </w:r>
      <w:r>
        <w:t xml:space="preserve"> </w:t>
      </w:r>
      <w:r>
        <w:t xml:space="preserve">0.035 for SRMR,</w:t>
      </w:r>
      <w:r>
        <w:t xml:space="preserve"> </w:t>
      </w:r>
      <w:r>
        <w:t xml:space="preserve">1.008 for CFI, and</w:t>
      </w:r>
      <w:r>
        <w:t xml:space="preserve"> </w:t>
      </w:r>
      <w:r>
        <w:t xml:space="preserve">1.01 for TLI. The values above</w:t>
      </w:r>
      <w:r>
        <w:t xml:space="preserve"> </w:t>
      </w:r>
      <m:oMath>
        <m:r>
          <m:t>1.00</m:t>
        </m:r>
      </m:oMath>
      <w:r>
        <w:t xml:space="preserve"> </w:t>
      </w:r>
      <w:r>
        <w:t xml:space="preserve">for CFI and TLI indicate that the classification boundary from the</w:t>
      </w:r>
      <w:r>
        <w:t xml:space="preserve"> </w:t>
      </w:r>
      <w:r>
        <w:t xml:space="preserve">simulation falls at the upper edge of the index scale, which explains</w:t>
      </w:r>
      <w:r>
        <w:t xml:space="preserve"> </w:t>
      </w:r>
      <w:r>
        <w:t xml:space="preserve">why their power is only marginally above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at this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(McNeish &amp; Wolf, 2021)</w:t>
      </w:r>
      <w:r>
        <w:t xml:space="preserve">.</w:t>
      </w:r>
      <w:r>
        <w:t xml:space="preserve"> </w:t>
      </w:r>
      <w:r>
        <w:t xml:space="preserve">Comparing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231</m:t>
        </m:r>
      </m:oMath>
      <w:r>
        <w:t xml:space="preserve"> </w:t>
      </w:r>
      <w:r>
        <w:t xml:space="preserve">(ideal)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359</m:t>
        </m:r>
      </m:oMath>
      <w:r>
        <w:t xml:space="preserve"> </w:t>
      </w:r>
      <w:r>
        <w:t xml:space="preserve">(10% MCAR) makes the</w:t>
      </w:r>
      <w:r>
        <w:t xml:space="preserve"> </w:t>
      </w:r>
      <w:r>
        <w:t xml:space="preserve">information cost of missing data concrete: approximately 128 additional</w:t>
      </w:r>
      <w:r>
        <w:t xml:space="preserve"> </w:t>
      </w:r>
      <w:r>
        <w:t xml:space="preserve">participants are needed to restore the same level of detection</w:t>
      </w:r>
      <w:r>
        <w:t xml:space="preserve"> </w:t>
      </w:r>
      <w:r>
        <w:t xml:space="preserve">performance.</w:t>
      </w:r>
    </w:p>
    <w:bookmarkEnd w:id="162"/>
    <w:bookmarkStart w:id="175" w:name="sec-nonnormal"/>
    <w:p>
      <w:pPr>
        <w:pStyle w:val="Heading3"/>
      </w:pPr>
      <w:r>
        <w:t xml:space="preserve">5.2 Non-Normality</w:t>
      </w:r>
    </w:p>
    <w:p>
      <w:pPr>
        <w:pStyle w:val="FirstParagraph"/>
      </w:pPr>
      <w:r>
        <w:t xml:space="preserve">Mild departures from normality — skewness in the range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excess kurtosis in the range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— are common in applied social</w:t>
      </w:r>
      <w:r>
        <w:t xml:space="preserve"> </w:t>
      </w:r>
      <w:r>
        <w:t xml:space="preserve">science measurement and can affect the behavior of fit indices even</w:t>
      </w:r>
      <w:r>
        <w:t xml:space="preserve"> </w:t>
      </w:r>
      <w:r>
        <w:t xml:space="preserve">when robust estimators are used</w:t>
      </w:r>
      <w:r>
        <w:t xml:space="preserve"> </w:t>
      </w:r>
      <w:r>
        <w:t xml:space="preserve">(Irmer et al., 2024; Kyriazos, 2018)</w:t>
      </w:r>
      <w:r>
        <w:t xml:space="preserve">. This</w:t>
      </w:r>
      <w:r>
        <w:t xml:space="preserve"> </w:t>
      </w:r>
      <w:r>
        <w:t xml:space="preserve">analysis evaluates how such departures alter the power conclusions</w:t>
      </w:r>
      <w:r>
        <w:t xml:space="preserve"> </w:t>
      </w:r>
      <w:r>
        <w:t xml:space="preserve">relative to the ideal condition.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power-curve-nnorm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4_simulation_robust-fig-power-curve-nnorm-output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Power curves for fit indices under non-normal conditions.</w:t>
            </w:r>
          </w:p>
          <w:bookmarkEnd w:id="166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67">
        <w:r>
          <w:rPr>
            <w:rStyle w:val="Hyperlink"/>
            <w:vertAlign w:val="subscript"/>
          </w:rPr>
          <w:t xml:space="preserve">Simulation — Realistic Scenarios</w:t>
        </w:r>
      </w:hyperlink>
    </w:p>
    <w:p>
      <w:pPr>
        <w:pStyle w:val="BodyText"/>
      </w:pPr>
      <w:r>
        <w:t xml:space="preserve">The ordering of sensitivity is stable: SRMR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RMSEA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CFI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TLI. SRMR reaches near-ceiling power early in the sample-size</w:t>
      </w:r>
      <w:r>
        <w:t xml:space="preserve"> </w:t>
      </w:r>
      <w:r>
        <w:t xml:space="preserve">range; RMSEA follows steadily; CFI and TLI rise more slowly and remain</w:t>
      </w:r>
      <w:r>
        <w:t xml:space="preserve"> </w:t>
      </w:r>
      <w:r>
        <w:t xml:space="preserve">below the other two across most of the evaluated range.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1" w:name="fig-fit-curve-nnorm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4_simulation_robust-fig-fit-curve-nnorm-output-1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curves for fit indices under non-normal conditions without logistic smoothing.</w:t>
            </w:r>
          </w:p>
          <w:bookmarkEnd w:id="171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72">
        <w:r>
          <w:rPr>
            <w:rStyle w:val="Hyperlink"/>
            <w:vertAlign w:val="subscript"/>
          </w:rPr>
          <w:t xml:space="preserve">Simulation — Realistic Scenarios</w:t>
        </w:r>
      </w:hyperlink>
    </w:p>
    <w:p>
      <w:pPr>
        <w:pStyle w:val="BodyText"/>
      </w:pPr>
      <w:r>
        <w:t xml:space="preserve">The raw fit-index plots confirm the ordering. For RMSEA and SRMR,</w:t>
      </w:r>
      <w:r>
        <w:t xml:space="preserve"> </w:t>
      </w:r>
      <w:r>
        <w:t xml:space="preserve">the two point clouds are increasingly distinct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grows; for CFI</w:t>
      </w:r>
      <w:r>
        <w:t xml:space="preserve"> </w:t>
      </w:r>
      <w:r>
        <w:t xml:space="preserve">and TLI, overlap is more visible at lower and intermediate sample</w:t>
      </w:r>
      <w:r>
        <w:t xml:space="preserve"> </w:t>
      </w:r>
      <w:r>
        <w:t xml:space="preserve">sizes and clears only at larger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3" w:name="tbl-power-cutoff-nnor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Power and fit index cutoff values under non-normal conditions at N = 228.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RMSEA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SRMR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CFI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TLI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Cutoff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</w:t>
                  </w:r>
                </w:p>
              </w:tc>
            </w:tr>
          </w:tbl>
          <w:bookmarkEnd w:id="173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74">
        <w:r>
          <w:rPr>
            <w:rStyle w:val="Hyperlink"/>
            <w:vertAlign w:val="subscript"/>
          </w:rPr>
          <w:t xml:space="preserve">Simulation — Realistic Scenarios</w:t>
        </w:r>
      </w:hyperlink>
    </w:p>
    <w:p>
      <w:pPr>
        <w:pStyle w:val="BodyText"/>
      </w:pP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228</m:t>
        </m:r>
      </m:oMath>
      <w:r>
        <w:t xml:space="preserve">, power was 0.91 for RMSEA,</w:t>
      </w:r>
      <w:r>
        <w:t xml:space="preserve"> </w:t>
      </w:r>
      <w:r>
        <w:t xml:space="preserve">0.994 for SRMR,</w:t>
      </w:r>
      <w:r>
        <w:t xml:space="preserve"> </w:t>
      </w:r>
      <w:r>
        <w:t xml:space="preserve">0.8 for CFI, and</w:t>
      </w:r>
      <w:r>
        <w:t xml:space="preserve"> </w:t>
      </w:r>
      <w:r>
        <w:t xml:space="preserve">0.8 for TLI. Notably, this result is</w:t>
      </w:r>
      <w:r>
        <w:t xml:space="preserve"> </w:t>
      </w:r>
      <w:r>
        <w:t xml:space="preserve">almost identical to the ideal-condition estimate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231</m:t>
        </m:r>
      </m:oMath>
      <w:r>
        <w:t xml:space="preserve">,</w:t>
      </w:r>
      <w:r>
        <w:t xml:space="preserve"> </w:t>
      </w:r>
      <w:r>
        <w:t xml:space="preserve">suggesting that mild non-normality introduces negligible additional cost</w:t>
      </w:r>
      <w:r>
        <w:t xml:space="preserve"> </w:t>
      </w:r>
      <w:r>
        <w:t xml:space="preserve">under the current design and model structure</w:t>
      </w:r>
      <w:r>
        <w:t xml:space="preserve"> </w:t>
      </w:r>
      <w:r>
        <w:t xml:space="preserve">(Irmer et al., 2024)</w:t>
      </w:r>
      <w:r>
        <w:t xml:space="preserve">. The empirical</w:t>
      </w:r>
      <w:r>
        <w:t xml:space="preserve"> </w:t>
      </w:r>
      <w:r>
        <w:t xml:space="preserve">cutoffs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228</m:t>
        </m:r>
      </m:oMath>
      <w:r>
        <w:t xml:space="preserve"> </w:t>
      </w:r>
      <w:r>
        <w:t xml:space="preserve">were</w:t>
      </w:r>
      <w:r>
        <w:t xml:space="preserve"> </w:t>
      </w:r>
      <w:r>
        <w:t xml:space="preserve">0.04 (RMSEA),</w:t>
      </w:r>
      <w:r>
        <w:t xml:space="preserve"> </w:t>
      </w:r>
      <w:r>
        <w:t xml:space="preserve">0.059 (SRMR),</w:t>
      </w:r>
      <w:r>
        <w:t xml:space="preserve"> </w:t>
      </w:r>
      <w:r>
        <w:t xml:space="preserve">0.964 (CFI), and</w:t>
      </w:r>
      <w:r>
        <w:t xml:space="preserve"> </w:t>
      </w:r>
      <w:r>
        <w:t xml:space="preserve">0.96 (TLI), consistent with the</w:t>
      </w:r>
      <w:r>
        <w:t xml:space="preserve"> </w:t>
      </w:r>
      <w:r>
        <w:t xml:space="preserve">discrimination patterns in the figures.</w:t>
      </w:r>
    </w:p>
    <w:bookmarkEnd w:id="175"/>
    <w:bookmarkStart w:id="191" w:name="sec-scenarios-fixed"/>
    <w:p>
      <w:pPr>
        <w:pStyle w:val="Heading3"/>
      </w:pPr>
      <w:r>
        <w:t xml:space="preserve">5.3 Simulation with fixed N</w:t>
      </w:r>
    </w:p>
    <w:p>
      <w:pPr>
        <w:pStyle w:val="FirstParagraph"/>
      </w:pPr>
      <w:r>
        <w:t xml:space="preserve">Having established minimum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estimates under various conditions, the</w:t>
      </w:r>
      <w:r>
        <w:t xml:space="preserve"> </w:t>
      </w:r>
      <w:r>
        <w:t xml:space="preserve">question becomes whether a single, fixed sample size performs reliably</w:t>
      </w:r>
      <w:r>
        <w:t xml:space="preserve"> </w:t>
      </w:r>
      <w:r>
        <w:t xml:space="preserve">as a design choice. Fixing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350</m:t>
        </m:r>
      </m:oMath>
      <w:r>
        <w:t xml:space="preserve"> </w:t>
      </w:r>
      <w:r>
        <w:t xml:space="preserve">— a conservative value anchored</w:t>
      </w:r>
      <w:r>
        <w:t xml:space="preserve"> </w:t>
      </w:r>
      <w:r>
        <w:t xml:space="preserve">above the most demanding simulation result (</w:t>
      </w:r>
      <m:oMath>
        <m:r>
          <m:t>N</m:t>
        </m:r>
        <m:r>
          <m:rPr>
            <m:sty m:val="p"/>
          </m:rPr>
          <m:t>=</m:t>
        </m:r>
        <m:r>
          <m:t>330</m:t>
        </m:r>
      </m:oMath>
      <w:r>
        <w:t xml:space="preserve"> </w:t>
      </w:r>
      <w:r>
        <w:t xml:space="preserve">under the naive</w:t>
      </w:r>
      <w:r>
        <w:t xml:space="preserve"> </w:t>
      </w:r>
      <w:r>
        <w:t xml:space="preserve">population) — allows us to ask: does this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consistently separate</w:t>
      </w:r>
      <w:r>
        <w:t xml:space="preserve"> </w:t>
      </w:r>
      <w:r>
        <w:t xml:space="preserve">the reference and misspecified models across many independent</w:t>
      </w:r>
      <w:r>
        <w:t xml:space="preserve"> </w:t>
      </w:r>
      <w:r>
        <w:t xml:space="preserve">replications, including under realistic data conditions (10% MCAR +</w:t>
      </w:r>
      <w:r>
        <w:t xml:space="preserve"> </w:t>
      </w:r>
      <w:r>
        <w:t xml:space="preserve">mild non-normality)?</w:t>
      </w:r>
    </w:p>
    <w:p>
      <w:pPr>
        <w:pStyle w:val="BodyText"/>
      </w:pPr>
      <w:r>
        <w:t xml:space="preserve">This step also highlights the practical difference between empirical</w:t>
      </w:r>
      <w:r>
        <w:t xml:space="preserve"> </w:t>
      </w:r>
      <w:r>
        <w:t xml:space="preserve">and traditional fit criteria. Empirical cutoffs are calibrated to the</w:t>
      </w:r>
      <w:r>
        <w:t xml:space="preserve"> </w:t>
      </w:r>
      <w:r>
        <w:t xml:space="preserve">actual sampling distribution of the fitted model; traditional cutoffs</w:t>
      </w:r>
      <w:r>
        <w:t xml:space="preserve"> </w:t>
      </w:r>
      <w:r>
        <w:t xml:space="preserve">are generic conventions. The two approaches can lead to very different</w:t>
      </w:r>
      <w:r>
        <w:t xml:space="preserve"> </w:t>
      </w:r>
      <w:r>
        <w:t xml:space="preserve">conclusions about adequacy</w:t>
      </w:r>
      <w:r>
        <w:t xml:space="preserve"> </w:t>
      </w:r>
      <w:r>
        <w:t xml:space="preserve">(McNeish &amp; Wolf, 2021; Pornprasertmanit et al., 2021)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9" w:name="fig-power-curve-fixed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5_model_comparison-fig-power-curve-fixed-output-1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Power curves for fit indices with fixed sample size.</w:t>
            </w:r>
          </w:p>
          <w:bookmarkEnd w:id="179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80">
        <w:r>
          <w:rPr>
            <w:rStyle w:val="Hyperlink"/>
            <w:vertAlign w:val="subscript"/>
          </w:rPr>
          <w:t xml:space="preserve">Simulation — Fixed N</w:t>
        </w:r>
      </w:hyperlink>
    </w:p>
    <w:p>
      <w:pPr>
        <w:pStyle w:val="BodyText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350</m:t>
        </m:r>
      </m:oMath>
      <w:r>
        <w:t xml:space="preserve">, the main analysis achieves power = 1.000 for all</w:t>
      </w:r>
      <w:r>
        <w:t xml:space="preserve"> </w:t>
      </w:r>
      <w:r>
        <w:t xml:space="preserve">four fit indices using empirical cutoffs. The distributions of the</w:t>
      </w:r>
      <w:r>
        <w:t xml:space="preserve"> </w:t>
      </w:r>
      <w:r>
        <w:t xml:space="preserve">reference and alternative conditions are completely separated in</w:t>
      </w:r>
      <w:r>
        <w:t xml:space="preserve"> </w:t>
      </w:r>
      <w:r>
        <w:t xml:space="preserve">every panel, confirming that this sample size provides essentially</w:t>
      </w:r>
      <w:r>
        <w:t xml:space="preserve"> </w:t>
      </w:r>
      <w:r>
        <w:t xml:space="preserve">perfect discrimination under the target design</w:t>
      </w:r>
      <w:r>
        <w:t xml:space="preserve"> </w:t>
      </w:r>
      <w:r>
        <w:t xml:space="preserve">(Liang &amp; Sterba, 2024; Moshagen &amp; Bader, 2024)</w:t>
      </w:r>
      <w:r>
        <w:t xml:space="preserve">.</w:t>
      </w:r>
      <w:r>
        <w:t xml:space="preserve"> </w:t>
      </w:r>
      <w:r>
        <w:t xml:space="preserve">The empirical cutoffs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350</m:t>
        </m:r>
      </m:oMath>
      <w:r>
        <w:t xml:space="preserve"> </w:t>
      </w:r>
      <w:r>
        <w:t xml:space="preserve">serve as data-driven benchmarks</w:t>
      </w:r>
      <w:r>
        <w:t xml:space="preserve"> </w:t>
      </w:r>
      <w:r>
        <w:t xml:space="preserve">for this specific population-analysis model combination, and their</w:t>
      </w:r>
      <w:r>
        <w:t xml:space="preserve"> </w:t>
      </w:r>
      <w:r>
        <w:t xml:space="preserve">values (</w:t>
      </w:r>
      <w:hyperlink w:anchor="tbl-power-cutoff-fixed">
        <w:r>
          <w:rPr>
            <w:rStyle w:val="Hyperlink"/>
          </w:rPr>
          <w:t xml:space="preserve">Table 14</w:t>
        </w:r>
      </w:hyperlink>
      <w:r>
        <w:t xml:space="preserve">) differ noticeably from conventional</w:t>
      </w:r>
      <w:r>
        <w:t xml:space="preserve"> </w:t>
      </w:r>
      <w:r>
        <w:t xml:space="preserve">thresholds — which underscores the value of deriving rejection rules</w:t>
      </w:r>
      <w:r>
        <w:t xml:space="preserve"> </w:t>
      </w:r>
      <w:r>
        <w:t xml:space="preserve">from the simulation rather than from generic recommendations.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1" w:name="tbl-power-cutoff-fix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14: Power and fit index cutoff values with fixed sample size.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TRADITIONALCHI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RMSEA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SRMR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CFI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TLI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Cutoff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0.025</w:t>
                  </w:r>
                </w:p>
              </w:tc>
            </w:tr>
          </w:tbl>
          <w:bookmarkEnd w:id="181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82">
        <w:r>
          <w:rPr>
            <w:rStyle w:val="Hyperlink"/>
            <w:vertAlign w:val="subscript"/>
          </w:rPr>
          <w:t xml:space="preserve">Simulation — Fixed N</w:t>
        </w:r>
      </w:hyperlink>
    </w:p>
    <w:bookmarkStart w:id="190" w:name="power-analysis-with-traditional-cutoffs"/>
    <w:p>
      <w:pPr>
        <w:pStyle w:val="Heading4"/>
      </w:pPr>
      <w:r>
        <w:t xml:space="preserve">5.3.1 Power analysis with traditional cutoffs</w:t>
      </w:r>
    </w:p>
    <w:p>
      <w:pPr>
        <w:pStyle w:val="FirstParagraph"/>
      </w:pPr>
      <w:r>
        <w:t xml:space="preserve">Applying traditional rule-of-thumb thresholds to the same fixed-</w:t>
      </w:r>
      <m:oMath>
        <m:r>
          <m:t>N</m:t>
        </m:r>
      </m:oMath>
      <w:r>
        <w:t xml:space="preserve"> </w:t>
      </w:r>
      <w:r>
        <w:t xml:space="preserve">simulation produces a strikingly different picture. Power remains</w:t>
      </w:r>
      <w:r>
        <w:t xml:space="preserve"> </w:t>
      </w:r>
      <w:r>
        <w:t xml:space="preserve">high for SRMR, falls substantially for CFI and TLI, and drops to</w:t>
      </w:r>
      <w:r>
        <w:t xml:space="preserve"> </w:t>
      </w:r>
      <w:r>
        <w:t xml:space="preserve">zero for RMSEA — not because the sample is inadequate, but because the</w:t>
      </w:r>
      <w:r>
        <w:t xml:space="preserve"> </w:t>
      </w:r>
      <w:r>
        <w:t xml:space="preserve">conventional</w:t>
      </w:r>
      <w:r>
        <w:t xml:space="preserve"> </w:t>
      </w:r>
      <m:oMath>
        <m:r>
          <m:rPr>
            <m:nor/>
            <m:sty m:val="p"/>
          </m:rPr>
          <m:t>RMSEA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threshold is misaligned with</w:t>
      </w:r>
      <w:r>
        <w:t xml:space="preserve"> </w:t>
      </w:r>
      <w:r>
        <w:t xml:space="preserve">the empirical distribution of this specific model</w:t>
      </w:r>
      <w:r>
        <w:t xml:space="preserve"> </w:t>
      </w:r>
      <w:r>
        <w:t xml:space="preserve">(Kyriazos, 2018; McNeish &amp; Wolf, 2021)</w:t>
      </w:r>
      <w:r>
        <w:t xml:space="preserve">. This contrast is one of the clearest illustrations</w:t>
      </w:r>
      <w:r>
        <w:t xml:space="preserve"> </w:t>
      </w:r>
      <w:r>
        <w:t xml:space="preserve">in this tutorial of why power conclusions depend on how the rejection</w:t>
      </w:r>
      <w:r>
        <w:t xml:space="preserve"> </w:t>
      </w:r>
      <w:r>
        <w:t xml:space="preserve">criterion is defined, not only on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6" w:name="fig-curve-fixed-traditional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5_model_comparison-fig-curve-fixed-traditional-output-1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Power curves using traditional fit index cutoffs with fixed sample size.</w:t>
            </w:r>
          </w:p>
          <w:bookmarkEnd w:id="186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87">
        <w:r>
          <w:rPr>
            <w:rStyle w:val="Hyperlink"/>
            <w:vertAlign w:val="subscript"/>
          </w:rPr>
          <w:t xml:space="preserve">Simulation — Fixed N</w:t>
        </w:r>
      </w:hyperlink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8" w:name="tbl-power-cutoff-tradition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 Power for traditional fit index cutoffs with fixed sample size.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CFI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TLI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RMSEA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SRMR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0.997</w:t>
                  </w:r>
                </w:p>
              </w:tc>
            </w:tr>
          </w:tbl>
          <w:bookmarkEnd w:id="188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89">
        <w:r>
          <w:rPr>
            <w:rStyle w:val="Hyperlink"/>
            <w:vertAlign w:val="subscript"/>
          </w:rPr>
          <w:t xml:space="preserve">Simulation — Fixed N</w:t>
        </w:r>
      </w:hyperlink>
    </w:p>
    <w:p>
      <w:pPr>
        <w:pStyle w:val="BodyText"/>
      </w:pPr>
      <w:r>
        <w:t xml:space="preserve">Taken together, the fixed-</w:t>
      </w:r>
      <m:oMath>
        <m:r>
          <m:t>N</m:t>
        </m:r>
      </m:oMath>
      <w:r>
        <w:t xml:space="preserve"> </w:t>
      </w:r>
      <w:r>
        <w:t xml:space="preserve">results support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350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conservative, stable design choice for the main comparison: it delivers</w:t>
      </w:r>
      <w:r>
        <w:t xml:space="preserve"> </w:t>
      </w:r>
      <w:r>
        <w:t xml:space="preserve">perfect discrimination when empirical cutoffs are used, and its</w:t>
      </w:r>
      <w:r>
        <w:t xml:space="preserve"> </w:t>
      </w:r>
      <w:r>
        <w:t xml:space="preserve">failures under traditional cutoffs reveal a limitation of those cutoffs</w:t>
      </w:r>
      <w:r>
        <w:t xml:space="preserve"> </w:t>
      </w:r>
      <w:r>
        <w:t xml:space="preserve">rather than of the design itself</w:t>
      </w:r>
      <w:r>
        <w:t xml:space="preserve"> </w:t>
      </w:r>
      <w:r>
        <w:t xml:space="preserve">(Liang &amp; Sterba, 2024; Pornprasertmanit et al., 2021)</w:t>
      </w:r>
      <w:r>
        <w:t xml:space="preserve">.</w:t>
      </w:r>
    </w:p>
    <w:bookmarkEnd w:id="190"/>
    <w:bookmarkEnd w:id="191"/>
    <w:bookmarkEnd w:id="192"/>
    <w:bookmarkStart w:id="218" w:name="sec-post-hoc"/>
    <w:p>
      <w:pPr>
        <w:pStyle w:val="Heading2"/>
      </w:pPr>
      <w:r>
        <w:t xml:space="preserve">6 Post Hoc Power Analysis</w:t>
      </w:r>
    </w:p>
    <w:p>
      <w:pPr>
        <w:pStyle w:val="FirstParagraph"/>
      </w:pPr>
      <w:r>
        <w:t xml:space="preserve">Post hoc power analysis evaluates the detection capacity of a study</w:t>
      </w:r>
      <w:r>
        <w:t xml:space="preserve"> </w:t>
      </w:r>
      <w:r>
        <w:t xml:space="preserve">design after the data have been collected, using the observed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 fitted model, and a specified reference structure. In SEM, this is</w:t>
      </w:r>
      <w:r>
        <w:t xml:space="preserve"> </w:t>
      </w:r>
      <w:r>
        <w:t xml:space="preserve">meaningful only with respect to a clearly defined comparison: power</w:t>
      </w:r>
      <w:r>
        <w:t xml:space="preserve"> </w:t>
      </w:r>
      <w:r>
        <w:t xml:space="preserve">is always the probability of rejecting a specific model under a specific</w:t>
      </w:r>
      <w:r>
        <w:t xml:space="preserve"> </w:t>
      </w:r>
      <w:r>
        <w:t xml:space="preserve">alternative, not a general property of a dataset or a software routine</w:t>
      </w:r>
      <w:r>
        <w:t xml:space="preserve"> </w:t>
      </w:r>
      <w:r>
        <w:t xml:space="preserve">(Jobst et al., 2023; Moshagen &amp; Bader, 2024)</w:t>
      </w:r>
      <w:r>
        <w:t xml:space="preserve">. In this section, we evaluate post hoc</w:t>
      </w:r>
      <w:r>
        <w:t xml:space="preserve"> </w:t>
      </w:r>
      <w:r>
        <w:t xml:space="preserve">power against an empirical dataset from Mendeley</w:t>
      </w:r>
      <w:r>
        <w:t xml:space="preserve"> </w:t>
      </w:r>
      <w:r>
        <w:t xml:space="preserve">(Rogers, 2022)</w:t>
      </w:r>
      <w:r>
        <w:t xml:space="preserve">, fitting</w:t>
      </w:r>
      <w:r>
        <w:t xml:space="preserve"> </w:t>
      </w:r>
      <w:r>
        <w:rPr>
          <w:rStyle w:val="VerbatimChar"/>
        </w:rPr>
        <w:t xml:space="preserve">analyzemodel</w:t>
      </w:r>
      <w:r>
        <w:t xml:space="preserve"> </w:t>
      </w:r>
      <w:r>
        <w:t xml:space="preserve">to real WHOQOL-BREF data and assessing how reliably the collected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would have rejected meaningful misspecification.</w:t>
      </w:r>
    </w:p>
    <w:bookmarkStart w:id="198" w:name="with-simulation"/>
    <w:p>
      <w:pPr>
        <w:pStyle w:val="Heading3"/>
      </w:pPr>
      <w:r>
        <w:t xml:space="preserve">6.1 With Simulation</w:t>
      </w:r>
    </w:p>
    <w:p>
      <w:pPr>
        <w:pStyle w:val="FirstParagraph"/>
      </w:pPr>
      <w:r>
        <w:t xml:space="preserve">The simulation-based strategy first fits the analysis model to the</w:t>
      </w:r>
      <w:r>
        <w:t xml:space="preserve"> </w:t>
      </w:r>
      <w:r>
        <w:t xml:space="preserve">real data to obtain an empirically grounded reference structure. It</w:t>
      </w:r>
      <w:r>
        <w:t xml:space="preserve"> </w:t>
      </w:r>
      <w:r>
        <w:t xml:space="preserve">then generates data from both the null model and the alternative model</w:t>
      </w:r>
      <w:r>
        <w:t xml:space="preserve"> </w:t>
      </w:r>
      <w:r>
        <w:t xml:space="preserve">at the observed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quantifies how well the fit indices separate</w:t>
      </w:r>
      <w:r>
        <w:t xml:space="preserve"> </w:t>
      </w:r>
      <w:r>
        <w:t xml:space="preserve">the two conditions. This approach is particularly informative when the</w:t>
      </w:r>
      <w:r>
        <w:t xml:space="preserve"> </w:t>
      </w:r>
      <w:r>
        <w:t xml:space="preserve">effect of interest is defined in model terms, because the full</w:t>
      </w:r>
      <w:r>
        <w:t xml:space="preserve"> </w:t>
      </w:r>
      <w:r>
        <w:t xml:space="preserve">parameterization — loadings, residual structure, latent correlations —</w:t>
      </w:r>
      <w:r>
        <w:t xml:space="preserve"> </w:t>
      </w:r>
      <w:r>
        <w:t xml:space="preserve">shapes the discrepancy and therefore the power estimate</w:t>
      </w:r>
      <w:r>
        <w:t xml:space="preserve"> </w:t>
      </w:r>
      <w:r>
        <w:t xml:space="preserve">(Feng &amp; Hancock, 2023; Wang &amp; Rhemtulla, 2021)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fig-posthoc-plotpower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6_posthoc-fig-posthoc-plotpower-output-1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23: Power curve for post hoc analysis based on simulation.</w:t>
            </w:r>
          </w:p>
          <w:bookmarkEnd w:id="196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97">
        <w:r>
          <w:rPr>
            <w:rStyle w:val="Hyperlink"/>
            <w:vertAlign w:val="subscript"/>
          </w:rPr>
          <w:t xml:space="preserve">Post Hoc Power Analysis</w:t>
        </w:r>
      </w:hyperlink>
    </w:p>
    <w:p>
      <w:pPr>
        <w:pStyle w:val="BodyText"/>
      </w:pPr>
      <w:r>
        <w:t xml:space="preserve">All four fit indices reached power equal to</w:t>
      </w:r>
      <w:r>
        <w:t xml:space="preserve"> </w:t>
      </w:r>
      <m:oMath>
        <m:r>
          <m:t>1.00</m:t>
        </m:r>
      </m:oMath>
      <w:r>
        <w:t xml:space="preserve">. In the figure,</w:t>
      </w:r>
      <w:r>
        <w:t xml:space="preserve"> </w:t>
      </w:r>
      <w:r>
        <w:t xml:space="preserve">every panel shows complete separation between the null and alternative</w:t>
      </w:r>
      <w:r>
        <w:t xml:space="preserve"> </w:t>
      </w:r>
      <w:r>
        <w:t xml:space="preserve">distributions, with the red cutoff line falling cleanly between them</w:t>
      </w:r>
      <w:r>
        <w:t xml:space="preserve"> </w:t>
      </w:r>
      <w:r>
        <w:t xml:space="preserve">and no visible overlap. For RMSEA, the null distribution concentrates</w:t>
      </w:r>
      <w:r>
        <w:t xml:space="preserve"> </w:t>
      </w:r>
      <w:r>
        <w:t xml:space="preserve">near zero while the alternative is centered around</w:t>
      </w:r>
      <w:r>
        <w:t xml:space="preserve"> </w:t>
      </w:r>
      <m:oMath>
        <m:r>
          <m:t>0.05</m:t>
        </m:r>
      </m:oMath>
      <w:r>
        <w:t xml:space="preserve">. For SRMR,</w:t>
      </w:r>
      <w:r>
        <w:t xml:space="preserve"> </w:t>
      </w:r>
      <w:r>
        <w:t xml:space="preserve">the null clusters near</w:t>
      </w:r>
      <w:r>
        <w:t xml:space="preserve"> </w:t>
      </w:r>
      <m:oMath>
        <m:r>
          <m:t>0.01</m:t>
        </m:r>
      </m:oMath>
      <w:r>
        <w:t xml:space="preserve">–</w:t>
      </w:r>
      <m:oMath>
        <m:r>
          <m:t>0.02</m:t>
        </m:r>
      </m:oMath>
      <w:r>
        <w:t xml:space="preserve"> </w:t>
      </w:r>
      <w:r>
        <w:t xml:space="preserve">and the alternative near</w:t>
      </w:r>
      <w:r>
        <w:t xml:space="preserve"> </w:t>
      </w:r>
      <m:oMath>
        <m:r>
          <m:t>0.06</m:t>
        </m:r>
      </m:oMath>
      <w:r>
        <w:t xml:space="preserve">–</w:t>
      </w:r>
      <m:oMath>
        <m:r>
          <m:t>0.08</m:t>
        </m:r>
      </m:oMath>
      <w:r>
        <w:t xml:space="preserve">. For CFI and TLI, the null is close to</w:t>
      </w:r>
      <w:r>
        <w:t xml:space="preserve"> </w:t>
      </w:r>
      <m:oMath>
        <m:r>
          <m:t>1.00</m:t>
        </m:r>
      </m:oMath>
      <w:r>
        <w:t xml:space="preserve"> </w:t>
      </w:r>
      <w:r>
        <w:t xml:space="preserve">and the</w:t>
      </w:r>
      <w:r>
        <w:t xml:space="preserve"> </w:t>
      </w:r>
      <w:r>
        <w:t xml:space="preserve">alternative centers around</w:t>
      </w:r>
      <w:r>
        <w:t xml:space="preserve"> </w:t>
      </w:r>
      <m:oMath>
        <m:r>
          <m:t>0.95</m:t>
        </m:r>
      </m:oMath>
      <w:r>
        <w:t xml:space="preserve">–</w:t>
      </w:r>
      <m:oMath>
        <m:r>
          <m:t>0.97</m:t>
        </m:r>
      </m:oMath>
      <w:r>
        <w:t xml:space="preserve">. The complete discrimination</w:t>
      </w:r>
      <w:r>
        <w:t xml:space="preserve"> </w:t>
      </w:r>
      <w:r>
        <w:t xml:space="preserve">in every panel confirms that the observed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would have been fully</w:t>
      </w:r>
      <w:r>
        <w:t xml:space="preserve"> </w:t>
      </w:r>
      <w:r>
        <w:t xml:space="preserve">adequate to detect the target misspecification</w:t>
      </w:r>
      <w:r>
        <w:t xml:space="preserve"> </w:t>
      </w:r>
      <w:r>
        <w:t xml:space="preserve">(Pornprasertmanit et al., 2021)</w:t>
      </w:r>
      <w:r>
        <w:t xml:space="preserve">. Note</w:t>
      </w:r>
      <w:r>
        <w:t xml:space="preserve"> </w:t>
      </w:r>
      <w:r>
        <w:t xml:space="preserve">that some indices are operating below their conventional thresholds,</w:t>
      </w:r>
      <w:r>
        <w:t xml:space="preserve"> </w:t>
      </w:r>
      <w:r>
        <w:t xml:space="preserve">which is a consequence of the empirical cutoffs derived from the</w:t>
      </w:r>
      <w:r>
        <w:t xml:space="preserve"> </w:t>
      </w:r>
      <w:r>
        <w:t xml:space="preserve">null distribution in this specific setting — not an indication that</w:t>
      </w:r>
      <w:r>
        <w:t xml:space="preserve"> </w:t>
      </w:r>
      <w:r>
        <w:t xml:space="preserve">model fit is poor.</w:t>
      </w:r>
    </w:p>
    <w:bookmarkEnd w:id="198"/>
    <w:bookmarkStart w:id="217" w:name="with-analytical-solutions"/>
    <w:p>
      <w:pPr>
        <w:pStyle w:val="Heading3"/>
      </w:pPr>
      <w:r>
        <w:t xml:space="preserve">6.2 With Analytical Solutions</w:t>
      </w:r>
    </w:p>
    <w:p>
      <w:pPr>
        <w:pStyle w:val="FirstParagraph"/>
      </w:pPr>
      <w:r>
        <w:t xml:space="preserve">Analytical post hoc power expresses the effect through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 RMSEA</w:t>
      </w:r>
      <w:r>
        <w:t xml:space="preserve"> </w:t>
      </w:r>
      <w:r>
        <w:t xml:space="preserve">and links it to the noncentrality-based framework of the likelihood-ratio</w:t>
      </w:r>
      <w:r>
        <w:t xml:space="preserve"> </w:t>
      </w:r>
      <w:r>
        <w:t xml:space="preserve">test. This is computationally immediate and free from Monte Carlo</w:t>
      </w:r>
      <w:r>
        <w:t xml:space="preserve"> </w:t>
      </w:r>
      <w:r>
        <w:t xml:space="preserve">sampling error, making it the preferred first-pass approach when the</w:t>
      </w:r>
      <w:r>
        <w:t xml:space="preserve"> </w:t>
      </w:r>
      <w:r>
        <w:t xml:space="preserve">asymptotic assumptions underlying the chi-square test are credible</w:t>
      </w:r>
      <w:r>
        <w:t xml:space="preserve"> </w:t>
      </w:r>
      <w:r>
        <w:t xml:space="preserve">(Jak et al., 2021; Moshagen &amp; Bader, 2024)</w:t>
      </w:r>
      <w:r>
        <w:t xml:space="preserve">. Three specifications are compared here,</w:t>
      </w:r>
      <w:r>
        <w:t xml:space="preserve"> </w:t>
      </w:r>
      <w:r>
        <w:t xml:space="preserve">illustrating a spectrum from the most generic to the most</w:t>
      </w:r>
      <w:r>
        <w:t xml:space="preserve"> </w:t>
      </w:r>
      <w:r>
        <w:t xml:space="preserve">substantively specific formulation.</w:t>
      </w:r>
    </w:p>
    <w:bookmarkStart w:id="204" w:name="model-free-specification"/>
    <w:p>
      <w:pPr>
        <w:pStyle w:val="Heading4"/>
      </w:pPr>
      <w:r>
        <w:t xml:space="preserve">6.2.1 Model-free specification</w:t>
      </w:r>
    </w:p>
    <w:p>
      <w:pPr>
        <w:pStyle w:val="FirstParagraph"/>
      </w:pPr>
      <w:r>
        <w:t xml:space="preserve">The first specification supplies</w:t>
      </w:r>
      <w:r>
        <w:t xml:space="preserve"> </w:t>
      </w:r>
      <m:oMath>
        <m:r>
          <m:rPr>
            <m:nor/>
            <m:sty m:val="p"/>
          </m:rPr>
          <m:t>RMSEA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treating misspecification as a generic level of global misfit per</w:t>
      </w:r>
      <w:r>
        <w:t xml:space="preserve"> </w:t>
      </w:r>
      <w:r>
        <w:t xml:space="preserve">degree of freedom. This makes the analysis comparable across SEM</w:t>
      </w:r>
      <w:r>
        <w:t xml:space="preserve"> </w:t>
      </w:r>
      <w:r>
        <w:t xml:space="preserve">families sharing the same</w:t>
      </w:r>
      <w:r>
        <w:t xml:space="preserve"> </w:t>
      </w:r>
      <m:oMath>
        <m:r>
          <m:t>d</m:t>
        </m:r>
        <m:r>
          <m:t>f</m:t>
        </m:r>
      </m:oMath>
      <w:r>
        <w:t xml:space="preserve">, but it abstracts away from the</w:t>
      </w:r>
      <w:r>
        <w:t xml:space="preserve"> </w:t>
      </w:r>
      <w:r>
        <w:t xml:space="preserve">particular covariance structure of the WHOQOL-BREF model</w:t>
      </w:r>
      <w:r>
        <w:t xml:space="preserve"> </w:t>
      </w:r>
      <w:r>
        <w:t xml:space="preserve">(Jak et al., 2021; MacCallum et al., 1996)</w:t>
      </w:r>
      <w:r>
        <w:t xml:space="preserve">.</w:t>
      </w:r>
    </w:p>
    <w:p>
      <w:pPr>
        <w:pStyle w:val="SourceCode"/>
      </w:pPr>
      <w:r>
        <w:br/>
      </w:r>
      <w:r>
        <w:rPr>
          <w:rStyle w:val="VerbatimChar"/>
        </w:rPr>
        <w:t xml:space="preserve"> semPower: Post hoc power analysis</w:t>
      </w:r>
      <w:r>
        <w:br/>
      </w:r>
      <w:r>
        <w:rPr>
          <w:rStyle w:val="VerbatimChar"/>
        </w:rPr>
        <w:t xml:space="preserve">                                      </w:t>
      </w:r>
      <w:r>
        <w:br/>
      </w:r>
      <w:r>
        <w:rPr>
          <w:rStyle w:val="VerbatimChar"/>
        </w:rPr>
        <w:t xml:space="preserve"> F0                       0.622500    </w:t>
      </w:r>
      <w:r>
        <w:br/>
      </w:r>
      <w:r>
        <w:rPr>
          <w:rStyle w:val="VerbatimChar"/>
        </w:rPr>
        <w:t xml:space="preserve"> RMSEA                    0.050000    </w:t>
      </w:r>
      <w:r>
        <w:br/>
      </w:r>
      <w:r>
        <w:rPr>
          <w:rStyle w:val="VerbatimChar"/>
        </w:rPr>
        <w:t xml:space="preserve"> Mc                       0.732531    </w:t>
      </w:r>
      <w:r>
        <w:br/>
      </w:r>
      <w:r>
        <w:rPr>
          <w:rStyle w:val="VerbatimChar"/>
        </w:rPr>
        <w:t xml:space="preserve"> GFI                      0.950683    </w:t>
      </w:r>
      <w:r>
        <w:br/>
      </w:r>
      <w:r>
        <w:rPr>
          <w:rStyle w:val="VerbatimChar"/>
        </w:rPr>
        <w:t xml:space="preserve"> AGFI                     0.940582    </w:t>
      </w:r>
      <w:r>
        <w:br/>
      </w:r>
      <w:r>
        <w:rPr>
          <w:rStyle w:val="VerbatimChar"/>
        </w:rPr>
        <w:t xml:space="preserve">                                      </w:t>
      </w:r>
      <w:r>
        <w:br/>
      </w:r>
      <w:r>
        <w:rPr>
          <w:rStyle w:val="VerbatimChar"/>
        </w:rPr>
        <w:t xml:space="preserve"> df                       249         </w:t>
      </w:r>
      <w:r>
        <w:br/>
      </w:r>
      <w:r>
        <w:rPr>
          <w:rStyle w:val="VerbatimChar"/>
        </w:rPr>
        <w:t xml:space="preserve"> Num Observations         1047        </w:t>
      </w:r>
      <w:r>
        <w:br/>
      </w:r>
      <w:r>
        <w:rPr>
          <w:rStyle w:val="VerbatimChar"/>
        </w:rPr>
        <w:t xml:space="preserve"> NCP                      651.1350    </w:t>
      </w:r>
      <w:r>
        <w:br/>
      </w:r>
      <w:r>
        <w:rPr>
          <w:rStyle w:val="VerbatimChar"/>
        </w:rPr>
        <w:t xml:space="preserve">                                      </w:t>
      </w:r>
      <w:r>
        <w:br/>
      </w:r>
      <w:r>
        <w:rPr>
          <w:rStyle w:val="VerbatimChar"/>
        </w:rPr>
        <w:t xml:space="preserve"> Critical Chi-Square      286.8077    </w:t>
      </w:r>
      <w:r>
        <w:br/>
      </w:r>
      <w:r>
        <w:rPr>
          <w:rStyle w:val="VerbatimChar"/>
        </w:rPr>
        <w:t xml:space="preserve"> Alpha                    0.050000    </w:t>
      </w:r>
      <w:r>
        <w:br/>
      </w:r>
      <w:r>
        <w:rPr>
          <w:rStyle w:val="VerbatimChar"/>
        </w:rPr>
        <w:t xml:space="preserve"> Beta                     4.771426e-48</w:t>
      </w:r>
      <w:r>
        <w:br/>
      </w:r>
      <w:r>
        <w:rPr>
          <w:rStyle w:val="VerbatimChar"/>
        </w:rPr>
        <w:t xml:space="preserve"> Power (1 - Beta)         &gt; 0.9999    </w:t>
      </w:r>
      <w:r>
        <w:br/>
      </w:r>
      <w:r>
        <w:rPr>
          <w:rStyle w:val="VerbatimChar"/>
        </w:rPr>
        <w:t xml:space="preserve"> Implied Alpha/Beta Ratio 1.047905e+46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fig-posthoc-rmsea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6_posthoc-fig-posthoc-rmsea-output-2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24: Post hoc power analysis for RMSEA = 0.05.</w:t>
            </w:r>
          </w:p>
          <w:bookmarkEnd w:id="202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03">
        <w:r>
          <w:rPr>
            <w:rStyle w:val="Hyperlink"/>
            <w:vertAlign w:val="subscript"/>
          </w:rPr>
          <w:t xml:space="preserve">Post Hoc Power Analysis</w:t>
        </w:r>
      </w:hyperlink>
    </w:p>
    <w:p>
      <w:pPr>
        <w:pStyle w:val="BodyText"/>
      </w:pPr>
      <w:r>
        <w:t xml:space="preserve">With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0.623,</w:t>
      </w:r>
      <w:r>
        <w:t xml:space="preserve"> </w:t>
      </w:r>
      <m:oMath>
        <m:r>
          <m:rPr>
            <m:nor/>
            <m:sty m:val="p"/>
          </m:rPr>
          <m:t>RMSEA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0.05,</w:t>
      </w:r>
      <w:r>
        <w:t xml:space="preserve"> </w:t>
      </w:r>
      <m:oMath>
        <m:r>
          <m:t>d</m:t>
        </m:r>
        <m:r>
          <m:t>f</m:t>
        </m:r>
      </m:oMath>
      <w:r>
        <w:t xml:space="preserve"> </w:t>
      </w:r>
      <w:r>
        <w:t xml:space="preserve">= 249,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= 1047, the noncentrality parameter reached</w:t>
      </w:r>
      <w:r>
        <w:t xml:space="preserve"> </w:t>
      </w:r>
      <m:oMath>
        <m:r>
          <m:rPr>
            <m:nor/>
            <m:sty m:val="p"/>
          </m:rPr>
          <m:t>NCP</m:t>
        </m:r>
      </m:oMath>
      <w:r>
        <w:t xml:space="preserve"> </w:t>
      </w:r>
      <w:r>
        <w:t xml:space="preserve">= 651.135, far exceeding the critical</w:t>
      </w:r>
      <w:r>
        <w:t xml:space="preserve"> </w:t>
      </w:r>
      <w:r>
        <w:t xml:space="preserve">value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nor/>
                <m:sty m:val="p"/>
              </m:rPr>
              <m:t>crit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= 286.808. Power</w:t>
      </w:r>
      <w:r>
        <w:t xml:space="preserve"> </w:t>
      </w:r>
      <w:r>
        <w:t xml:space="preserve">was effectively 1. The noncentral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curve lies far to the right of the critical value in the figure, and</w:t>
      </w:r>
      <w:r>
        <w:t xml:space="preserve"> </w:t>
      </w:r>
      <w:r>
        <w:t xml:space="preserve">the shaded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region is negligible</w:t>
      </w:r>
      <w:r>
        <w:t xml:space="preserve"> </w:t>
      </w:r>
      <w:r>
        <w:t xml:space="preserve">(Jobst et al., 2023; MacCallum et al., 1996)</w:t>
      </w:r>
      <w:r>
        <w:t xml:space="preserve">.</w:t>
      </w:r>
    </w:p>
    <w:bookmarkEnd w:id="204"/>
    <w:bookmarkStart w:id="210" w:name="model-based-specification-global-fit"/>
    <w:p>
      <w:pPr>
        <w:pStyle w:val="Heading4"/>
      </w:pPr>
      <w:r>
        <w:t xml:space="preserve">6.2.2 Model-based specification: global fit</w:t>
      </w:r>
    </w:p>
    <w:p>
      <w:pPr>
        <w:pStyle w:val="FirstParagraph"/>
      </w:pPr>
      <w:r>
        <w:t xml:space="preserve">The second specification derives the effect from the discrepancy</w:t>
      </w:r>
      <w:r>
        <w:t xml:space="preserve"> </w:t>
      </w:r>
      <w:r>
        <w:t xml:space="preserve">between</w:t>
      </w:r>
      <w:r>
        <w:t xml:space="preserve"> </w:t>
      </w:r>
      <w:r>
        <w:rPr>
          <w:rStyle w:val="VerbatimChar"/>
        </w:rPr>
        <w:t xml:space="preserve">popmodel</w:t>
      </w:r>
      <w:r>
        <w:t xml:space="preserve"> </w:t>
      </w:r>
      <w:r>
        <w:t xml:space="preserve">and the fitted analysis model, evaluating the null</w:t>
      </w:r>
      <w:r>
        <w:t xml:space="preserve"> </w:t>
      </w:r>
      <w:r>
        <w:t xml:space="preserve">model against the saturated model. This tests global fit rather than</w:t>
      </w:r>
      <w:r>
        <w:t xml:space="preserve"> </w:t>
      </w:r>
      <w:r>
        <w:t xml:space="preserve">an isolated restriction, so it is sensitive to any source of</w:t>
      </w:r>
      <w:r>
        <w:t xml:space="preserve"> </w:t>
      </w:r>
      <w:r>
        <w:t xml:space="preserve">misspecification in the analysis model, not only the cross-loadings</w:t>
      </w:r>
      <w:r>
        <w:t xml:space="preserve"> </w:t>
      </w:r>
      <w:r>
        <w:t xml:space="preserve">(Moshagen &amp; Bader, 2024; Wang, 2023)</w:t>
      </w:r>
      <w:r>
        <w:t xml:space="preserve">.</w:t>
      </w:r>
    </w:p>
    <w:p>
      <w:pPr>
        <w:pStyle w:val="SourceCode"/>
      </w:pPr>
      <w:r>
        <w:br/>
      </w:r>
      <w:r>
        <w:rPr>
          <w:rStyle w:val="VerbatimChar"/>
        </w:rPr>
        <w:t xml:space="preserve"> semPower: Post hoc power analysis</w:t>
      </w:r>
      <w:r>
        <w:br/>
      </w:r>
      <w:r>
        <w:rPr>
          <w:rStyle w:val="VerbatimChar"/>
        </w:rPr>
        <w:t xml:space="preserve">                                      </w:t>
      </w:r>
      <w:r>
        <w:br/>
      </w:r>
      <w:r>
        <w:rPr>
          <w:rStyle w:val="VerbatimChar"/>
        </w:rPr>
        <w:t xml:space="preserve"> F0                       0.303870    </w:t>
      </w:r>
      <w:r>
        <w:br/>
      </w:r>
      <w:r>
        <w:rPr>
          <w:rStyle w:val="VerbatimChar"/>
        </w:rPr>
        <w:t xml:space="preserve"> RMSEA                    0.034934    </w:t>
      </w:r>
      <w:r>
        <w:br/>
      </w:r>
      <w:r>
        <w:rPr>
          <w:rStyle w:val="VerbatimChar"/>
        </w:rPr>
        <w:t xml:space="preserve"> SRMR                     0.175600    </w:t>
      </w:r>
      <w:r>
        <w:br/>
      </w:r>
      <w:r>
        <w:rPr>
          <w:rStyle w:val="VerbatimChar"/>
        </w:rPr>
        <w:t xml:space="preserve"> Mc                       0.859044    </w:t>
      </w:r>
      <w:r>
        <w:br/>
      </w:r>
      <w:r>
        <w:rPr>
          <w:rStyle w:val="VerbatimChar"/>
        </w:rPr>
        <w:t xml:space="preserve"> GFI                      0.975303    </w:t>
      </w:r>
      <w:r>
        <w:br/>
      </w:r>
      <w:r>
        <w:rPr>
          <w:rStyle w:val="VerbatimChar"/>
        </w:rPr>
        <w:t xml:space="preserve"> AGFI                     0.970244    </w:t>
      </w:r>
      <w:r>
        <w:br/>
      </w:r>
      <w:r>
        <w:rPr>
          <w:rStyle w:val="VerbatimChar"/>
        </w:rPr>
        <w:t xml:space="preserve"> CFI                      0.977582    </w:t>
      </w:r>
      <w:r>
        <w:br/>
      </w:r>
      <w:r>
        <w:rPr>
          <w:rStyle w:val="VerbatimChar"/>
        </w:rPr>
        <w:t xml:space="preserve">                                      </w:t>
      </w:r>
      <w:r>
        <w:br/>
      </w:r>
      <w:r>
        <w:rPr>
          <w:rStyle w:val="VerbatimChar"/>
        </w:rPr>
        <w:t xml:space="preserve"> df                       249         </w:t>
      </w:r>
      <w:r>
        <w:br/>
      </w:r>
      <w:r>
        <w:rPr>
          <w:rStyle w:val="VerbatimChar"/>
        </w:rPr>
        <w:t xml:space="preserve"> Num Observations         1047        </w:t>
      </w:r>
      <w:r>
        <w:br/>
      </w:r>
      <w:r>
        <w:rPr>
          <w:rStyle w:val="VerbatimChar"/>
        </w:rPr>
        <w:t xml:space="preserve"> NCP                      317.8482    </w:t>
      </w:r>
      <w:r>
        <w:br/>
      </w:r>
      <w:r>
        <w:rPr>
          <w:rStyle w:val="VerbatimChar"/>
        </w:rPr>
        <w:t xml:space="preserve">                                      </w:t>
      </w:r>
      <w:r>
        <w:br/>
      </w:r>
      <w:r>
        <w:rPr>
          <w:rStyle w:val="VerbatimChar"/>
        </w:rPr>
        <w:t xml:space="preserve"> Critical Chi-Square      286.8077    </w:t>
      </w:r>
      <w:r>
        <w:br/>
      </w:r>
      <w:r>
        <w:rPr>
          <w:rStyle w:val="VerbatimChar"/>
        </w:rPr>
        <w:t xml:space="preserve"> Alpha                    0.050000    </w:t>
      </w:r>
      <w:r>
        <w:br/>
      </w:r>
      <w:r>
        <w:rPr>
          <w:rStyle w:val="VerbatimChar"/>
        </w:rPr>
        <w:t xml:space="preserve"> Beta                     6.740368e-16</w:t>
      </w:r>
      <w:r>
        <w:br/>
      </w:r>
      <w:r>
        <w:rPr>
          <w:rStyle w:val="VerbatimChar"/>
        </w:rPr>
        <w:t xml:space="preserve"> Power (1 - Beta)         &gt; 0.9999    </w:t>
      </w:r>
      <w:r>
        <w:br/>
      </w:r>
      <w:r>
        <w:rPr>
          <w:rStyle w:val="VerbatimChar"/>
        </w:rPr>
        <w:t xml:space="preserve"> Implied Alpha/Beta Ratio 7.417993e+13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8" w:name="fig-posthoc-realmodel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6_posthoc-fig-posthoc-realmodel-output-2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25: Post hoc power analysis for the real model.</w:t>
            </w:r>
          </w:p>
          <w:bookmarkEnd w:id="208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09">
        <w:r>
          <w:rPr>
            <w:rStyle w:val="Hyperlink"/>
            <w:vertAlign w:val="subscript"/>
          </w:rPr>
          <w:t xml:space="preserve">Post Hoc Power Analysis</w:t>
        </w:r>
      </w:hyperlink>
    </w:p>
    <w:p>
      <w:pPr>
        <w:pStyle w:val="BodyText"/>
      </w:pPr>
      <w:r>
        <w:t xml:space="preserve">With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0.304,</w:t>
      </w:r>
      <w:r>
        <w:t xml:space="preserve"> </w:t>
      </w:r>
      <m:oMath>
        <m:r>
          <m:rPr>
            <m:nor/>
            <m:sty m:val="p"/>
          </m:rPr>
          <m:t>RMSEA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0.035,</w:t>
      </w:r>
      <w:r>
        <w:t xml:space="preserve"> </w:t>
      </w:r>
      <m:oMath>
        <m:r>
          <m:t>d</m:t>
        </m:r>
        <m:r>
          <m:t>f</m:t>
        </m:r>
      </m:oMath>
      <w:r>
        <w:t xml:space="preserve"> </w:t>
      </w:r>
      <w:r>
        <w:t xml:space="preserve">= 249,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= 1047, the noncentrality reached</w:t>
      </w:r>
      <w:r>
        <w:t xml:space="preserve"> </w:t>
      </w:r>
      <m:oMath>
        <m:r>
          <m:rPr>
            <m:nor/>
            <m:sty m:val="p"/>
          </m:rPr>
          <m:t>NCP</m:t>
        </m:r>
      </m:oMath>
      <w:r>
        <w:t xml:space="preserve"> </w:t>
      </w:r>
      <w:r>
        <w:t xml:space="preserve">= 317.848 against a critical value</w:t>
      </w:r>
      <w:r>
        <w:t xml:space="preserve"> </w:t>
      </w:r>
      <w:r>
        <w:t xml:space="preserve">of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nor/>
                <m:sty m:val="p"/>
              </m:rPr>
              <m:t>crit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= 286.808. The</w:t>
      </w:r>
      <w:r>
        <w:t xml:space="preserve"> </w:t>
      </w:r>
      <w:r>
        <w:t xml:space="preserve">graphical result is similar to the model-free case — the noncentral</w:t>
      </w:r>
      <w:r>
        <w:t xml:space="preserve"> </w:t>
      </w:r>
      <w:r>
        <w:t xml:space="preserve">distribution lies predominantly to the right of the cutoff — though</w:t>
      </w:r>
      <w:r>
        <w:t xml:space="preserve"> </w:t>
      </w:r>
      <w:r>
        <w:t xml:space="preserve">with slightly less separation, reflecting the more substantively</w:t>
      </w:r>
      <w:r>
        <w:t xml:space="preserve"> </w:t>
      </w:r>
      <w:r>
        <w:t xml:space="preserve">grounded (and generally smaller) effect encoded in the population model.</w:t>
      </w:r>
    </w:p>
    <w:bookmarkEnd w:id="210"/>
    <w:bookmarkStart w:id="216" w:name="Xcd3982bf87cebf17dc0988fa02105062333bfa3"/>
    <w:p>
      <w:pPr>
        <w:pStyle w:val="Heading4"/>
      </w:pPr>
      <w:r>
        <w:t xml:space="preserve">6.2.3 Model-based specification: nested comparison</w:t>
      </w:r>
    </w:p>
    <w:p>
      <w:pPr>
        <w:pStyle w:val="FirstParagraph"/>
      </w:pPr>
      <w:r>
        <w:t xml:space="preserve">The third specification introduces</w:t>
      </w:r>
      <w:r>
        <w:t xml:space="preserve"> </w:t>
      </w:r>
      <w:r>
        <w:rPr>
          <w:rStyle w:val="VerbatimChar"/>
        </w:rPr>
        <w:t xml:space="preserve">h1modelfree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modelH1</w:t>
      </w:r>
      <w:r>
        <w:t xml:space="preserve">, turning</w:t>
      </w:r>
      <w:r>
        <w:t xml:space="preserve"> </w:t>
      </w:r>
      <w:r>
        <w:t xml:space="preserve">the analysis into a nested comparison between the analysis model and</w:t>
      </w:r>
      <w:r>
        <w:t xml:space="preserve"> </w:t>
      </w:r>
      <w:r>
        <w:t xml:space="preserve">a more permissive alternative that includes the theoretically</w:t>
      </w:r>
      <w:r>
        <w:t xml:space="preserve"> </w:t>
      </w:r>
      <w:r>
        <w:t xml:space="preserve">motivated cross-loadings. Power now refers to the probability of</w:t>
      </w:r>
      <w:r>
        <w:t xml:space="preserve"> </w:t>
      </w:r>
      <w:r>
        <w:t xml:space="preserve">detecting the additional constraints imposed by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relative to</w:t>
      </w:r>
      <w:r>
        <w:t xml:space="preserve"> </w:t>
      </w:r>
      <w:r>
        <w:t xml:space="preserve">this specific competitor — a more targeted and interpretable question</w:t>
      </w:r>
      <w:r>
        <w:t xml:space="preserve"> </w:t>
      </w:r>
      <w:r>
        <w:t xml:space="preserve">than the global test against the saturated model</w:t>
      </w:r>
      <w:r>
        <w:t xml:space="preserve"> </w:t>
      </w:r>
      <w:r>
        <w:t xml:space="preserve">(Jak et al., 2021; Jobst et al., 2023; Moshagen &amp; Bader, 2024)</w:t>
      </w:r>
      <w:r>
        <w:t xml:space="preserve">.</w:t>
      </w:r>
    </w:p>
    <w:p>
      <w:pPr>
        <w:pStyle w:val="SourceCode"/>
      </w:pPr>
      <w:r>
        <w:br/>
      </w:r>
      <w:r>
        <w:rPr>
          <w:rStyle w:val="VerbatimChar"/>
        </w:rPr>
        <w:t xml:space="preserve"> semPower: Post hoc power analysis</w:t>
      </w:r>
      <w:r>
        <w:br/>
      </w:r>
      <w:r>
        <w:rPr>
          <w:rStyle w:val="VerbatimChar"/>
        </w:rPr>
        <w:t xml:space="preserve">                                  </w:t>
      </w:r>
      <w:r>
        <w:br/>
      </w:r>
      <w:r>
        <w:rPr>
          <w:rStyle w:val="VerbatimChar"/>
        </w:rPr>
        <w:t xml:space="preserve"> F0                       0.009082</w:t>
      </w:r>
      <w:r>
        <w:br/>
      </w:r>
      <w:r>
        <w:rPr>
          <w:rStyle w:val="VerbatimChar"/>
        </w:rPr>
        <w:t xml:space="preserve"> RMSEA                    0.055021</w:t>
      </w:r>
      <w:r>
        <w:br/>
      </w:r>
      <w:r>
        <w:rPr>
          <w:rStyle w:val="VerbatimChar"/>
        </w:rPr>
        <w:t xml:space="preserve"> Mc                       0.995469</w:t>
      </w:r>
      <w:r>
        <w:br/>
      </w:r>
      <w:r>
        <w:rPr>
          <w:rStyle w:val="VerbatimChar"/>
        </w:rPr>
        <w:t xml:space="preserve">                                  </w:t>
      </w:r>
      <w:r>
        <w:br/>
      </w:r>
      <w:r>
        <w:rPr>
          <w:rStyle w:val="VerbatimChar"/>
        </w:rPr>
        <w:t xml:space="preserve"> df                       3       </w:t>
      </w:r>
      <w:r>
        <w:br/>
      </w:r>
      <w:r>
        <w:rPr>
          <w:rStyle w:val="VerbatimChar"/>
        </w:rPr>
        <w:t xml:space="preserve"> Num Observations         1047    </w:t>
      </w:r>
      <w:r>
        <w:br/>
      </w:r>
      <w:r>
        <w:rPr>
          <w:rStyle w:val="VerbatimChar"/>
        </w:rPr>
        <w:t xml:space="preserve"> NCP                      9.499715</w:t>
      </w:r>
      <w:r>
        <w:br/>
      </w:r>
      <w:r>
        <w:rPr>
          <w:rStyle w:val="VerbatimChar"/>
        </w:rPr>
        <w:t xml:space="preserve">                                  </w:t>
      </w:r>
      <w:r>
        <w:br/>
      </w:r>
      <w:r>
        <w:rPr>
          <w:rStyle w:val="VerbatimChar"/>
        </w:rPr>
        <w:t xml:space="preserve"> Critical Chi-Square      7.814728</w:t>
      </w:r>
      <w:r>
        <w:br/>
      </w:r>
      <w:r>
        <w:rPr>
          <w:rStyle w:val="VerbatimChar"/>
        </w:rPr>
        <w:t xml:space="preserve"> Alpha                    0.050000</w:t>
      </w:r>
      <w:r>
        <w:br/>
      </w:r>
      <w:r>
        <w:rPr>
          <w:rStyle w:val="VerbatimChar"/>
        </w:rPr>
        <w:t xml:space="preserve"> Beta                     0.262955</w:t>
      </w:r>
      <w:r>
        <w:br/>
      </w:r>
      <w:r>
        <w:rPr>
          <w:rStyle w:val="VerbatimChar"/>
        </w:rPr>
        <w:t xml:space="preserve"> Power (1 - Beta)         0.737045</w:t>
      </w:r>
      <w:r>
        <w:br/>
      </w:r>
      <w:r>
        <w:rPr>
          <w:rStyle w:val="VerbatimChar"/>
        </w:rPr>
        <w:t xml:space="preserve"> Implied Alpha/Beta Ratio 0.190147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4" w:name="fig-posthoc-misspec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21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6_posthoc-fig-posthoc-misspec-output-3.png" id="2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26: Post hoc power analysis for the misspecified model.</w:t>
            </w:r>
          </w:p>
          <w:bookmarkEnd w:id="21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15">
        <w:r>
          <w:rPr>
            <w:rStyle w:val="Hyperlink"/>
            <w:vertAlign w:val="subscript"/>
          </w:rPr>
          <w:t xml:space="preserve">Post Hoc Power Analysis</w:t>
        </w:r>
      </w:hyperlink>
    </w:p>
    <w:p>
      <w:pPr>
        <w:pStyle w:val="BodyText"/>
      </w:pPr>
      <w:r>
        <w:t xml:space="preserve">The result is considerably more modest. With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</w:t>
      </w:r>
      <w:r>
        <w:t xml:space="preserve"> </w:t>
      </w:r>
      <w:r>
        <w:t xml:space="preserve">0.009,</w:t>
      </w:r>
      <w:r>
        <w:t xml:space="preserve"> </w:t>
      </w:r>
      <m:oMath>
        <m:r>
          <m:rPr>
            <m:nor/>
            <m:sty m:val="p"/>
          </m:rPr>
          <m:t>RMSEA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0.055, and only</w:t>
      </w:r>
      <w:r>
        <w:t xml:space="preserve"> </w:t>
      </w:r>
      <m:oMath>
        <m:r>
          <m:t>d</m:t>
        </m:r>
        <m:r>
          <m:t>f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3, the noncentrality reached</w:t>
      </w:r>
      <w:r>
        <w:t xml:space="preserve"> </w:t>
      </w:r>
      <m:oMath>
        <m:r>
          <m:rPr>
            <m:nor/>
            <m:sty m:val="p"/>
          </m:rPr>
          <m:t>NCP</m:t>
        </m:r>
      </m:oMath>
      <w:r>
        <w:t xml:space="preserve"> </w:t>
      </w:r>
      <w:r>
        <w:t xml:space="preserve">= 9.5. The critical value</w:t>
      </w:r>
      <w:r>
        <w:t xml:space="preserve"> </w:t>
      </w:r>
      <w:r>
        <w:t xml:space="preserve">was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nor/>
                <m:sty m:val="p"/>
              </m:rPr>
              <m:t>crit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= 7.815,</w:t>
      </w:r>
      <w:r>
        <w:t xml:space="preserve"> </w:t>
      </w:r>
      <w:r>
        <w:t xml:space="preserve">and the two distributions overlapped substantially. As a result,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= 0.263 and power =</w:t>
      </w:r>
      <w:r>
        <w:t xml:space="preserve"> </w:t>
      </w:r>
      <w:r>
        <w:t xml:space="preserve">0.737, falling below the conventional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threshold. The noncentral curve is only moderately shifted to</w:t>
      </w:r>
      <w:r>
        <w:t xml:space="preserve"> </w:t>
      </w:r>
      <w:r>
        <w:t xml:space="preserve">the right of the cutoff in the figure, and the shaded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region is</w:t>
      </w:r>
      <w:r>
        <w:t xml:space="preserve"> </w:t>
      </w:r>
      <w:r>
        <w:t xml:space="preserve">visibly large — the empirical counterpart of the insufficient NCP.</w:t>
      </w:r>
    </w:p>
    <w:p>
      <w:pPr>
        <w:pStyle w:val="BodyText"/>
      </w:pPr>
      <w:r>
        <w:t xml:space="preserve">This contrast across the three specifications illustrates a fundamental</w:t>
      </w:r>
      <w:r>
        <w:t xml:space="preserve"> </w:t>
      </w:r>
      <w:r>
        <w:t xml:space="preserve">principle: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can simultaneously imply very high power for</w:t>
      </w:r>
      <w:r>
        <w:t xml:space="preserve"> </w:t>
      </w:r>
      <w:r>
        <w:t xml:space="preserve">a global test and inadequate power for a more localized nested</w:t>
      </w:r>
      <w:r>
        <w:t xml:space="preserve"> </w:t>
      </w:r>
      <w:r>
        <w:t xml:space="preserve">comparison, because power in SEM is always conditional on the specific</w:t>
      </w:r>
      <w:r>
        <w:t xml:space="preserve"> </w:t>
      </w:r>
      <w:r>
        <w:t xml:space="preserve">discrepancy being tested</w:t>
      </w:r>
      <w:r>
        <w:t xml:space="preserve"> </w:t>
      </w:r>
      <w:r>
        <w:t xml:space="preserve">(Jobst et al., 2023; Moshagen &amp; Bader, 2024)</w:t>
      </w:r>
      <w:r>
        <w:t xml:space="preserve">. Researchers</w:t>
      </w:r>
      <w:r>
        <w:t xml:space="preserve"> </w:t>
      </w:r>
      <w:r>
        <w:t xml:space="preserve">designing SEM studies should therefore match their power analysis</w:t>
      </w:r>
      <w:r>
        <w:t xml:space="preserve"> </w:t>
      </w:r>
      <w:r>
        <w:t xml:space="preserve">approach to their inferential target — and that choice is not merely</w:t>
      </w:r>
      <w:r>
        <w:t xml:space="preserve"> </w:t>
      </w:r>
      <w:r>
        <w:t xml:space="preserve">statistical, but substantive.</w:t>
      </w:r>
    </w:p>
    <w:bookmarkEnd w:id="216"/>
    <w:bookmarkEnd w:id="217"/>
    <w:bookmarkEnd w:id="218"/>
    <w:bookmarkStart w:id="259" w:name="references"/>
    <w:p>
      <w:pPr>
        <w:pStyle w:val="Heading2"/>
      </w:pPr>
      <w:r>
        <w:t xml:space="preserve">References</w:t>
      </w:r>
    </w:p>
    <w:bookmarkStart w:id="258" w:name="refs"/>
    <w:bookmarkStart w:id="220" w:name="ref-aguirre-urreta2024"/>
    <w:p>
      <w:pPr>
        <w:pStyle w:val="Bibliography"/>
      </w:pPr>
      <w:r>
        <w:t xml:space="preserve">Aguirre-Urreta, M. I., Rönkkö, M., &amp; McIntosh, C. N. (2024). Too</w:t>
      </w:r>
      <w:r>
        <w:t xml:space="preserve"> </w:t>
      </w:r>
      <w:r>
        <w:t xml:space="preserve">Small</w:t>
      </w:r>
      <w:r>
        <w:t xml:space="preserve"> </w:t>
      </w:r>
      <w:r>
        <w:t xml:space="preserve">to</w:t>
      </w:r>
      <w:r>
        <w:t xml:space="preserve"> </w:t>
      </w:r>
      <w:r>
        <w:t xml:space="preserve">Succeed</w:t>
      </w:r>
      <w:r>
        <w:t xml:space="preserve">:</w:t>
      </w:r>
      <w:r>
        <w:t xml:space="preserve"> </w:t>
      </w:r>
      <w:r>
        <w:t xml:space="preserve">Small Samples</w:t>
      </w:r>
      <w:r>
        <w:t xml:space="preserve"> </w:t>
      </w:r>
      <w:r>
        <w:t xml:space="preserve">and the p-</w:t>
      </w:r>
      <w:r>
        <w:t xml:space="preserve">Value Problem</w:t>
      </w:r>
      <w:r>
        <w:t xml:space="preserve">.</w:t>
      </w:r>
      <w:r>
        <w:t xml:space="preserve"> </w:t>
      </w:r>
      <w:r>
        <w:rPr>
          <w:i/>
          <w:iCs/>
        </w:rPr>
        <w:t xml:space="preserve">SIGMIS Database</w:t>
      </w:r>
      <w:r>
        <w:t xml:space="preserve">,</w:t>
      </w:r>
      <w:r>
        <w:t xml:space="preserve"> </w:t>
      </w:r>
      <w:r>
        <w:rPr>
          <w:i/>
          <w:iCs/>
        </w:rPr>
        <w:t xml:space="preserve">55</w:t>
      </w:r>
      <w:r>
        <w:t xml:space="preserve">(3), 12–49.</w:t>
      </w:r>
      <w:r>
        <w:t xml:space="preserve"> </w:t>
      </w:r>
      <w:hyperlink r:id="rId219">
        <w:r>
          <w:rPr>
            <w:rStyle w:val="Hyperlink"/>
          </w:rPr>
          <w:t xml:space="preserve">https://doi.org/10.1145/3685235.3685238</w:t>
        </w:r>
      </w:hyperlink>
    </w:p>
    <w:bookmarkEnd w:id="220"/>
    <w:bookmarkStart w:id="222" w:name="ref-buchberger2024"/>
    <w:p>
      <w:pPr>
        <w:pStyle w:val="Bibliography"/>
      </w:pPr>
      <w:r>
        <w:t xml:space="preserve">Buchberger, E. S., Ngo, C. T., Peikert, A., Brandmaier, A. M., &amp; Werkle-Bergner, M. (2024). Estimating statistical power for structural equation models in developmental cognitive science:</w:t>
      </w:r>
      <w:r>
        <w:t xml:space="preserve"> </w:t>
      </w:r>
      <w:r>
        <w:t xml:space="preserve">A</w:t>
      </w:r>
      <w:r>
        <w:t xml:space="preserve"> </w:t>
      </w:r>
      <w:r>
        <w:t xml:space="preserve">tutorial in</w:t>
      </w:r>
      <w:r>
        <w:t xml:space="preserve"> </w:t>
      </w:r>
      <w:r>
        <w:t xml:space="preserve">R</w:t>
      </w:r>
      <w:r>
        <w:t xml:space="preserve">.</w:t>
      </w:r>
      <w:r>
        <w:t xml:space="preserve"> </w:t>
      </w:r>
      <w:r>
        <w:rPr>
          <w:i/>
          <w:iCs/>
        </w:rPr>
        <w:t xml:space="preserve">Behavior Research Methods</w:t>
      </w:r>
      <w:r>
        <w:t xml:space="preserve">,</w:t>
      </w:r>
      <w:r>
        <w:t xml:space="preserve"> </w:t>
      </w:r>
      <w:r>
        <w:rPr>
          <w:i/>
          <w:iCs/>
        </w:rPr>
        <w:t xml:space="preserve">56</w:t>
      </w:r>
      <w:r>
        <w:t xml:space="preserve">(7), 1–18.</w:t>
      </w:r>
      <w:r>
        <w:t xml:space="preserve"> </w:t>
      </w:r>
      <w:hyperlink r:id="rId221">
        <w:r>
          <w:rPr>
            <w:rStyle w:val="Hyperlink"/>
          </w:rPr>
          <w:t xml:space="preserve">https://doi.org/10.3758/s13428-024-02396-2</w:t>
        </w:r>
      </w:hyperlink>
    </w:p>
    <w:bookmarkEnd w:id="222"/>
    <w:bookmarkStart w:id="223" w:name="ref-feng2023"/>
    <w:p>
      <w:pPr>
        <w:pStyle w:val="Bibliography"/>
      </w:pPr>
      <w:r>
        <w:t xml:space="preserve">Feng, Y., &amp; Hancock, G. R. (2023). Power</w:t>
      </w:r>
      <w:r>
        <w:t xml:space="preserve"> </w:t>
      </w:r>
      <w:r>
        <w:t xml:space="preserve">Analysis</w:t>
      </w:r>
      <w:r>
        <w:t xml:space="preserve"> </w:t>
      </w:r>
      <w:r>
        <w:t xml:space="preserve">within a</w:t>
      </w:r>
      <w:r>
        <w:t xml:space="preserve"> </w:t>
      </w:r>
      <w:r>
        <w:t xml:space="preserve">Structural Equation Modeling Framework</w:t>
      </w:r>
      <w:r>
        <w:t xml:space="preserve">. In R. H. Hoyle (Ed.),</w:t>
      </w:r>
      <w:r>
        <w:t xml:space="preserve"> </w:t>
      </w:r>
      <w:r>
        <w:rPr>
          <w:i/>
          <w:iCs/>
        </w:rPr>
        <w:t xml:space="preserve">Handbook of</w:t>
      </w:r>
      <w:r>
        <w:rPr>
          <w:i/>
          <w:iCs/>
        </w:rPr>
        <w:t xml:space="preserve"> </w:t>
      </w:r>
      <w:r>
        <w:rPr>
          <w:i/>
          <w:iCs/>
        </w:rPr>
        <w:t xml:space="preserve">Structural Equation Modeling</w:t>
      </w:r>
      <w:r>
        <w:t xml:space="preserve">. The Guilford Press.</w:t>
      </w:r>
    </w:p>
    <w:bookmarkEnd w:id="223"/>
    <w:bookmarkStart w:id="225" w:name="ref-irmer2024"/>
    <w:p>
      <w:pPr>
        <w:pStyle w:val="Bibliography"/>
      </w:pPr>
      <w:r>
        <w:t xml:space="preserve">Irmer, J. P., Klein, A. G., &amp; Schermelleh-Engel, K. (2024). Model-implied simulation-based power estimation for correctly specified and distributionally misspecified models: Applications to nonlinear and linear structural equation models.</w:t>
      </w:r>
      <w:r>
        <w:t xml:space="preserve"> </w:t>
      </w:r>
      <w:r>
        <w:rPr>
          <w:i/>
          <w:iCs/>
        </w:rPr>
        <w:t xml:space="preserve">Behavior Research Methods</w:t>
      </w:r>
      <w:r>
        <w:t xml:space="preserve">,</w:t>
      </w:r>
      <w:r>
        <w:t xml:space="preserve"> </w:t>
      </w:r>
      <w:r>
        <w:rPr>
          <w:i/>
          <w:iCs/>
        </w:rPr>
        <w:t xml:space="preserve">56</w:t>
      </w:r>
      <w:r>
        <w:t xml:space="preserve">(8), 8955–8991.</w:t>
      </w:r>
      <w:r>
        <w:t xml:space="preserve"> </w:t>
      </w:r>
      <w:hyperlink r:id="rId224">
        <w:r>
          <w:rPr>
            <w:rStyle w:val="Hyperlink"/>
          </w:rPr>
          <w:t xml:space="preserve">https://doi.org/10.3758/s13428-024-02507-z</w:t>
        </w:r>
      </w:hyperlink>
    </w:p>
    <w:bookmarkEnd w:id="225"/>
    <w:bookmarkStart w:id="227" w:name="ref-jak2021"/>
    <w:p>
      <w:pPr>
        <w:pStyle w:val="Bibliography"/>
      </w:pPr>
      <w:r>
        <w:t xml:space="preserve">Jak, S., Jorgensen, T. D., Verdam, M. G. E., Oort, F. J., &amp; Elffers, L. (2021). Analytical power calculations for structural equation modeling:</w:t>
      </w:r>
      <w:r>
        <w:t xml:space="preserve"> </w:t>
      </w:r>
      <w:r>
        <w:t xml:space="preserve">A</w:t>
      </w:r>
      <w:r>
        <w:t xml:space="preserve"> </w:t>
      </w:r>
      <w:r>
        <w:t xml:space="preserve">tutorial and</w:t>
      </w:r>
      <w:r>
        <w:t xml:space="preserve"> </w:t>
      </w:r>
      <w:r>
        <w:t xml:space="preserve">Shiny</w:t>
      </w:r>
      <w:r>
        <w:t xml:space="preserve"> </w:t>
      </w:r>
      <w:r>
        <w:t xml:space="preserve">app.</w:t>
      </w:r>
      <w:r>
        <w:t xml:space="preserve"> </w:t>
      </w:r>
      <w:r>
        <w:rPr>
          <w:i/>
          <w:iCs/>
        </w:rPr>
        <w:t xml:space="preserve">Behavior Research Mehods</w:t>
      </w:r>
      <w:r>
        <w:t xml:space="preserve">,</w:t>
      </w:r>
      <w:r>
        <w:t xml:space="preserve"> </w:t>
      </w:r>
      <w:r>
        <w:rPr>
          <w:i/>
          <w:iCs/>
        </w:rPr>
        <w:t xml:space="preserve">53</w:t>
      </w:r>
      <w:r>
        <w:t xml:space="preserve">, 1385–1406.</w:t>
      </w:r>
      <w:r>
        <w:t xml:space="preserve"> </w:t>
      </w:r>
      <w:hyperlink r:id="rId226">
        <w:r>
          <w:rPr>
            <w:rStyle w:val="Hyperlink"/>
          </w:rPr>
          <w:t xml:space="preserve">https://doi.org/10.3758/s13428-020-01479-0/Published</w:t>
        </w:r>
      </w:hyperlink>
    </w:p>
    <w:bookmarkEnd w:id="227"/>
    <w:bookmarkStart w:id="229" w:name="ref-jobst2023"/>
    <w:p>
      <w:pPr>
        <w:pStyle w:val="Bibliography"/>
      </w:pPr>
      <w:r>
        <w:t xml:space="preserve">Jobst, L. J., Bader, M., &amp; Moshagen, M. (2023). A tutorial on assessing statistical power and determining sample size for structural equation models.</w:t>
      </w:r>
      <w:r>
        <w:t xml:space="preserve"> </w:t>
      </w:r>
      <w:r>
        <w:rPr>
          <w:i/>
          <w:iCs/>
        </w:rPr>
        <w:t xml:space="preserve">Psychological Methods</w:t>
      </w:r>
      <w:r>
        <w:t xml:space="preserve">,</w:t>
      </w:r>
      <w:r>
        <w:t xml:space="preserve"> </w:t>
      </w:r>
      <w:r>
        <w:rPr>
          <w:i/>
          <w:iCs/>
        </w:rPr>
        <w:t xml:space="preserve">28</w:t>
      </w:r>
      <w:r>
        <w:t xml:space="preserve">(1), 207–221.</w:t>
      </w:r>
      <w:r>
        <w:t xml:space="preserve"> </w:t>
      </w:r>
      <w:hyperlink r:id="rId228">
        <w:r>
          <w:rPr>
            <w:rStyle w:val="Hyperlink"/>
          </w:rPr>
          <w:t xml:space="preserve">https://doi.org/10.1037/met0000423</w:t>
        </w:r>
      </w:hyperlink>
    </w:p>
    <w:bookmarkEnd w:id="229"/>
    <w:bookmarkStart w:id="231" w:name="ref-kyriazos2018"/>
    <w:p>
      <w:pPr>
        <w:pStyle w:val="Bibliography"/>
      </w:pPr>
      <w:r>
        <w:t xml:space="preserve">Kyriazos, T. A. (2018). Applied</w:t>
      </w:r>
      <w:r>
        <w:t xml:space="preserve"> </w:t>
      </w:r>
      <w:r>
        <w:t xml:space="preserve">Psychometrics</w:t>
      </w:r>
      <w:r>
        <w:t xml:space="preserve">:</w:t>
      </w:r>
      <w:r>
        <w:t xml:space="preserve"> </w:t>
      </w:r>
      <w:r>
        <w:t xml:space="preserve">Sample Size</w:t>
      </w:r>
      <w:r>
        <w:t xml:space="preserve"> </w:t>
      </w:r>
      <w:r>
        <w:t xml:space="preserve">and</w:t>
      </w:r>
      <w:r>
        <w:t xml:space="preserve"> </w:t>
      </w:r>
      <w:r>
        <w:t xml:space="preserve">Sample Power Considerations</w:t>
      </w:r>
      <w:r>
        <w:t xml:space="preserve"> </w:t>
      </w:r>
      <w:r>
        <w:t xml:space="preserve">in</w:t>
      </w:r>
      <w:r>
        <w:t xml:space="preserve"> </w:t>
      </w:r>
      <w:r>
        <w:t xml:space="preserve">Factor Analysis</w:t>
      </w:r>
      <w:r>
        <w:t xml:space="preserve"> </w:t>
      </w:r>
      <w:r>
        <w:t xml:space="preserve">(</w:t>
      </w:r>
      <w:r>
        <w:t xml:space="preserve">EFA</w:t>
      </w:r>
      <w:r>
        <w:t xml:space="preserve">,</w:t>
      </w:r>
      <w:r>
        <w:t xml:space="preserve"> </w:t>
      </w:r>
      <w:r>
        <w:t xml:space="preserve">CFA</w:t>
      </w:r>
      <w:r>
        <w:t xml:space="preserve">) and</w:t>
      </w:r>
      <w:r>
        <w:t xml:space="preserve"> </w:t>
      </w:r>
      <w:r>
        <w:t xml:space="preserve">SEM</w:t>
      </w:r>
      <w:r>
        <w:t xml:space="preserve"> </w:t>
      </w:r>
      <w:r>
        <w:t xml:space="preserve">in</w:t>
      </w:r>
      <w:r>
        <w:t xml:space="preserve"> </w:t>
      </w:r>
      <w:r>
        <w:t xml:space="preserve">General</w:t>
      </w:r>
      <w:r>
        <w:t xml:space="preserve">.</w:t>
      </w:r>
      <w:r>
        <w:t xml:space="preserve"> </w:t>
      </w:r>
      <w:r>
        <w:rPr>
          <w:i/>
          <w:iCs/>
        </w:rPr>
        <w:t xml:space="preserve">Psychology</w:t>
      </w:r>
      <w:r>
        <w:t xml:space="preserve">,</w:t>
      </w:r>
      <w:r>
        <w:t xml:space="preserve"> </w:t>
      </w:r>
      <w:r>
        <w:rPr>
          <w:i/>
          <w:iCs/>
        </w:rPr>
        <w:t xml:space="preserve">09</w:t>
      </w:r>
      <w:r>
        <w:t xml:space="preserve">(08), 2207–2230.</w:t>
      </w:r>
      <w:r>
        <w:t xml:space="preserve"> </w:t>
      </w:r>
      <w:hyperlink r:id="rId230">
        <w:r>
          <w:rPr>
            <w:rStyle w:val="Hyperlink"/>
          </w:rPr>
          <w:t xml:space="preserve">https://doi.org/10.4236/psych.2018.98126</w:t>
        </w:r>
      </w:hyperlink>
    </w:p>
    <w:bookmarkEnd w:id="231"/>
    <w:bookmarkStart w:id="233" w:name="ref-liang2024"/>
    <w:p>
      <w:pPr>
        <w:pStyle w:val="Bibliography"/>
      </w:pPr>
      <w:r>
        <w:t xml:space="preserve">Liang, A., &amp; Sterba, S. K. (2024). Power analysis to detect misfit in</w:t>
      </w:r>
      <w:r>
        <w:t xml:space="preserve"> </w:t>
      </w:r>
      <w:r>
        <w:t xml:space="preserve">SEMs</w:t>
      </w:r>
      <w:r>
        <w:t xml:space="preserve"> </w:t>
      </w:r>
      <w:r>
        <w:t xml:space="preserve">with many items: Resolving unrecognized problems, relating old and new approaches, and</w:t>
      </w:r>
      <w:r>
        <w:t xml:space="preserve"> </w:t>
      </w:r>
      <w:r>
        <w:t xml:space="preserve">“matching”</w:t>
      </w:r>
      <w:r>
        <w:t xml:space="preserve"> </w:t>
      </w:r>
      <w:r>
        <w:t xml:space="preserve">power analysis approach to data analysis approach.</w:t>
      </w:r>
      <w:r>
        <w:t xml:space="preserve"> </w:t>
      </w:r>
      <w:r>
        <w:rPr>
          <w:i/>
          <w:iCs/>
        </w:rPr>
        <w:t xml:space="preserve">Psychological Methods</w:t>
      </w:r>
      <w:r>
        <w:t xml:space="preserve">.</w:t>
      </w:r>
      <w:r>
        <w:t xml:space="preserve"> </w:t>
      </w:r>
      <w:hyperlink r:id="rId232">
        <w:r>
          <w:rPr>
            <w:rStyle w:val="Hyperlink"/>
          </w:rPr>
          <w:t xml:space="preserve">https://doi.org/10.1037/met0000684</w:t>
        </w:r>
      </w:hyperlink>
    </w:p>
    <w:bookmarkEnd w:id="233"/>
    <w:bookmarkStart w:id="235" w:name="ref-lin2022"/>
    <w:p>
      <w:pPr>
        <w:pStyle w:val="Bibliography"/>
      </w:pPr>
      <w:r>
        <w:t xml:space="preserve">Lin, L.-C., &amp; Yao, G. (2022). Validation of the factor structure of the</w:t>
      </w:r>
      <w:r>
        <w:t xml:space="preserve"> </w:t>
      </w:r>
      <w:r>
        <w:t xml:space="preserve">WHOQOL-BREF</w:t>
      </w:r>
      <w:r>
        <w:t xml:space="preserve"> </w:t>
      </w:r>
      <w:r>
        <w:t xml:space="preserve">using meta-analysis of exploratory factor analysis and social network analysis.</w:t>
      </w:r>
      <w:r>
        <w:t xml:space="preserve"> </w:t>
      </w:r>
      <w:r>
        <w:rPr>
          <w:i/>
          <w:iCs/>
        </w:rPr>
        <w:t xml:space="preserve">Psychological Assessment</w:t>
      </w:r>
      <w:r>
        <w:t xml:space="preserve">,</w:t>
      </w:r>
      <w:r>
        <w:t xml:space="preserve"> </w:t>
      </w:r>
      <w:r>
        <w:rPr>
          <w:i/>
          <w:iCs/>
        </w:rPr>
        <w:t xml:space="preserve">34</w:t>
      </w:r>
      <w:r>
        <w:t xml:space="preserve">(7), 660–670.</w:t>
      </w:r>
      <w:r>
        <w:t xml:space="preserve"> </w:t>
      </w:r>
      <w:hyperlink r:id="rId234">
        <w:r>
          <w:rPr>
            <w:rStyle w:val="Hyperlink"/>
          </w:rPr>
          <w:t xml:space="preserve">https://doi.org/10.1037/pas0001122</w:t>
        </w:r>
      </w:hyperlink>
    </w:p>
    <w:bookmarkEnd w:id="235"/>
    <w:bookmarkStart w:id="237" w:name="ref-maccallum1996"/>
    <w:p>
      <w:pPr>
        <w:pStyle w:val="Bibliography"/>
      </w:pPr>
      <w:r>
        <w:t xml:space="preserve">MacCallum, R. C., Browne, M. W., &amp; Sugawara, H. M. (1996). Power analysis and determination of sample size for covariance structure modeling.</w:t>
      </w:r>
      <w:r>
        <w:t xml:space="preserve"> </w:t>
      </w:r>
      <w:r>
        <w:rPr>
          <w:i/>
          <w:iCs/>
        </w:rPr>
        <w:t xml:space="preserve">Psychological Methods</w:t>
      </w:r>
      <w:r>
        <w:t xml:space="preserve">,</w:t>
      </w:r>
      <w:r>
        <w:t xml:space="preserve"> </w:t>
      </w:r>
      <w:r>
        <w:rPr>
          <w:i/>
          <w:iCs/>
        </w:rPr>
        <w:t xml:space="preserve">1</w:t>
      </w:r>
      <w:r>
        <w:t xml:space="preserve">(2), 130–149.</w:t>
      </w:r>
      <w:r>
        <w:t xml:space="preserve"> </w:t>
      </w:r>
      <w:hyperlink r:id="rId236">
        <w:r>
          <w:rPr>
            <w:rStyle w:val="Hyperlink"/>
          </w:rPr>
          <w:t xml:space="preserve">https://doi.org/10.1037/1082-989X.1.2.130</w:t>
        </w:r>
      </w:hyperlink>
    </w:p>
    <w:bookmarkEnd w:id="237"/>
    <w:bookmarkStart w:id="239" w:name="ref-mcneish2021"/>
    <w:p>
      <w:pPr>
        <w:pStyle w:val="Bibliography"/>
      </w:pPr>
      <w:r>
        <w:t xml:space="preserve">McNeish, D., &amp; Wolf, M. G. (2021). Dynamic fit index cutoffs for confirmatory factor analysis models.</w:t>
      </w:r>
      <w:r>
        <w:t xml:space="preserve"> </w:t>
      </w:r>
      <w:r>
        <w:rPr>
          <w:i/>
          <w:iCs/>
        </w:rPr>
        <w:t xml:space="preserve">Psychological Methods</w:t>
      </w:r>
      <w:r>
        <w:t xml:space="preserve">,</w:t>
      </w:r>
      <w:r>
        <w:t xml:space="preserve"> </w:t>
      </w:r>
      <w:r>
        <w:rPr>
          <w:i/>
          <w:iCs/>
        </w:rPr>
        <w:t xml:space="preserve">28</w:t>
      </w:r>
      <w:r>
        <w:t xml:space="preserve">(1), 61–88.</w:t>
      </w:r>
      <w:r>
        <w:t xml:space="preserve"> </w:t>
      </w:r>
      <w:hyperlink r:id="rId238">
        <w:r>
          <w:rPr>
            <w:rStyle w:val="Hyperlink"/>
          </w:rPr>
          <w:t xml:space="preserve">https://doi.org/10.1037/met0000425</w:t>
        </w:r>
      </w:hyperlink>
    </w:p>
    <w:bookmarkEnd w:id="239"/>
    <w:bookmarkStart w:id="241" w:name="ref-moshagen2024"/>
    <w:p>
      <w:pPr>
        <w:pStyle w:val="Bibliography"/>
      </w:pPr>
      <w:r>
        <w:t xml:space="preserve">Moshagen, M., &amp; Bader, M. (2024).</w:t>
      </w:r>
      <w:r>
        <w:t xml:space="preserve"> </w:t>
      </w:r>
      <w:r>
        <w:t xml:space="preserve">semPower</w:t>
      </w:r>
      <w:r>
        <w:t xml:space="preserve">:</w:t>
      </w:r>
      <w:r>
        <w:t xml:space="preserve"> </w:t>
      </w:r>
      <w:r>
        <w:t xml:space="preserve">General</w:t>
      </w:r>
      <w:r>
        <w:t xml:space="preserve"> </w:t>
      </w:r>
      <w:r>
        <w:t xml:space="preserve">power analysis for structural equation models.</w:t>
      </w:r>
      <w:r>
        <w:t xml:space="preserve"> </w:t>
      </w:r>
      <w:r>
        <w:rPr>
          <w:i/>
          <w:iCs/>
        </w:rPr>
        <w:t xml:space="preserve">Behavior Research Methods</w:t>
      </w:r>
      <w:r>
        <w:t xml:space="preserve">,</w:t>
      </w:r>
      <w:r>
        <w:t xml:space="preserve"> </w:t>
      </w:r>
      <w:r>
        <w:rPr>
          <w:i/>
          <w:iCs/>
        </w:rPr>
        <w:t xml:space="preserve">56</w:t>
      </w:r>
      <w:r>
        <w:t xml:space="preserve">(4), 2901–2922.</w:t>
      </w:r>
      <w:r>
        <w:t xml:space="preserve"> </w:t>
      </w:r>
      <w:hyperlink r:id="rId240">
        <w:r>
          <w:rPr>
            <w:rStyle w:val="Hyperlink"/>
          </w:rPr>
          <w:t xml:space="preserve">https://doi.org/10.3758/s13428-023-02254-7</w:t>
        </w:r>
      </w:hyperlink>
    </w:p>
    <w:bookmarkEnd w:id="241"/>
    <w:bookmarkStart w:id="243" w:name="ref-mosqueirataipe2026"/>
    <w:p>
      <w:pPr>
        <w:pStyle w:val="Bibliography"/>
      </w:pPr>
      <w:r>
        <w:t xml:space="preserve">Mosqueira Taipe, C. M., Amador Campos, J. A., Krieger, V., Miasso, A. I., Molina, N. P. F. M., &amp; dos Santos, P. L.</w:t>
      </w:r>
      <w:r>
        <w:t xml:space="preserve"> (2026). Systematic review of the factor structure of</w:t>
      </w:r>
      <w:r>
        <w:t xml:space="preserve"> </w:t>
      </w:r>
      <w:r>
        <w:t xml:space="preserve">WHOQOL-bref</w:t>
      </w:r>
      <w:r>
        <w:t xml:space="preserve"> </w:t>
      </w:r>
      <w:r>
        <w:t xml:space="preserve">in adult population.</w:t>
      </w:r>
      <w:r>
        <w:t xml:space="preserve"> </w:t>
      </w:r>
      <w:r>
        <w:rPr>
          <w:i/>
          <w:iCs/>
        </w:rPr>
        <w:t xml:space="preserve">Quality of Life Research</w:t>
      </w:r>
      <w:r>
        <w:t xml:space="preserve">,</w:t>
      </w:r>
      <w:r>
        <w:t xml:space="preserve"> </w:t>
      </w:r>
      <w:r>
        <w:rPr>
          <w:i/>
          <w:iCs/>
        </w:rPr>
        <w:t xml:space="preserve">35</w:t>
      </w:r>
      <w:r>
        <w:t xml:space="preserve">(17), 1–18.</w:t>
      </w:r>
      <w:r>
        <w:t xml:space="preserve"> </w:t>
      </w:r>
      <w:hyperlink r:id="rId242">
        <w:r>
          <w:rPr>
            <w:rStyle w:val="Hyperlink"/>
          </w:rPr>
          <w:t xml:space="preserve">https://doi.org/10.1007/s11136-025-04115-6</w:t>
        </w:r>
      </w:hyperlink>
    </w:p>
    <w:bookmarkEnd w:id="243"/>
    <w:bookmarkStart w:id="245" w:name="ref-muthen2002a"/>
    <w:p>
      <w:pPr>
        <w:pStyle w:val="Bibliography"/>
      </w:pPr>
      <w:r>
        <w:t xml:space="preserve">Muthén, L. K., &amp; Muthén, B. O. (2002). How to</w:t>
      </w:r>
      <w:r>
        <w:t xml:space="preserve"> </w:t>
      </w:r>
      <w:r>
        <w:t xml:space="preserve">Use</w:t>
      </w:r>
      <w:r>
        <w:t xml:space="preserve"> </w:t>
      </w:r>
      <w:r>
        <w:t xml:space="preserve">a</w:t>
      </w:r>
      <w:r>
        <w:t xml:space="preserve"> </w:t>
      </w:r>
      <w:r>
        <w:t xml:space="preserve">Monte Carlo Study</w:t>
      </w:r>
      <w:r>
        <w:t xml:space="preserve"> </w:t>
      </w:r>
      <w:r>
        <w:t xml:space="preserve">to</w:t>
      </w:r>
      <w:r>
        <w:t xml:space="preserve"> </w:t>
      </w:r>
      <w:r>
        <w:t xml:space="preserve">Decide</w:t>
      </w:r>
      <w:r>
        <w:t xml:space="preserve"> </w:t>
      </w:r>
      <w:r>
        <w:t xml:space="preserve">on</w:t>
      </w:r>
      <w:r>
        <w:t xml:space="preserve"> </w:t>
      </w:r>
      <w:r>
        <w:t xml:space="preserve">Sample Size</w:t>
      </w:r>
      <w:r>
        <w:t xml:space="preserve"> </w:t>
      </w:r>
      <w:r>
        <w:t xml:space="preserve">and</w:t>
      </w:r>
      <w:r>
        <w:t xml:space="preserve"> </w:t>
      </w:r>
      <w:r>
        <w:t xml:space="preserve">Determine Power</w:t>
      </w:r>
      <w:r>
        <w:t xml:space="preserve">.</w:t>
      </w:r>
      <w:r>
        <w:t xml:space="preserve"> </w:t>
      </w:r>
      <w:r>
        <w:rPr>
          <w:i/>
          <w:iCs/>
        </w:rPr>
        <w:t xml:space="preserve">Structural Equation Modeling: A Multidisciplinary Journal</w:t>
      </w:r>
      <w:r>
        <w:t xml:space="preserve">,</w:t>
      </w:r>
      <w:r>
        <w:t xml:space="preserve"> </w:t>
      </w:r>
      <w:r>
        <w:rPr>
          <w:i/>
          <w:iCs/>
        </w:rPr>
        <w:t xml:space="preserve">9</w:t>
      </w:r>
      <w:r>
        <w:t xml:space="preserve">(4), 599–620.</w:t>
      </w:r>
      <w:r>
        <w:t xml:space="preserve"> </w:t>
      </w:r>
      <w:hyperlink r:id="rId244">
        <w:r>
          <w:rPr>
            <w:rStyle w:val="Hyperlink"/>
          </w:rPr>
          <w:t xml:space="preserve">https://doi.org/10.1207/S15328007SEM0904_8</w:t>
        </w:r>
      </w:hyperlink>
    </w:p>
    <w:bookmarkEnd w:id="245"/>
    <w:bookmarkStart w:id="247" w:name="ref-simsem2021"/>
    <w:p>
      <w:pPr>
        <w:pStyle w:val="Bibliography"/>
      </w:pPr>
      <w:r>
        <w:t xml:space="preserve">Pornprasertmanit, S., Miller, P., Schoemann, A., &amp; Jorgensen, T. D. (2021).</w:t>
      </w:r>
      <w:r>
        <w:t xml:space="preserve"> </w:t>
      </w:r>
      <w:r>
        <w:rPr>
          <w:i/>
          <w:iCs/>
        </w:rPr>
        <w:t xml:space="preserve">Simsem:</w:t>
      </w:r>
      <w:r>
        <w:rPr>
          <w:i/>
          <w:iCs/>
        </w:rPr>
        <w:t xml:space="preserve"> </w:t>
      </w:r>
      <w:r>
        <w:rPr>
          <w:i/>
          <w:iCs/>
        </w:rPr>
        <w:t xml:space="preserve">SIMulated Structural Equation Modeling</w:t>
      </w:r>
      <w:r>
        <w:t xml:space="preserve">.</w:t>
      </w:r>
      <w:r>
        <w:t xml:space="preserve"> </w:t>
      </w:r>
      <w:hyperlink r:id="rId246">
        <w:r>
          <w:rPr>
            <w:rStyle w:val="Hyperlink"/>
          </w:rPr>
          <w:t xml:space="preserve">https://CRAN.R-project.org/package=simsem</w:t>
        </w:r>
      </w:hyperlink>
    </w:p>
    <w:bookmarkEnd w:id="247"/>
    <w:bookmarkStart w:id="249" w:name="ref-rogers2022"/>
    <w:p>
      <w:pPr>
        <w:pStyle w:val="Bibliography"/>
      </w:pPr>
      <w:r>
        <w:t xml:space="preserve">Rogers, P. (2022). Best</w:t>
      </w:r>
      <w:r>
        <w:t xml:space="preserve"> </w:t>
      </w:r>
      <w:r>
        <w:t xml:space="preserve">Practices</w:t>
      </w:r>
      <w:r>
        <w:t xml:space="preserve"> </w:t>
      </w:r>
      <w:r>
        <w:t xml:space="preserve">for</w:t>
      </w:r>
      <w:r>
        <w:t xml:space="preserve"> </w:t>
      </w:r>
      <w:r>
        <w:t xml:space="preserve">Your Exploratory Factor Analysis</w:t>
      </w:r>
      <w:r>
        <w:t xml:space="preserve">:</w:t>
      </w:r>
      <w:r>
        <w:t xml:space="preserve"> </w:t>
      </w:r>
      <w:r>
        <w:t xml:space="preserve">A Factor Tutorial</w:t>
      </w:r>
      <w:r>
        <w:t xml:space="preserve">.</w:t>
      </w:r>
      <w:r>
        <w:t xml:space="preserve"> </w:t>
      </w:r>
      <w:r>
        <w:rPr>
          <w:i/>
          <w:iCs/>
        </w:rPr>
        <w:t xml:space="preserve">Revista de Administração Contemporânea</w:t>
      </w:r>
      <w:r>
        <w:t xml:space="preserve">,</w:t>
      </w:r>
      <w:r>
        <w:t xml:space="preserve"> </w:t>
      </w:r>
      <w:r>
        <w:rPr>
          <w:i/>
          <w:iCs/>
        </w:rPr>
        <w:t xml:space="preserve">26</w:t>
      </w:r>
      <w:r>
        <w:t xml:space="preserve">(6).</w:t>
      </w:r>
      <w:r>
        <w:t xml:space="preserve"> </w:t>
      </w:r>
      <w:hyperlink r:id="rId248">
        <w:r>
          <w:rPr>
            <w:rStyle w:val="Hyperlink"/>
          </w:rPr>
          <w:t xml:space="preserve">https://doi.org/10.1590/1982-7849rac2022210085.en</w:t>
        </w:r>
      </w:hyperlink>
    </w:p>
    <w:bookmarkEnd w:id="249"/>
    <w:bookmarkStart w:id="251" w:name="ref-schoemann2014"/>
    <w:p>
      <w:pPr>
        <w:pStyle w:val="Bibliography"/>
      </w:pPr>
      <w:r>
        <w:t xml:space="preserve">Schoemann, A. M., Miller, P., Pornprasertmanit, S., &amp; Wu, W. (2014). Using</w:t>
      </w:r>
      <w:r>
        <w:t xml:space="preserve"> </w:t>
      </w:r>
      <w:r>
        <w:t xml:space="preserve">Monte Carlo</w:t>
      </w:r>
      <w:r>
        <w:t xml:space="preserve"> </w:t>
      </w:r>
      <w:r>
        <w:t xml:space="preserve">simulations to determine power and sample size for planned missing designs.</w:t>
      </w:r>
      <w:r>
        <w:t xml:space="preserve"> </w:t>
      </w:r>
      <w:r>
        <w:rPr>
          <w:i/>
          <w:iCs/>
        </w:rPr>
        <w:t xml:space="preserve">International Journal of Behavioral Development</w:t>
      </w:r>
      <w:r>
        <w:t xml:space="preserve">,</w:t>
      </w:r>
      <w:r>
        <w:t xml:space="preserve"> </w:t>
      </w:r>
      <w:r>
        <w:rPr>
          <w:i/>
          <w:iCs/>
        </w:rPr>
        <w:t xml:space="preserve">38</w:t>
      </w:r>
      <w:r>
        <w:t xml:space="preserve">(5), 471–479.</w:t>
      </w:r>
      <w:r>
        <w:t xml:space="preserve"> </w:t>
      </w:r>
      <w:hyperlink r:id="rId250">
        <w:r>
          <w:rPr>
            <w:rStyle w:val="Hyperlink"/>
          </w:rPr>
          <w:t xml:space="preserve">https://doi.org/10.1177/0165025413515169</w:t>
        </w:r>
      </w:hyperlink>
    </w:p>
    <w:bookmarkEnd w:id="251"/>
    <w:bookmarkStart w:id="253" w:name="ref-wang2023"/>
    <w:p>
      <w:pPr>
        <w:pStyle w:val="Bibliography"/>
      </w:pPr>
      <w:r>
        <w:t xml:space="preserve">Wang, Y. A. (2023).</w:t>
      </w:r>
      <w:r>
        <w:t xml:space="preserve"> </w:t>
      </w:r>
      <w:r>
        <w:rPr>
          <w:i/>
          <w:iCs/>
        </w:rPr>
        <w:t xml:space="preserve">How to</w:t>
      </w:r>
      <w:r>
        <w:rPr>
          <w:i/>
          <w:iCs/>
        </w:rPr>
        <w:t xml:space="preserve"> </w:t>
      </w:r>
      <w:r>
        <w:rPr>
          <w:i/>
          <w:iCs/>
        </w:rPr>
        <w:t xml:space="preserve">Conduct Power Analysis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Structural Equation Models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i/>
          <w:iCs/>
        </w:rPr>
        <w:t xml:space="preserve">A Practical Primer</w:t>
      </w:r>
      <w:r>
        <w:t xml:space="preserve"> </w:t>
      </w:r>
      <w:r>
        <w:t xml:space="preserve">[Preprint]. PsyArXiv.</w:t>
      </w:r>
      <w:r>
        <w:t xml:space="preserve"> </w:t>
      </w:r>
      <w:hyperlink r:id="rId252">
        <w:r>
          <w:rPr>
            <w:rStyle w:val="Hyperlink"/>
          </w:rPr>
          <w:t xml:space="preserve">https://doi.org/10.31234/osf.io/4n3uk</w:t>
        </w:r>
      </w:hyperlink>
    </w:p>
    <w:bookmarkEnd w:id="253"/>
    <w:bookmarkStart w:id="255" w:name="ref-wang2021"/>
    <w:p>
      <w:pPr>
        <w:pStyle w:val="Bibliography"/>
      </w:pPr>
      <w:r>
        <w:t xml:space="preserve">Wang, Y. A., &amp; Rhemtulla, M. (2021). Power</w:t>
      </w:r>
      <w:r>
        <w:t xml:space="preserve"> </w:t>
      </w:r>
      <w:r>
        <w:t xml:space="preserve">Analysis</w:t>
      </w:r>
      <w:r>
        <w:t xml:space="preserve"> </w:t>
      </w:r>
      <w:r>
        <w:t xml:space="preserve">for</w:t>
      </w:r>
      <w:r>
        <w:t xml:space="preserve"> </w:t>
      </w:r>
      <w:r>
        <w:t xml:space="preserve">Parameter Estimation</w:t>
      </w:r>
      <w:r>
        <w:t xml:space="preserve"> </w:t>
      </w:r>
      <w:r>
        <w:t xml:space="preserve">in</w:t>
      </w:r>
      <w:r>
        <w:t xml:space="preserve"> </w:t>
      </w:r>
      <w:r>
        <w:t xml:space="preserve">Structural Equation Modeling</w:t>
      </w:r>
      <w:r>
        <w:t xml:space="preserve">:</w:t>
      </w:r>
      <w:r>
        <w:t xml:space="preserve"> </w:t>
      </w:r>
      <w:r>
        <w:t xml:space="preserve">A Discussion</w:t>
      </w:r>
      <w:r>
        <w:t xml:space="preserve"> </w:t>
      </w:r>
      <w:r>
        <w:t xml:space="preserve">and</w:t>
      </w:r>
      <w:r>
        <w:t xml:space="preserve"> </w:t>
      </w:r>
      <w:r>
        <w:t xml:space="preserve">Tutorial</w:t>
      </w:r>
      <w:r>
        <w:t xml:space="preserve">.</w:t>
      </w:r>
      <w:r>
        <w:t xml:space="preserve"> </w:t>
      </w:r>
      <w:r>
        <w:rPr>
          <w:i/>
          <w:iCs/>
        </w:rPr>
        <w:t xml:space="preserve">Advances in Methods and Practices in Psychological Science</w:t>
      </w:r>
      <w:r>
        <w:t xml:space="preserve">,</w:t>
      </w:r>
      <w:r>
        <w:t xml:space="preserve"> </w:t>
      </w:r>
      <w:r>
        <w:rPr>
          <w:i/>
          <w:iCs/>
        </w:rPr>
        <w:t xml:space="preserve">4</w:t>
      </w:r>
      <w:r>
        <w:t xml:space="preserve">(1), 1–17.</w:t>
      </w:r>
      <w:r>
        <w:t xml:space="preserve"> </w:t>
      </w:r>
      <w:hyperlink r:id="rId254">
        <w:r>
          <w:rPr>
            <w:rStyle w:val="Hyperlink"/>
          </w:rPr>
          <w:t xml:space="preserve">https://doi.org/10.1177/2515245920918253</w:t>
        </w:r>
      </w:hyperlink>
    </w:p>
    <w:bookmarkEnd w:id="255"/>
    <w:bookmarkStart w:id="257" w:name="ref-wolf2013"/>
    <w:p>
      <w:pPr>
        <w:pStyle w:val="Bibliography"/>
      </w:pPr>
      <w:r>
        <w:t xml:space="preserve">Wolf, E. J., Harrington, K. M., Clark, S. L., &amp; Miller, M. W. (2013). Sample</w:t>
      </w:r>
      <w:r>
        <w:t xml:space="preserve"> </w:t>
      </w:r>
      <w:r>
        <w:t xml:space="preserve">Size Requirements</w:t>
      </w:r>
      <w:r>
        <w:t xml:space="preserve"> </w:t>
      </w:r>
      <w:r>
        <w:t xml:space="preserve">for</w:t>
      </w:r>
      <w:r>
        <w:t xml:space="preserve"> </w:t>
      </w:r>
      <w:r>
        <w:t xml:space="preserve">Structural Equation Models</w:t>
      </w:r>
      <w:r>
        <w:t xml:space="preserve">:</w:t>
      </w:r>
      <w:r>
        <w:t xml:space="preserve"> </w:t>
      </w:r>
      <w:r>
        <w:t xml:space="preserve">An Evaluation</w:t>
      </w:r>
      <w:r>
        <w:t xml:space="preserve"> </w:t>
      </w:r>
      <w:r>
        <w:t xml:space="preserve">of</w:t>
      </w:r>
      <w:r>
        <w:t xml:space="preserve"> </w:t>
      </w:r>
      <w:r>
        <w:t xml:space="preserve">Power</w:t>
      </w:r>
      <w:r>
        <w:t xml:space="preserve">,</w:t>
      </w:r>
      <w:r>
        <w:t xml:space="preserve"> </w:t>
      </w:r>
      <w:r>
        <w:t xml:space="preserve">Bias</w:t>
      </w:r>
      <w:r>
        <w:t xml:space="preserve">, and</w:t>
      </w:r>
      <w:r>
        <w:t xml:space="preserve"> </w:t>
      </w:r>
      <w:r>
        <w:t xml:space="preserve">Solution Propriety</w:t>
      </w:r>
      <w:r>
        <w:t xml:space="preserve">.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</w:t>
      </w:r>
      <w:r>
        <w:t xml:space="preserve"> </w:t>
      </w:r>
      <w:r>
        <w:rPr>
          <w:i/>
          <w:iCs/>
        </w:rPr>
        <w:t xml:space="preserve">76</w:t>
      </w:r>
      <w:r>
        <w:t xml:space="preserve">(6), 913–934.</w:t>
      </w:r>
      <w:r>
        <w:t xml:space="preserve"> </w:t>
      </w:r>
      <w:hyperlink r:id="rId256">
        <w:r>
          <w:rPr>
            <w:rStyle w:val="Hyperlink"/>
          </w:rPr>
          <w:t xml:space="preserve">https://doi.org/10.1177/0013164413495237</w:t>
        </w:r>
      </w:hyperlink>
    </w:p>
    <w:bookmarkEnd w:id="257"/>
    <w:bookmarkEnd w:id="258"/>
    <w:bookmarkEnd w:id="2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4" Target="media/rId84.png" /><Relationship Type="http://schemas.openxmlformats.org/officeDocument/2006/relationships/image" Id="rId9" Target="media/rId9.png" /><Relationship Type="http://schemas.openxmlformats.org/officeDocument/2006/relationships/image" Id="rId47" Target="media/rId47.png" /><Relationship Type="http://schemas.openxmlformats.org/officeDocument/2006/relationships/image" Id="rId35" Target="media/rId35.png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14" Target="media/rId14.png" /><Relationship Type="http://schemas.openxmlformats.org/officeDocument/2006/relationships/image" Id="rId62" Target="media/rId62.png" /><Relationship Type="http://schemas.openxmlformats.org/officeDocument/2006/relationships/image" Id="rId56" Target="media/rId56.png" /><Relationship Type="http://schemas.openxmlformats.org/officeDocument/2006/relationships/image" Id="rId75" Target="media/rId75.png" /><Relationship Type="http://schemas.openxmlformats.org/officeDocument/2006/relationships/image" Id="rId69" Target="media/rId69.png" /><Relationship Type="http://schemas.openxmlformats.org/officeDocument/2006/relationships/image" Id="rId94" Target="media/rId94.png" /><Relationship Type="http://schemas.openxmlformats.org/officeDocument/2006/relationships/image" Id="rId127" Target="media/rId127.png" /><Relationship Type="http://schemas.openxmlformats.org/officeDocument/2006/relationships/image" Id="rId140" Target="media/rId140.png" /><Relationship Type="http://schemas.openxmlformats.org/officeDocument/2006/relationships/image" Id="rId102" Target="media/rId102.png" /><Relationship Type="http://schemas.openxmlformats.org/officeDocument/2006/relationships/image" Id="rId89" Target="media/rId89.png" /><Relationship Type="http://schemas.openxmlformats.org/officeDocument/2006/relationships/image" Id="rId122" Target="media/rId122.png" /><Relationship Type="http://schemas.openxmlformats.org/officeDocument/2006/relationships/image" Id="rId135" Target="media/rId135.png" /><Relationship Type="http://schemas.openxmlformats.org/officeDocument/2006/relationships/image" Id="rId155" Target="media/rId155.png" /><Relationship Type="http://schemas.openxmlformats.org/officeDocument/2006/relationships/image" Id="rId168" Target="media/rId168.png" /><Relationship Type="http://schemas.openxmlformats.org/officeDocument/2006/relationships/image" Id="rId150" Target="media/rId150.png" /><Relationship Type="http://schemas.openxmlformats.org/officeDocument/2006/relationships/image" Id="rId163" Target="media/rId163.png" /><Relationship Type="http://schemas.openxmlformats.org/officeDocument/2006/relationships/image" Id="rId183" Target="media/rId183.png" /><Relationship Type="http://schemas.openxmlformats.org/officeDocument/2006/relationships/image" Id="rId176" Target="media/rId176.png" /><Relationship Type="http://schemas.openxmlformats.org/officeDocument/2006/relationships/image" Id="rId211" Target="media/rId211.png" /><Relationship Type="http://schemas.openxmlformats.org/officeDocument/2006/relationships/image" Id="rId193" Target="media/rId193.png" /><Relationship Type="http://schemas.openxmlformats.org/officeDocument/2006/relationships/image" Id="rId205" Target="media/rId205.png" /><Relationship Type="http://schemas.openxmlformats.org/officeDocument/2006/relationships/image" Id="rId199" Target="media/rId199.png" /><Relationship Type="http://schemas.openxmlformats.org/officeDocument/2006/relationships/hyperlink" Id="rId246" Target="https://CRAN.R-project.org/package=simsem" TargetMode="External" /><Relationship Type="http://schemas.openxmlformats.org/officeDocument/2006/relationships/hyperlink" Id="rId242" Target="https://doi.org/10.1007/s11136-025-04115-6" TargetMode="External" /><Relationship Type="http://schemas.openxmlformats.org/officeDocument/2006/relationships/hyperlink" Id="rId236" Target="https://doi.org/10.1037/1082-989X.1.2.130" TargetMode="External" /><Relationship Type="http://schemas.openxmlformats.org/officeDocument/2006/relationships/hyperlink" Id="rId228" Target="https://doi.org/10.1037/met0000423" TargetMode="External" /><Relationship Type="http://schemas.openxmlformats.org/officeDocument/2006/relationships/hyperlink" Id="rId238" Target="https://doi.org/10.1037/met0000425" TargetMode="External" /><Relationship Type="http://schemas.openxmlformats.org/officeDocument/2006/relationships/hyperlink" Id="rId232" Target="https://doi.org/10.1037/met0000684" TargetMode="External" /><Relationship Type="http://schemas.openxmlformats.org/officeDocument/2006/relationships/hyperlink" Id="rId234" Target="https://doi.org/10.1037/pas0001122" TargetMode="External" /><Relationship Type="http://schemas.openxmlformats.org/officeDocument/2006/relationships/hyperlink" Id="rId219" Target="https://doi.org/10.1145/3685235.3685238" TargetMode="External" /><Relationship Type="http://schemas.openxmlformats.org/officeDocument/2006/relationships/hyperlink" Id="rId256" Target="https://doi.org/10.1177/0013164413495237" TargetMode="External" /><Relationship Type="http://schemas.openxmlformats.org/officeDocument/2006/relationships/hyperlink" Id="rId250" Target="https://doi.org/10.1177/0165025413515169" TargetMode="External" /><Relationship Type="http://schemas.openxmlformats.org/officeDocument/2006/relationships/hyperlink" Id="rId254" Target="https://doi.org/10.1177/2515245920918253" TargetMode="External" /><Relationship Type="http://schemas.openxmlformats.org/officeDocument/2006/relationships/hyperlink" Id="rId244" Target="https://doi.org/10.1207/S15328007SEM0904_8" TargetMode="External" /><Relationship Type="http://schemas.openxmlformats.org/officeDocument/2006/relationships/hyperlink" Id="rId248" Target="https://doi.org/10.1590/1982-7849rac2022210085.en" TargetMode="External" /><Relationship Type="http://schemas.openxmlformats.org/officeDocument/2006/relationships/hyperlink" Id="rId252" Target="https://doi.org/10.31234/osf.io/4n3uk" TargetMode="External" /><Relationship Type="http://schemas.openxmlformats.org/officeDocument/2006/relationships/hyperlink" Id="rId226" Target="https://doi.org/10.3758/s13428-020-01479-0/Published" TargetMode="External" /><Relationship Type="http://schemas.openxmlformats.org/officeDocument/2006/relationships/hyperlink" Id="rId240" Target="https://doi.org/10.3758/s13428-023-02254-7" TargetMode="External" /><Relationship Type="http://schemas.openxmlformats.org/officeDocument/2006/relationships/hyperlink" Id="rId221" Target="https://doi.org/10.3758/s13428-024-02396-2" TargetMode="External" /><Relationship Type="http://schemas.openxmlformats.org/officeDocument/2006/relationships/hyperlink" Id="rId224" Target="https://doi.org/10.3758/s13428-024-02507-z" TargetMode="External" /><Relationship Type="http://schemas.openxmlformats.org/officeDocument/2006/relationships/hyperlink" Id="rId230" Target="https://doi.org/10.4236/psych.2018.98126" TargetMode="External" /><Relationship Type="http://schemas.openxmlformats.org/officeDocument/2006/relationships/hyperlink" Id="rId34" Target="https://phdpablo.github.io/cfa-power/Scripts\AnalysisScripts\01_population_models-preview.html#cell-H1-model" TargetMode="External" /><Relationship Type="http://schemas.openxmlformats.org/officeDocument/2006/relationships/hyperlink" Id="rId46" Target="https://phdpablo.github.io/cfa-power/Scripts\AnalysisScripts\01_population_models-preview.html#cell-analysis-model" TargetMode="External" /><Relationship Type="http://schemas.openxmlformats.org/officeDocument/2006/relationships/hyperlink" Id="rId51" Target="https://phdpablo.github.io/cfa-power/Scripts\AnalysisScripts\01_population_models-preview.html#cell-fig-diagram-analyzemodel" TargetMode="External" /><Relationship Type="http://schemas.openxmlformats.org/officeDocument/2006/relationships/hyperlink" Id="rId39" Target="https://phdpablo.github.io/cfa-power/Scripts\AnalysisScripts\01_population_models-preview.html#cell-fig-diagram-h1model" TargetMode="External" /><Relationship Type="http://schemas.openxmlformats.org/officeDocument/2006/relationships/hyperlink" Id="rId25" Target="https://phdpablo.github.io/cfa-power/Scripts\AnalysisScripts\01_population_models-preview.html#cell-fig-diagram-naivemodel" TargetMode="External" /><Relationship Type="http://schemas.openxmlformats.org/officeDocument/2006/relationships/hyperlink" Id="rId32" Target="https://phdpablo.github.io/cfa-power/Scripts\AnalysisScripts\01_population_models-preview.html#cell-fig-diagram-optmodel" TargetMode="External" /><Relationship Type="http://schemas.openxmlformats.org/officeDocument/2006/relationships/hyperlink" Id="rId18" Target="https://phdpablo.github.io/cfa-power/Scripts\AnalysisScripts\01_population_models-preview.html#cell-fig-diagram-popmodel" TargetMode="External" /><Relationship Type="http://schemas.openxmlformats.org/officeDocument/2006/relationships/hyperlink" Id="rId20" Target="https://phdpablo.github.io/cfa-power/Scripts\AnalysisScripts\01_population_models-preview.html#cell-naive-model" TargetMode="External" /><Relationship Type="http://schemas.openxmlformats.org/officeDocument/2006/relationships/hyperlink" Id="rId27" Target="https://phdpablo.github.io/cfa-power/Scripts\AnalysisScripts\01_population_models-preview.html#cell-opt-model" TargetMode="External" /><Relationship Type="http://schemas.openxmlformats.org/officeDocument/2006/relationships/hyperlink" Id="rId13" Target="https://phdpablo.github.io/cfa-power/Scripts\AnalysisScripts\01_population_models-preview.html#cell-pop-model" TargetMode="External" /><Relationship Type="http://schemas.openxmlformats.org/officeDocument/2006/relationships/hyperlink" Id="rId44" Target="https://phdpablo.github.io/cfa-power/Scripts\AnalysisScripts\01_population_models-preview.html#cell-tbl-pop-comparison" TargetMode="External" /><Relationship Type="http://schemas.openxmlformats.org/officeDocument/2006/relationships/hyperlink" Id="rId42" Target="https://phdpablo.github.io/cfa-power/Scripts\AnalysisScripts\01_population_models-preview.html#cell-tbl-pop-summary" TargetMode="External" /><Relationship Type="http://schemas.openxmlformats.org/officeDocument/2006/relationships/hyperlink" Id="rId54" Target="https://phdpablo.github.io/cfa-power/Scripts\AnalysisScripts\02_analytical_power-preview.html#cell-compute-df" TargetMode="External" /><Relationship Type="http://schemas.openxmlformats.org/officeDocument/2006/relationships/hyperlink" Id="rId66" Target="https://phdpablo.github.io/cfa-power/Scripts\AnalysisScripts\02_analytical_power-preview.html#cell-fig-apriori-popmodel" TargetMode="External" /><Relationship Type="http://schemas.openxmlformats.org/officeDocument/2006/relationships/hyperlink" Id="rId60" Target="https://phdpablo.github.io/cfa-power/Scripts\AnalysisScripts\02_analytical_power-preview.html#cell-fig-apriori-rmsea" TargetMode="External" /><Relationship Type="http://schemas.openxmlformats.org/officeDocument/2006/relationships/hyperlink" Id="rId79" Target="https://phdpablo.github.io/cfa-power/Scripts\AnalysisScripts\02_analytical_power-preview.html#cell-fig-power-popmodel" TargetMode="External" /><Relationship Type="http://schemas.openxmlformats.org/officeDocument/2006/relationships/hyperlink" Id="rId73" Target="https://phdpablo.github.io/cfa-power/Scripts\AnalysisScripts\02_analytical_power-preview.html#cell-fig-power-rmsea" TargetMode="External" /><Relationship Type="http://schemas.openxmlformats.org/officeDocument/2006/relationships/hyperlink" Id="rId83" Target="https://phdpablo.github.io/cfa-power/Scripts\AnalysisScripts\02_analytical_power-preview.html#cell-tbl-analytical-summary" TargetMode="External" /><Relationship Type="http://schemas.openxmlformats.org/officeDocument/2006/relationships/hyperlink" Id="rId98" Target="https://phdpablo.github.io/cfa-power/Scripts\AnalysisScripts\03_simulation_ideal-preview.html#cell-fig-fit-curve-ideal" TargetMode="External" /><Relationship Type="http://schemas.openxmlformats.org/officeDocument/2006/relationships/hyperlink" Id="rId131" Target="https://phdpablo.github.io/cfa-power/Scripts\AnalysisScripts\03_simulation_ideal-preview.html#cell-fig-fit-curve-naive" TargetMode="External" /><Relationship Type="http://schemas.openxmlformats.org/officeDocument/2006/relationships/hyperlink" Id="rId144" Target="https://phdpablo.github.io/cfa-power/Scripts\AnalysisScripts\03_simulation_ideal-preview.html#cell-fig-fit-curve-opt" TargetMode="External" /><Relationship Type="http://schemas.openxmlformats.org/officeDocument/2006/relationships/hyperlink" Id="rId106" Target="https://phdpablo.github.io/cfa-power/Scripts\AnalysisScripts\03_simulation_ideal-preview.html#cell-fig-fit-curve-traditional" TargetMode="External" /><Relationship Type="http://schemas.openxmlformats.org/officeDocument/2006/relationships/hyperlink" Id="rId93" Target="https://phdpablo.github.io/cfa-power/Scripts\AnalysisScripts\03_simulation_ideal-preview.html#cell-fig-power-curve-ideal" TargetMode="External" /><Relationship Type="http://schemas.openxmlformats.org/officeDocument/2006/relationships/hyperlink" Id="rId126" Target="https://phdpablo.github.io/cfa-power/Scripts\AnalysisScripts\03_simulation_ideal-preview.html#cell-fig-power-curve-naive" TargetMode="External" /><Relationship Type="http://schemas.openxmlformats.org/officeDocument/2006/relationships/hyperlink" Id="rId139" Target="https://phdpablo.github.io/cfa-power/Scripts\AnalysisScripts\03_simulation_ideal-preview.html#cell-fig-power-curve-opt" TargetMode="External" /><Relationship Type="http://schemas.openxmlformats.org/officeDocument/2006/relationships/hyperlink" Id="rId111" Target="https://phdpablo.github.io/cfa-power/Scripts\AnalysisScripts\03_simulation_ideal-preview.html#cell-tbl-param-estimate-ideal" TargetMode="External" /><Relationship Type="http://schemas.openxmlformats.org/officeDocument/2006/relationships/hyperlink" Id="rId100" Target="https://phdpablo.github.io/cfa-power/Scripts\AnalysisScripts\03_simulation_ideal-preview.html#cell-tbl-power-cutoff-ideal" TargetMode="External" /><Relationship Type="http://schemas.openxmlformats.org/officeDocument/2006/relationships/hyperlink" Id="rId133" Target="https://phdpablo.github.io/cfa-power/Scripts\AnalysisScripts\03_simulation_ideal-preview.html#cell-tbl-power-cutoff-naive" TargetMode="External" /><Relationship Type="http://schemas.openxmlformats.org/officeDocument/2006/relationships/hyperlink" Id="rId146" Target="https://phdpablo.github.io/cfa-power/Scripts\AnalysisScripts\03_simulation_ideal-preview.html#cell-tbl-power-cutoff-opt" TargetMode="External" /><Relationship Type="http://schemas.openxmlformats.org/officeDocument/2006/relationships/hyperlink" Id="rId108" Target="https://phdpablo.github.io/cfa-power/Scripts\AnalysisScripts\03_simulation_ideal-preview.html#cell-tbl-power-cutoff-traditional" TargetMode="External" /><Relationship Type="http://schemas.openxmlformats.org/officeDocument/2006/relationships/hyperlink" Id="rId113" Target="https://phdpablo.github.io/cfa-power/Scripts\AnalysisScripts\03_simulation_ideal-preview.html#cell-tbl-power-n-ideal" TargetMode="External" /><Relationship Type="http://schemas.openxmlformats.org/officeDocument/2006/relationships/hyperlink" Id="rId116" Target="https://phdpablo.github.io/cfa-power/Scripts\AnalysisScripts\03_simulation_ideal-preview.html#cell-tbl-power-n-naive" TargetMode="External" /><Relationship Type="http://schemas.openxmlformats.org/officeDocument/2006/relationships/hyperlink" Id="rId119" Target="https://phdpablo.github.io/cfa-power/Scripts\AnalysisScripts\03_simulation_ideal-preview.html#cell-tbl-power-n-opt" TargetMode="External" /><Relationship Type="http://schemas.openxmlformats.org/officeDocument/2006/relationships/hyperlink" Id="rId159" Target="https://phdpablo.github.io/cfa-power/Scripts\AnalysisScripts\04_simulation_robust-preview.html#cell-fig-fit-curve-missing" TargetMode="External" /><Relationship Type="http://schemas.openxmlformats.org/officeDocument/2006/relationships/hyperlink" Id="rId172" Target="https://phdpablo.github.io/cfa-power/Scripts\AnalysisScripts\04_simulation_robust-preview.html#cell-fig-fit-curve-nnorm" TargetMode="External" /><Relationship Type="http://schemas.openxmlformats.org/officeDocument/2006/relationships/hyperlink" Id="rId154" Target="https://phdpablo.github.io/cfa-power/Scripts\AnalysisScripts\04_simulation_robust-preview.html#cell-fig-power-curve-missing" TargetMode="External" /><Relationship Type="http://schemas.openxmlformats.org/officeDocument/2006/relationships/hyperlink" Id="rId167" Target="https://phdpablo.github.io/cfa-power/Scripts\AnalysisScripts\04_simulation_robust-preview.html#cell-fig-power-curve-nnorm" TargetMode="External" /><Relationship Type="http://schemas.openxmlformats.org/officeDocument/2006/relationships/hyperlink" Id="rId161" Target="https://phdpablo.github.io/cfa-power/Scripts\AnalysisScripts\04_simulation_robust-preview.html#cell-tbl-power-cutoff-missing" TargetMode="External" /><Relationship Type="http://schemas.openxmlformats.org/officeDocument/2006/relationships/hyperlink" Id="rId174" Target="https://phdpablo.github.io/cfa-power/Scripts\AnalysisScripts\04_simulation_robust-preview.html#cell-tbl-power-cutoff-nnorm" TargetMode="External" /><Relationship Type="http://schemas.openxmlformats.org/officeDocument/2006/relationships/hyperlink" Id="rId187" Target="https://phdpablo.github.io/cfa-power/Scripts\AnalysisScripts\05_model_comparison-preview.html#cell-fig-curve-fixed-traditional" TargetMode="External" /><Relationship Type="http://schemas.openxmlformats.org/officeDocument/2006/relationships/hyperlink" Id="rId180" Target="https://phdpablo.github.io/cfa-power/Scripts\AnalysisScripts\05_model_comparison-preview.html#cell-fig-power-curve-fixed" TargetMode="External" /><Relationship Type="http://schemas.openxmlformats.org/officeDocument/2006/relationships/hyperlink" Id="rId182" Target="https://phdpablo.github.io/cfa-power/Scripts\AnalysisScripts\05_model_comparison-preview.html#cell-tbl-power-cutoff-fixed" TargetMode="External" /><Relationship Type="http://schemas.openxmlformats.org/officeDocument/2006/relationships/hyperlink" Id="rId189" Target="https://phdpablo.github.io/cfa-power/Scripts\AnalysisScripts\05_model_comparison-preview.html#cell-tbl-power-cutoff-traditional" TargetMode="External" /><Relationship Type="http://schemas.openxmlformats.org/officeDocument/2006/relationships/hyperlink" Id="rId215" Target="https://phdpablo.github.io/cfa-power/Scripts\AnalysisScripts\06_posthoc-preview.html#cell-fig-posthoc-misspec" TargetMode="External" /><Relationship Type="http://schemas.openxmlformats.org/officeDocument/2006/relationships/hyperlink" Id="rId197" Target="https://phdpablo.github.io/cfa-power/Scripts\AnalysisScripts\06_posthoc-preview.html#cell-fig-posthoc-plotpower" TargetMode="External" /><Relationship Type="http://schemas.openxmlformats.org/officeDocument/2006/relationships/hyperlink" Id="rId209" Target="https://phdpablo.github.io/cfa-power/Scripts\AnalysisScripts\06_posthoc-preview.html#cell-fig-posthoc-realmodel" TargetMode="External" /><Relationship Type="http://schemas.openxmlformats.org/officeDocument/2006/relationships/hyperlink" Id="rId203" Target="https://phdpablo.github.io/cfa-power/Scripts\AnalysisScripts\06_posthoc-preview.html#cell-fig-posthoc-rmse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6" Target="https://CRAN.R-project.org/package=simsem" TargetMode="External" /><Relationship Type="http://schemas.openxmlformats.org/officeDocument/2006/relationships/hyperlink" Id="rId242" Target="https://doi.org/10.1007/s11136-025-04115-6" TargetMode="External" /><Relationship Type="http://schemas.openxmlformats.org/officeDocument/2006/relationships/hyperlink" Id="rId236" Target="https://doi.org/10.1037/1082-989X.1.2.130" TargetMode="External" /><Relationship Type="http://schemas.openxmlformats.org/officeDocument/2006/relationships/hyperlink" Id="rId228" Target="https://doi.org/10.1037/met0000423" TargetMode="External" /><Relationship Type="http://schemas.openxmlformats.org/officeDocument/2006/relationships/hyperlink" Id="rId238" Target="https://doi.org/10.1037/met0000425" TargetMode="External" /><Relationship Type="http://schemas.openxmlformats.org/officeDocument/2006/relationships/hyperlink" Id="rId232" Target="https://doi.org/10.1037/met0000684" TargetMode="External" /><Relationship Type="http://schemas.openxmlformats.org/officeDocument/2006/relationships/hyperlink" Id="rId234" Target="https://doi.org/10.1037/pas0001122" TargetMode="External" /><Relationship Type="http://schemas.openxmlformats.org/officeDocument/2006/relationships/hyperlink" Id="rId219" Target="https://doi.org/10.1145/3685235.3685238" TargetMode="External" /><Relationship Type="http://schemas.openxmlformats.org/officeDocument/2006/relationships/hyperlink" Id="rId256" Target="https://doi.org/10.1177/0013164413495237" TargetMode="External" /><Relationship Type="http://schemas.openxmlformats.org/officeDocument/2006/relationships/hyperlink" Id="rId250" Target="https://doi.org/10.1177/0165025413515169" TargetMode="External" /><Relationship Type="http://schemas.openxmlformats.org/officeDocument/2006/relationships/hyperlink" Id="rId254" Target="https://doi.org/10.1177/2515245920918253" TargetMode="External" /><Relationship Type="http://schemas.openxmlformats.org/officeDocument/2006/relationships/hyperlink" Id="rId244" Target="https://doi.org/10.1207/S15328007SEM0904_8" TargetMode="External" /><Relationship Type="http://schemas.openxmlformats.org/officeDocument/2006/relationships/hyperlink" Id="rId248" Target="https://doi.org/10.1590/1982-7849rac2022210085.en" TargetMode="External" /><Relationship Type="http://schemas.openxmlformats.org/officeDocument/2006/relationships/hyperlink" Id="rId252" Target="https://doi.org/10.31234/osf.io/4n3uk" TargetMode="External" /><Relationship Type="http://schemas.openxmlformats.org/officeDocument/2006/relationships/hyperlink" Id="rId226" Target="https://doi.org/10.3758/s13428-020-01479-0/Published" TargetMode="External" /><Relationship Type="http://schemas.openxmlformats.org/officeDocument/2006/relationships/hyperlink" Id="rId240" Target="https://doi.org/10.3758/s13428-023-02254-7" TargetMode="External" /><Relationship Type="http://schemas.openxmlformats.org/officeDocument/2006/relationships/hyperlink" Id="rId221" Target="https://doi.org/10.3758/s13428-024-02396-2" TargetMode="External" /><Relationship Type="http://schemas.openxmlformats.org/officeDocument/2006/relationships/hyperlink" Id="rId224" Target="https://doi.org/10.3758/s13428-024-02507-z" TargetMode="External" /><Relationship Type="http://schemas.openxmlformats.org/officeDocument/2006/relationships/hyperlink" Id="rId230" Target="https://doi.org/10.4236/psych.2018.98126" TargetMode="External" /><Relationship Type="http://schemas.openxmlformats.org/officeDocument/2006/relationships/hyperlink" Id="rId34" Target="https://phdpablo.github.io/cfa-power/Scripts\AnalysisScripts\01_population_models-preview.html#cell-H1-model" TargetMode="External" /><Relationship Type="http://schemas.openxmlformats.org/officeDocument/2006/relationships/hyperlink" Id="rId46" Target="https://phdpablo.github.io/cfa-power/Scripts\AnalysisScripts\01_population_models-preview.html#cell-analysis-model" TargetMode="External" /><Relationship Type="http://schemas.openxmlformats.org/officeDocument/2006/relationships/hyperlink" Id="rId51" Target="https://phdpablo.github.io/cfa-power/Scripts\AnalysisScripts\01_population_models-preview.html#cell-fig-diagram-analyzemodel" TargetMode="External" /><Relationship Type="http://schemas.openxmlformats.org/officeDocument/2006/relationships/hyperlink" Id="rId39" Target="https://phdpablo.github.io/cfa-power/Scripts\AnalysisScripts\01_population_models-preview.html#cell-fig-diagram-h1model" TargetMode="External" /><Relationship Type="http://schemas.openxmlformats.org/officeDocument/2006/relationships/hyperlink" Id="rId25" Target="https://phdpablo.github.io/cfa-power/Scripts\AnalysisScripts\01_population_models-preview.html#cell-fig-diagram-naivemodel" TargetMode="External" /><Relationship Type="http://schemas.openxmlformats.org/officeDocument/2006/relationships/hyperlink" Id="rId32" Target="https://phdpablo.github.io/cfa-power/Scripts\AnalysisScripts\01_population_models-preview.html#cell-fig-diagram-optmodel" TargetMode="External" /><Relationship Type="http://schemas.openxmlformats.org/officeDocument/2006/relationships/hyperlink" Id="rId18" Target="https://phdpablo.github.io/cfa-power/Scripts\AnalysisScripts\01_population_models-preview.html#cell-fig-diagram-popmodel" TargetMode="External" /><Relationship Type="http://schemas.openxmlformats.org/officeDocument/2006/relationships/hyperlink" Id="rId20" Target="https://phdpablo.github.io/cfa-power/Scripts\AnalysisScripts\01_population_models-preview.html#cell-naive-model" TargetMode="External" /><Relationship Type="http://schemas.openxmlformats.org/officeDocument/2006/relationships/hyperlink" Id="rId27" Target="https://phdpablo.github.io/cfa-power/Scripts\AnalysisScripts\01_population_models-preview.html#cell-opt-model" TargetMode="External" /><Relationship Type="http://schemas.openxmlformats.org/officeDocument/2006/relationships/hyperlink" Id="rId13" Target="https://phdpablo.github.io/cfa-power/Scripts\AnalysisScripts\01_population_models-preview.html#cell-pop-model" TargetMode="External" /><Relationship Type="http://schemas.openxmlformats.org/officeDocument/2006/relationships/hyperlink" Id="rId44" Target="https://phdpablo.github.io/cfa-power/Scripts\AnalysisScripts\01_population_models-preview.html#cell-tbl-pop-comparison" TargetMode="External" /><Relationship Type="http://schemas.openxmlformats.org/officeDocument/2006/relationships/hyperlink" Id="rId42" Target="https://phdpablo.github.io/cfa-power/Scripts\AnalysisScripts\01_population_models-preview.html#cell-tbl-pop-summary" TargetMode="External" /><Relationship Type="http://schemas.openxmlformats.org/officeDocument/2006/relationships/hyperlink" Id="rId54" Target="https://phdpablo.github.io/cfa-power/Scripts\AnalysisScripts\02_analytical_power-preview.html#cell-compute-df" TargetMode="External" /><Relationship Type="http://schemas.openxmlformats.org/officeDocument/2006/relationships/hyperlink" Id="rId66" Target="https://phdpablo.github.io/cfa-power/Scripts\AnalysisScripts\02_analytical_power-preview.html#cell-fig-apriori-popmodel" TargetMode="External" /><Relationship Type="http://schemas.openxmlformats.org/officeDocument/2006/relationships/hyperlink" Id="rId60" Target="https://phdpablo.github.io/cfa-power/Scripts\AnalysisScripts\02_analytical_power-preview.html#cell-fig-apriori-rmsea" TargetMode="External" /><Relationship Type="http://schemas.openxmlformats.org/officeDocument/2006/relationships/hyperlink" Id="rId79" Target="https://phdpablo.github.io/cfa-power/Scripts\AnalysisScripts\02_analytical_power-preview.html#cell-fig-power-popmodel" TargetMode="External" /><Relationship Type="http://schemas.openxmlformats.org/officeDocument/2006/relationships/hyperlink" Id="rId73" Target="https://phdpablo.github.io/cfa-power/Scripts\AnalysisScripts\02_analytical_power-preview.html#cell-fig-power-rmsea" TargetMode="External" /><Relationship Type="http://schemas.openxmlformats.org/officeDocument/2006/relationships/hyperlink" Id="rId83" Target="https://phdpablo.github.io/cfa-power/Scripts\AnalysisScripts\02_analytical_power-preview.html#cell-tbl-analytical-summary" TargetMode="External" /><Relationship Type="http://schemas.openxmlformats.org/officeDocument/2006/relationships/hyperlink" Id="rId98" Target="https://phdpablo.github.io/cfa-power/Scripts\AnalysisScripts\03_simulation_ideal-preview.html#cell-fig-fit-curve-ideal" TargetMode="External" /><Relationship Type="http://schemas.openxmlformats.org/officeDocument/2006/relationships/hyperlink" Id="rId131" Target="https://phdpablo.github.io/cfa-power/Scripts\AnalysisScripts\03_simulation_ideal-preview.html#cell-fig-fit-curve-naive" TargetMode="External" /><Relationship Type="http://schemas.openxmlformats.org/officeDocument/2006/relationships/hyperlink" Id="rId144" Target="https://phdpablo.github.io/cfa-power/Scripts\AnalysisScripts\03_simulation_ideal-preview.html#cell-fig-fit-curve-opt" TargetMode="External" /><Relationship Type="http://schemas.openxmlformats.org/officeDocument/2006/relationships/hyperlink" Id="rId106" Target="https://phdpablo.github.io/cfa-power/Scripts\AnalysisScripts\03_simulation_ideal-preview.html#cell-fig-fit-curve-traditional" TargetMode="External" /><Relationship Type="http://schemas.openxmlformats.org/officeDocument/2006/relationships/hyperlink" Id="rId93" Target="https://phdpablo.github.io/cfa-power/Scripts\AnalysisScripts\03_simulation_ideal-preview.html#cell-fig-power-curve-ideal" TargetMode="External" /><Relationship Type="http://schemas.openxmlformats.org/officeDocument/2006/relationships/hyperlink" Id="rId126" Target="https://phdpablo.github.io/cfa-power/Scripts\AnalysisScripts\03_simulation_ideal-preview.html#cell-fig-power-curve-naive" TargetMode="External" /><Relationship Type="http://schemas.openxmlformats.org/officeDocument/2006/relationships/hyperlink" Id="rId139" Target="https://phdpablo.github.io/cfa-power/Scripts\AnalysisScripts\03_simulation_ideal-preview.html#cell-fig-power-curve-opt" TargetMode="External" /><Relationship Type="http://schemas.openxmlformats.org/officeDocument/2006/relationships/hyperlink" Id="rId111" Target="https://phdpablo.github.io/cfa-power/Scripts\AnalysisScripts\03_simulation_ideal-preview.html#cell-tbl-param-estimate-ideal" TargetMode="External" /><Relationship Type="http://schemas.openxmlformats.org/officeDocument/2006/relationships/hyperlink" Id="rId100" Target="https://phdpablo.github.io/cfa-power/Scripts\AnalysisScripts\03_simulation_ideal-preview.html#cell-tbl-power-cutoff-ideal" TargetMode="External" /><Relationship Type="http://schemas.openxmlformats.org/officeDocument/2006/relationships/hyperlink" Id="rId133" Target="https://phdpablo.github.io/cfa-power/Scripts\AnalysisScripts\03_simulation_ideal-preview.html#cell-tbl-power-cutoff-naive" TargetMode="External" /><Relationship Type="http://schemas.openxmlformats.org/officeDocument/2006/relationships/hyperlink" Id="rId146" Target="https://phdpablo.github.io/cfa-power/Scripts\AnalysisScripts\03_simulation_ideal-preview.html#cell-tbl-power-cutoff-opt" TargetMode="External" /><Relationship Type="http://schemas.openxmlformats.org/officeDocument/2006/relationships/hyperlink" Id="rId108" Target="https://phdpablo.github.io/cfa-power/Scripts\AnalysisScripts\03_simulation_ideal-preview.html#cell-tbl-power-cutoff-traditional" TargetMode="External" /><Relationship Type="http://schemas.openxmlformats.org/officeDocument/2006/relationships/hyperlink" Id="rId113" Target="https://phdpablo.github.io/cfa-power/Scripts\AnalysisScripts\03_simulation_ideal-preview.html#cell-tbl-power-n-ideal" TargetMode="External" /><Relationship Type="http://schemas.openxmlformats.org/officeDocument/2006/relationships/hyperlink" Id="rId116" Target="https://phdpablo.github.io/cfa-power/Scripts\AnalysisScripts\03_simulation_ideal-preview.html#cell-tbl-power-n-naive" TargetMode="External" /><Relationship Type="http://schemas.openxmlformats.org/officeDocument/2006/relationships/hyperlink" Id="rId119" Target="https://phdpablo.github.io/cfa-power/Scripts\AnalysisScripts\03_simulation_ideal-preview.html#cell-tbl-power-n-opt" TargetMode="External" /><Relationship Type="http://schemas.openxmlformats.org/officeDocument/2006/relationships/hyperlink" Id="rId159" Target="https://phdpablo.github.io/cfa-power/Scripts\AnalysisScripts\04_simulation_robust-preview.html#cell-fig-fit-curve-missing" TargetMode="External" /><Relationship Type="http://schemas.openxmlformats.org/officeDocument/2006/relationships/hyperlink" Id="rId172" Target="https://phdpablo.github.io/cfa-power/Scripts\AnalysisScripts\04_simulation_robust-preview.html#cell-fig-fit-curve-nnorm" TargetMode="External" /><Relationship Type="http://schemas.openxmlformats.org/officeDocument/2006/relationships/hyperlink" Id="rId154" Target="https://phdpablo.github.io/cfa-power/Scripts\AnalysisScripts\04_simulation_robust-preview.html#cell-fig-power-curve-missing" TargetMode="External" /><Relationship Type="http://schemas.openxmlformats.org/officeDocument/2006/relationships/hyperlink" Id="rId167" Target="https://phdpablo.github.io/cfa-power/Scripts\AnalysisScripts\04_simulation_robust-preview.html#cell-fig-power-curve-nnorm" TargetMode="External" /><Relationship Type="http://schemas.openxmlformats.org/officeDocument/2006/relationships/hyperlink" Id="rId161" Target="https://phdpablo.github.io/cfa-power/Scripts\AnalysisScripts\04_simulation_robust-preview.html#cell-tbl-power-cutoff-missing" TargetMode="External" /><Relationship Type="http://schemas.openxmlformats.org/officeDocument/2006/relationships/hyperlink" Id="rId174" Target="https://phdpablo.github.io/cfa-power/Scripts\AnalysisScripts\04_simulation_robust-preview.html#cell-tbl-power-cutoff-nnorm" TargetMode="External" /><Relationship Type="http://schemas.openxmlformats.org/officeDocument/2006/relationships/hyperlink" Id="rId187" Target="https://phdpablo.github.io/cfa-power/Scripts\AnalysisScripts\05_model_comparison-preview.html#cell-fig-curve-fixed-traditional" TargetMode="External" /><Relationship Type="http://schemas.openxmlformats.org/officeDocument/2006/relationships/hyperlink" Id="rId180" Target="https://phdpablo.github.io/cfa-power/Scripts\AnalysisScripts\05_model_comparison-preview.html#cell-fig-power-curve-fixed" TargetMode="External" /><Relationship Type="http://schemas.openxmlformats.org/officeDocument/2006/relationships/hyperlink" Id="rId182" Target="https://phdpablo.github.io/cfa-power/Scripts\AnalysisScripts\05_model_comparison-preview.html#cell-tbl-power-cutoff-fixed" TargetMode="External" /><Relationship Type="http://schemas.openxmlformats.org/officeDocument/2006/relationships/hyperlink" Id="rId189" Target="https://phdpablo.github.io/cfa-power/Scripts\AnalysisScripts\05_model_comparison-preview.html#cell-tbl-power-cutoff-traditional" TargetMode="External" /><Relationship Type="http://schemas.openxmlformats.org/officeDocument/2006/relationships/hyperlink" Id="rId215" Target="https://phdpablo.github.io/cfa-power/Scripts\AnalysisScripts\06_posthoc-preview.html#cell-fig-posthoc-misspec" TargetMode="External" /><Relationship Type="http://schemas.openxmlformats.org/officeDocument/2006/relationships/hyperlink" Id="rId197" Target="https://phdpablo.github.io/cfa-power/Scripts\AnalysisScripts\06_posthoc-preview.html#cell-fig-posthoc-plotpower" TargetMode="External" /><Relationship Type="http://schemas.openxmlformats.org/officeDocument/2006/relationships/hyperlink" Id="rId209" Target="https://phdpablo.github.io/cfa-power/Scripts\AnalysisScripts\06_posthoc-preview.html#cell-fig-posthoc-realmodel" TargetMode="External" /><Relationship Type="http://schemas.openxmlformats.org/officeDocument/2006/relationships/hyperlink" Id="rId203" Target="https://phdpablo.github.io/cfa-power/Scripts\AnalysisScripts\06_posthoc-preview.html#cell-fig-posthoc-rmse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Power Analysis for Confirmatory Factor Analysis: A Practical Tutorial</dc:title>
  <dc:creator>Pablo Rogers</dc:creator>
  <cp:keywords>Power Analysis, Confirmatory Factor Analysis, Structural Equation Modeling, Monte Carlo Simulation, semPower, simsem</cp:keywords>
  <dcterms:created xsi:type="dcterms:W3CDTF">2026-04-22T00:32:19Z</dcterms:created>
  <dcterms:modified xsi:type="dcterms:W3CDTF">2026-04-22T00:32:19Z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tutorial presents a pedagogical introduction to statistical power analysis in Confirmatory Factor Analysis (CFA). Proper sample size planning requires assessing the probability of detecting overall model misfit, either through analytical methods or simulation-based approaches. Standard analytical tools rely on asymptotic normal theory, which can break down under non-normality or missing data. This tutorial demonstrates both strategies — analytical (using semPower with lavaan syntax) and Monte Carlo simulation (using simsem) — side by side, using the WHOQOL-BREF four-factor model as a unifying case study. We illustrate how simulation complements analytical calculations by enabling researchers to evaluate parameter-level power, coverage, and relative bias under realistic scenarios involving model misspecification, missing data, and non-normal continuous indicators. We argue that analytical methods provide a fast and theoretically grounded starting point for sample size planning, while simulation-based approaches allow those conclusions to be stress-tested against the specific population structure, misspecification form, and data conditions of the study at hand.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lear-hidden-classes">
    <vt:lpwstr>none</vt:lpwstr>
  </property>
  <property fmtid="{D5CDD505-2E9C-101B-9397-08002B2CF9AE}" pid="10" name="csl">
    <vt:lpwstr>apa7ed.csl</vt:lpwstr>
  </property>
  <property fmtid="{D5CDD505-2E9C-101B-9397-08002B2CF9AE}" pid="11" name="date">
    <vt:lpwstr>2026-04-21</vt:lpwstr>
  </property>
  <property fmtid="{D5CDD505-2E9C-101B-9397-08002B2CF9AE}" pid="12" name="editor">
    <vt:lpwstr>source</vt:lpwstr>
  </property>
  <property fmtid="{D5CDD505-2E9C-101B-9397-08002B2CF9AE}" pid="13" name="engines">
    <vt:lpwstr/>
  </property>
  <property fmtid="{D5CDD505-2E9C-101B-9397-08002B2CF9AE}" pid="14" name="google-scholar">
    <vt:lpwstr>True</vt:lpwstr>
  </property>
  <property fmtid="{D5CDD505-2E9C-101B-9397-08002B2CF9AE}" pid="15" name="header-includes">
    <vt:lpwstr/>
  </property>
  <property fmtid="{D5CDD505-2E9C-101B-9397-08002B2CF9AE}" pid="16" name="include-after">
    <vt:lpwstr/>
  </property>
  <property fmtid="{D5CDD505-2E9C-101B-9397-08002B2CF9AE}" pid="17" name="include-before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quarto-internal">
    <vt:lpwstr/>
  </property>
  <property fmtid="{D5CDD505-2E9C-101B-9397-08002B2CF9AE}" pid="23" name="remove-hidden">
    <vt:lpwstr>all</vt:lpwstr>
  </property>
  <property fmtid="{D5CDD505-2E9C-101B-9397-08002B2CF9AE}" pid="24" name="subtitle">
    <vt:lpwstr>Analytical and Simulation-Based Approaches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