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  <Override PartName="/word/media/rId9.png" ContentType="image/png"/>
  <Override PartName="/word/media/rId42.png" ContentType="image/png"/>
  <Override PartName="/word/media/rId31.png" ContentType="image/png"/>
  <Override PartName="/word/media/rId19.png" ContentType="image/png"/>
  <Override PartName="/word/media/rId25.png" ContentType="image/png"/>
  <Override PartName="/word/media/rId13.png" ContentType="image/png"/>
  <Override PartName="/word/media/rId60.png" ContentType="image/png"/>
  <Override PartName="/word/media/rId52.png" ContentType="image/png"/>
  <Override PartName="/word/media/rId73.png" ContentType="image/png"/>
  <Override PartName="/word/media/rId67.png" ContentType="image/png"/>
  <Override PartName="/word/media/rId92.png" ContentType="image/png"/>
  <Override PartName="/word/media/rId100.png" ContentType="image/png"/>
  <Override PartName="/word/media/rId87.png" ContentType="image/png"/>
  <Override PartName="/word/media/rId126.png" ContentType="image/png"/>
  <Override PartName="/word/media/rId139.png" ContentType="image/png"/>
  <Override PartName="/word/media/rId121.png" ContentType="image/png"/>
  <Override PartName="/word/media/rId134.png" ContentType="image/png"/>
  <Override PartName="/word/media/rId154.png" ContentType="image/png"/>
  <Override PartName="/word/media/rId147.png" ContentType="image/png"/>
  <Override PartName="/word/media/rId164.png" ContentType="image/png"/>
  <Override PartName="/word/media/rId182.png" ContentType="image/png"/>
  <Override PartName="/word/media/rId1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 Analysis for Confirmatory Factor Analysis: A Practical Tutorial</w:t>
      </w:r>
    </w:p>
    <w:p>
      <w:pPr>
        <w:pStyle w:val="Subtitle"/>
      </w:pPr>
      <w:r>
        <w:t xml:space="preserve">Analytical and Simulation-Based Approaches</w:t>
      </w:r>
    </w:p>
    <w:p>
      <w:pPr>
        <w:pStyle w:val="Author"/>
      </w:pPr>
      <w:r>
        <w:t xml:space="preserve">Pablo Rogers</w:t>
      </w:r>
    </w:p>
    <w:p>
      <w:pPr>
        <w:pStyle w:val="Date"/>
      </w:pPr>
      <w:r>
        <w:t xml:space="preserve">2026-09-24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tutorial presents a pedagogical introduction to statistical power analysis in Confirmatory Factor Analysis (CFA). Proper sample size planning requires assessing the probability of detecting overall model misfit, either through analytical methods or simulation-based approaches. Standard analytical tools rely on asymptotic normal theory, which can break down under non-normality or missing data. This tutorial demonstrates both strategies — analytical (using semPower with lavaan syntax) and Monte Carlo simulation (using simsem) — side by side, using the WHOQOL-BREF four-factor model as a unifying case study. We illustrate how simulation complements analytical calculations by enabling researchers to evaluate parameter-level power, coverage, and relative bias under realistic scenarios involving model misspecification, missing data, and non-normal continuous indicators. We argue that analytical methods provide a fast and theoretically grounded starting point for sample size planning, while simulation-based approaches allow those conclusions to be stress-tested against the specific population structure, misspecification form, and data conditions of the study at hand.</w:t>
      </w:r>
    </w:p>
    <w:bookmarkStart w:id="12" w:name="sec-intro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Statistical power in CFA is the probability of correctly rejecting a</w:t>
      </w:r>
      <w:r>
        <w:t xml:space="preserve"> </w:t>
      </w:r>
      <w:r>
        <w:t xml:space="preserve">misspecified model — or of detecting a parameter of interest when it is</w:t>
      </w:r>
      <w:r>
        <w:t xml:space="preserve"> </w:t>
      </w:r>
      <w:r>
        <w:t xml:space="preserve">truly non-zero in the population</w:t>
      </w:r>
      <w:r>
        <w:t xml:space="preserve"> </w:t>
      </w:r>
      <w:r>
        <w:t xml:space="preserve">(MacCallum et al., 1996)</w:t>
      </w:r>
      <w:r>
        <w:t xml:space="preserve">. Despite its</w:t>
      </w:r>
      <w:r>
        <w:t xml:space="preserve"> </w:t>
      </w:r>
      <w:r>
        <w:t xml:space="preserve">importance, power is rarely reported in applied CFA work: researchers</w:t>
      </w:r>
      <w:r>
        <w:t xml:space="preserve"> </w:t>
      </w:r>
      <w:r>
        <w:t xml:space="preserve">frequently fall back on arbitrary rules of thumb linking required sample</w:t>
      </w:r>
      <w:r>
        <w:t xml:space="preserve"> </w:t>
      </w:r>
      <w:r>
        <w:t xml:space="preserve">size to the number of observed variables or estimated parameters, rather</w:t>
      </w:r>
      <w:r>
        <w:t xml:space="preserve"> </w:t>
      </w:r>
      <w:r>
        <w:t xml:space="preserve">than conducting formal prospective calculations</w:t>
      </w:r>
      <w:r>
        <w:t xml:space="preserve"> </w:t>
      </w:r>
      <w:r>
        <w:t xml:space="preserve">(Aguirre-Urreta et al., 2024; Wolf et al., 2013)</w:t>
      </w:r>
      <w:r>
        <w:t xml:space="preserve">.</w:t>
      </w:r>
    </w:p>
    <w:p>
      <w:pPr>
        <w:pStyle w:val="BodyText"/>
      </w:pPr>
      <w:r>
        <w:t xml:space="preserve">Two main paradigms address power analysis in CFA: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Analytical methods</w:t>
      </w:r>
      <w:r>
        <w:t xml:space="preserve">: Rely on the non-central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to determine the sample size required for detecting</w:t>
      </w:r>
      <w:r>
        <w:t xml:space="preserve"> </w:t>
      </w:r>
      <w:r>
        <w:t xml:space="preserve">global or local model misfit, typically quantified through the RMSEA</w:t>
      </w:r>
      <w:r>
        <w:t xml:space="preserve"> </w:t>
      </w:r>
      <w:r>
        <w:t xml:space="preserve">(Jak et al., 2021; MacCallum et al., 1996)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Simulation-based methods</w:t>
      </w:r>
      <w:r>
        <w:t xml:space="preserve">: Use Monte Carlo data generation to</w:t>
      </w:r>
      <w:r>
        <w:t xml:space="preserve"> </w:t>
      </w:r>
      <w:r>
        <w:t xml:space="preserve">estimate power, bias, and coverage for specific parameters or</w:t>
      </w:r>
      <w:r>
        <w:t xml:space="preserve"> </w:t>
      </w:r>
      <w:r>
        <w:t xml:space="preserve">overall fit indices across varying sample sizes, without relying on</w:t>
      </w:r>
      <w:r>
        <w:t xml:space="preserve"> </w:t>
      </w:r>
      <w:r>
        <w:t xml:space="preserve">the asymptotic assumptions that constrain analytical solutions</w:t>
      </w:r>
      <w:r>
        <w:t xml:space="preserve"> </w:t>
      </w:r>
      <w:r>
        <w:t xml:space="preserve">(Muthén &amp; Muthén, 2002; Pornprasertmanit et al., 2021)</w:t>
      </w:r>
      <w:r>
        <w:t xml:space="preserve">.</w:t>
      </w:r>
    </w:p>
    <w:p>
      <w:pPr>
        <w:pStyle w:val="FirstParagraph"/>
      </w:pPr>
      <w:r>
        <w:t xml:space="preserve">This document provides a comprehensive tutorial covering both paradigms:</w:t>
      </w:r>
      <w:r>
        <w:t xml:space="preserve"> </w:t>
      </w:r>
      <w:r>
        <w:t xml:space="preserve">analytical power analysis using the</w:t>
      </w:r>
      <w:r>
        <w:t xml:space="preserve"> </w:t>
      </w:r>
      <w:r>
        <w:rPr>
          <w:rStyle w:val="VerbatimChar"/>
        </w:rPr>
        <w:t xml:space="preserve">semPower</w:t>
      </w:r>
      <w:r>
        <w:t xml:space="preserve"> </w:t>
      </w:r>
      <w:r>
        <w:t xml:space="preserve">package, and Monte Carlo</w:t>
      </w:r>
      <w:r>
        <w:t xml:space="preserve"> </w:t>
      </w:r>
      <w:r>
        <w:t xml:space="preserve">simulation using the</w:t>
      </w:r>
      <w:r>
        <w:t xml:space="preserve"> </w:t>
      </w:r>
      <w:r>
        <w:rPr>
          <w:rStyle w:val="VerbatimChar"/>
        </w:rPr>
        <w:t xml:space="preserve">simsem</w:t>
      </w:r>
      <w:r>
        <w:t xml:space="preserve"> </w:t>
      </w:r>
      <w:r>
        <w:t xml:space="preserve">package</w:t>
      </w:r>
      <w:r>
        <w:t xml:space="preserve"> </w:t>
      </w:r>
      <w:r>
        <w:t xml:space="preserve">(Moshagen &amp; Bader, 2024; Pornprasertmanit et al., 2021)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Reproducibility 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local development and computational convenience, simulations in this</w:t>
            </w:r>
            <w:r>
              <w:t xml:space="preserve"> </w:t>
            </w:r>
            <w:r>
              <w:t xml:space="preserve">tutorial use 1,500 replications. Production-quality applied research</w:t>
            </w:r>
            <w:r>
              <w:t xml:space="preserve"> </w:t>
            </w:r>
            <w:r>
              <w:t xml:space="preserve">should increase this to 5,000 or more. Results throughout this tutorial</w:t>
            </w:r>
            <w:r>
              <w:t xml:space="preserve"> </w:t>
            </w:r>
            <w:r>
              <w:t xml:space="preserve">therefore carry more sampling variability than would be expected in a</w:t>
            </w:r>
            <w:r>
              <w:t xml:space="preserve"> </w:t>
            </w:r>
            <w:r>
              <w:t xml:space="preserve">final study. All analytical and simulation parameters are centrally</w:t>
            </w:r>
            <w:r>
              <w:t xml:space="preserve"> </w:t>
            </w:r>
            <w:r>
              <w:t xml:space="preserve">defined in</w:t>
            </w:r>
            <w:r>
              <w:t xml:space="preserve"> </w:t>
            </w:r>
            <w:r>
              <w:rPr>
                <w:rStyle w:val="VerbatimChar"/>
              </w:rPr>
              <w:t xml:space="preserve">helpers.R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models.R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Scripts/DataAppendixScripts</w:t>
            </w:r>
            <w:r>
              <w:t xml:space="preserve">.</w:t>
            </w:r>
          </w:p>
          <w:p/>
        </w:tc>
      </w:tr>
    </w:tbl>
    <w:bookmarkEnd w:id="12"/>
    <w:bookmarkStart w:id="48" w:name="sec-popmodel"/>
    <w:p>
      <w:pPr>
        <w:pStyle w:val="Heading2"/>
      </w:pPr>
      <w:r>
        <w:t xml:space="preserve">2 The Running Example: WHOQOL-BREF Population CFA Model</w:t>
      </w:r>
    </w:p>
    <w:p>
      <w:pPr>
        <w:pStyle w:val="FirstParagraph"/>
      </w:pPr>
      <w:r>
        <w:t xml:space="preserve">All power analyses in this tutorial are anchored in the World Health</w:t>
      </w:r>
      <w:r>
        <w:t xml:space="preserve"> </w:t>
      </w:r>
      <w:r>
        <w:t xml:space="preserve">Organization Quality of Life-BREF (WHOQOL-BREF) four-factor measurement</w:t>
      </w:r>
      <w:r>
        <w:t xml:space="preserve"> </w:t>
      </w:r>
      <w:r>
        <w:t xml:space="preserve">model</w:t>
      </w:r>
      <w:r>
        <w:t xml:space="preserve"> </w:t>
      </w:r>
      <w:r>
        <w:t xml:space="preserve">(Lin &amp; Yao, 2022;</w:t>
      </w:r>
      <w:r>
        <w:t xml:space="preserve"> </w:t>
      </w:r>
      <w:r>
        <w:t xml:space="preserve">Mosqueira Taipe et al.</w:t>
      </w:r>
      <w:r>
        <w:t xml:space="preserve">, 2026)</w:t>
      </w:r>
      <w:r>
        <w:t xml:space="preserve">. Meaningful power analysis requires an explicit population</w:t>
      </w:r>
      <w:r>
        <w:t xml:space="preserve"> </w:t>
      </w:r>
      <w:r>
        <w:t xml:space="preserve">model — a formal representation of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covariance structure from</w:t>
      </w:r>
      <w:r>
        <w:t xml:space="preserve"> </w:t>
      </w:r>
      <w:r>
        <w:t xml:space="preserve">which data are presumed to be generated</w:t>
      </w:r>
      <w:r>
        <w:t xml:space="preserve"> </w:t>
      </w:r>
      <w:r>
        <w:t xml:space="preserve">(Feng &amp; Hancock, 2023)</w:t>
      </w:r>
      <w:r>
        <w:t xml:space="preserve">. By grounding this</w:t>
      </w:r>
      <w:r>
        <w:t xml:space="preserve"> </w:t>
      </w:r>
      <w:r>
        <w:t xml:space="preserve">model in meta-analytic evidence rather than in arbitrary parameter</w:t>
      </w:r>
      <w:r>
        <w:t xml:space="preserve"> </w:t>
      </w:r>
      <w:r>
        <w:t xml:space="preserve">choices, we ensure that sample size targets reflect realistic</w:t>
      </w:r>
      <w:r>
        <w:t xml:space="preserve"> </w:t>
      </w:r>
      <w:r>
        <w:t xml:space="preserve">measurement conditions</w:t>
      </w:r>
      <w:r>
        <w:t xml:space="preserve"> </w:t>
      </w:r>
      <w:r>
        <w:t xml:space="preserve">(Lin &amp; Yao, 2022;</w:t>
      </w:r>
      <w:r>
        <w:t xml:space="preserve"> </w:t>
      </w:r>
      <w:r>
        <w:t xml:space="preserve">Mosqueira Taipe et al.</w:t>
      </w:r>
      <w:r>
        <w:t xml:space="preserve">, 2026)</w:t>
      </w:r>
      <w:r>
        <w:t xml:space="preserve">.</w:t>
      </w:r>
    </w:p>
    <w:p>
      <w:pPr>
        <w:pStyle w:val="BodyText"/>
      </w:pPr>
      <w:r>
        <w:t xml:space="preserve">We specify four population variants to support sensitivity analyses: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Meta-analytic</w:t>
      </w:r>
      <w:r>
        <w:t xml:space="preserve"> </w:t>
      </w:r>
      <w:r>
        <w:t xml:space="preserve">(</w:t>
      </w:r>
      <w:r>
        <w:rPr>
          <w:rStyle w:val="VerbatimChar"/>
        </w:rPr>
        <w:t xml:space="preserve">popmodel</w:t>
      </w:r>
      <w:r>
        <w:t xml:space="preserve">): Loadings and residual variances</w:t>
      </w:r>
      <w:r>
        <w:t xml:space="preserve"> </w:t>
      </w:r>
      <w:r>
        <w:t xml:space="preserve">matching the pooled estimates from</w:t>
      </w:r>
      <w:r>
        <w:t xml:space="preserve"> </w:t>
      </w:r>
      <w:r>
        <w:t xml:space="preserve">Lin &amp; Yao (2022)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Naive</w:t>
      </w:r>
      <w:r>
        <w:t xml:space="preserve"> </w:t>
      </w:r>
      <w:r>
        <w:t xml:space="preserve">(</w:t>
      </w:r>
      <w:r>
        <w:rPr>
          <w:rStyle w:val="VerbatimChar"/>
        </w:rPr>
        <w:t xml:space="preserve">naivemodel</w:t>
      </w:r>
      <w:r>
        <w:t xml:space="preserve">): A pessimistic baseline derived from the</w:t>
      </w:r>
      <w:r>
        <w:t xml:space="preserve"> </w:t>
      </w:r>
      <w:r>
        <w:t xml:space="preserve">lowest reported reliability values per domain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optmodel</w:t>
      </w:r>
      <w:r>
        <w:t xml:space="preserve">): A best-case scenario derived from the</w:t>
      </w:r>
      <w:r>
        <w:t xml:space="preserve"> </w:t>
      </w:r>
      <w:r>
        <w:t xml:space="preserve">highest reported reliability values per domain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h1model</w:t>
      </w:r>
      <w:r>
        <w:t xml:space="preserve">): A cross-loading model representing</w:t>
      </w:r>
      <w:r>
        <w:t xml:space="preserve"> </w:t>
      </w:r>
      <w:r>
        <w:t xml:space="preserve">the alternative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 with three additional</w:t>
      </w:r>
      <w:r>
        <w:t xml:space="preserve"> </w:t>
      </w:r>
      <w:r>
        <w:t xml:space="preserve">cross-loadings based on the meta-EFA results of</w:t>
      </w:r>
      <w:r>
        <w:t xml:space="preserve"> </w:t>
      </w:r>
      <w:r>
        <w:t xml:space="preserve">Lin &amp; Yao (2022)</w:t>
      </w:r>
      <w:r>
        <w:t xml:space="preserve">.</w:t>
      </w:r>
    </w:p>
    <w:bookmarkStart w:id="18" w:name="population-model"/>
    <w:p>
      <w:pPr>
        <w:pStyle w:val="Heading3"/>
      </w:pPr>
      <w:r>
        <w:t xml:space="preserve">2.1 Population model</w:t>
      </w:r>
    </w:p>
    <w:p>
      <w:pPr>
        <w:pStyle w:val="FirstParagraph"/>
      </w:pPr>
      <w:r>
        <w:t xml:space="preserve">The primary population model (</w:t>
      </w:r>
      <w:r>
        <w:rPr>
          <w:rStyle w:val="VerbatimChar"/>
        </w:rPr>
        <w:t xml:space="preserve">popmodel</w:t>
      </w:r>
      <w:r>
        <w:t xml:space="preserve">) operationalizes a</w:t>
      </w:r>
      <w:r>
        <w:t xml:space="preserve"> </w:t>
      </w:r>
      <w:r>
        <w:t xml:space="preserve">meta-analytic scenario based on</w:t>
      </w:r>
      <w:r>
        <w:t xml:space="preserve"> </w:t>
      </w:r>
      <w:r>
        <w:t xml:space="preserve">Lin &amp; Yao (2022)</w:t>
      </w:r>
      <w:r>
        <w:t xml:space="preserve">, whose pooled EFA estimates</w:t>
      </w:r>
      <w:r>
        <w:t xml:space="preserve"> </w:t>
      </w:r>
      <w:r>
        <w:t xml:space="preserve">across 16 international studies provide the factor loadings (</w:t>
      </w:r>
      <m:oMath>
        <m:r>
          <m:t>λ</m:t>
        </m:r>
      </m:oMath>
      <w:r>
        <w:t xml:space="preserve">).</w:t>
      </w:r>
      <w:r>
        <w:t xml:space="preserve"> </w:t>
      </w:r>
      <w:r>
        <w:t xml:space="preserve">Key features of this model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Interfactor correlations (</w:t>
      </w:r>
      <m:oMath>
        <m:r>
          <m:t>ϕ</m:t>
        </m:r>
      </m:oMath>
      <w:r>
        <w:rPr>
          <w:b/>
          <w:bCs/>
        </w:rPr>
        <w:t xml:space="preserve">)</w:t>
      </w:r>
      <w:r>
        <w:t xml:space="preserve">: Fixed at</w:t>
      </w:r>
      <w:r>
        <w:t xml:space="preserve"> </w:t>
      </w:r>
      <m:oMath>
        <m:r>
          <m:t>0.20</m:t>
        </m:r>
      </m:oMath>
      <w:r>
        <w:t xml:space="preserve">, a</w:t>
      </w:r>
      <w:r>
        <w:t xml:space="preserve"> </w:t>
      </w:r>
      <w:r>
        <w:t xml:space="preserve">conservative midpoint of the reported range</w:t>
      </w:r>
      <w:r>
        <w:t xml:space="preserve"> </w:t>
      </w:r>
      <m:oMath>
        <m:r>
          <m:t>0.08</m:t>
        </m:r>
      </m:oMath>
      <w:r>
        <w:t xml:space="preserve">–</w:t>
      </w:r>
      <m:oMath>
        <m:r>
          <m:t>0.31</m:t>
        </m:r>
      </m:oMath>
      <w:r>
        <w:t xml:space="preserve"> </w:t>
      </w:r>
      <w:r>
        <w:t xml:space="preserve">(Lin &amp; Yao, 2022)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Residual covariance</w:t>
      </w:r>
      <w:r>
        <w:t xml:space="preserve">: Items</w:t>
      </w:r>
      <w:r>
        <w:t xml:space="preserve"> </w:t>
      </w:r>
      <m:oMath>
        <m:r>
          <m:t>Q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4</m:t>
        </m:r>
      </m:oMath>
      <w:r>
        <w:t xml:space="preserve"> </w:t>
      </w:r>
      <w:r>
        <w:t xml:space="preserve">share a residual</w:t>
      </w:r>
      <w:r>
        <w:t xml:space="preserve"> </w:t>
      </w:r>
      <w:r>
        <w:t xml:space="preserve">covariance (</w:t>
      </w:r>
      <m:oMath>
        <m:sSub>
          <m:e>
            <m:r>
              <m:t>r</m:t>
            </m:r>
          </m:e>
          <m:sub>
            <m:r>
              <m:t>Q</m:t>
            </m:r>
            <m:r>
              <m:t>3</m:t>
            </m:r>
            <m:r>
              <m:rPr>
                <m:sty m:val="p"/>
              </m:rPr>
              <m:t>,</m:t>
            </m:r>
            <m:r>
              <m:t>Q</m:t>
            </m:r>
            <m:r>
              <m:t>4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physical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), preserving</w:t>
      </w:r>
      <w:r>
        <w:t xml:space="preserve"> </w:t>
      </w:r>
      <w:r>
        <w:t xml:space="preserve">the subfactor signal identified in the five-factor EFA solution</w:t>
      </w:r>
      <w:r>
        <w:t xml:space="preserve"> </w:t>
      </w:r>
      <w:r>
        <w:t xml:space="preserve">(Lin &amp; Yao, 2022)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structure</w:t>
      </w:r>
      <w:r>
        <w:t xml:space="preserve">: Item</w:t>
      </w:r>
      <w:r>
        <w:t xml:space="preserve"> </w:t>
      </w:r>
      <m:oMath>
        <m:r>
          <m:t>Q</m:t>
        </m:r>
        <m:r>
          <m:t>8</m:t>
        </m:r>
      </m:oMath>
      <w:r>
        <w:t xml:space="preserve"> </w:t>
      </w:r>
      <w:r>
        <w:t xml:space="preserve">is retained in the Environmental</w:t>
      </w:r>
      <w:r>
        <w:t xml:space="preserve"> </w:t>
      </w:r>
      <w:r>
        <w:t xml:space="preserve">domain despite loading more strongly on the Psychological domain in</w:t>
      </w:r>
      <w:r>
        <w:t xml:space="preserve"> </w:t>
      </w:r>
      <w:r>
        <w:t xml:space="preserve">the meta-EFA. This constitutes the 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version of the population, strictly maintaining the original</w:t>
      </w:r>
      <w:r>
        <w:t xml:space="preserve"> </w:t>
      </w:r>
      <w:r>
        <w:t xml:space="preserve">four-factor structure without cross-loadings.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diagram-popmodel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1_population_models-fig-diagram-popmodel-output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Path diagram of the popmodel</w:t>
            </w:r>
          </w:p>
          <w:bookmarkEnd w:id="16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7">
        <w:r>
          <w:rPr>
            <w:rStyle w:val="Hyperlink"/>
            <w:vertAlign w:val="subscript"/>
          </w:rPr>
          <w:t xml:space="preserve">Population Models</w:t>
        </w:r>
      </w:hyperlink>
    </w:p>
    <w:bookmarkEnd w:id="18"/>
    <w:bookmarkStart w:id="24" w:name="naive-model"/>
    <w:p>
      <w:pPr>
        <w:pStyle w:val="Heading3"/>
      </w:pPr>
      <w:r>
        <w:t xml:space="preserve">2.2 Naive model</w:t>
      </w:r>
    </w:p>
    <w:p>
      <w:pPr>
        <w:pStyle w:val="FirstParagraph"/>
      </w:pPr>
      <w:r>
        <w:t xml:space="preserve">The naive model provides an empirically grounded pessimistic scenario.</w:t>
      </w:r>
      <w:r>
        <w:t xml:space="preserve"> </w:t>
      </w:r>
      <w:r>
        <w:t xml:space="preserve">Factor loadings are derived via the Spearman-Brown prediction formula</w:t>
      </w:r>
      <w:r>
        <w:t xml:space="preserve"> </w:t>
      </w:r>
      <w:r>
        <w:t xml:space="preserve">from the lowest Cronbach’s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identified in the literature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, yielding conservative parameter estimates that</w:t>
      </w:r>
      <w:r>
        <w:t xml:space="preserve"> </w:t>
      </w:r>
      <w:r>
        <w:t xml:space="preserve">push sample size requirements upward: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Approach</w:t>
      </w:r>
      <w:r>
        <w:t xml:space="preserve">: Assuming equal loadings within each domain,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Alpha sources</w:t>
      </w:r>
      <w:r>
        <w:t xml:space="preserve">: Lowest domain alphas from a single study</w:t>
      </w:r>
      <w:r>
        <w:t xml:space="preserve"> </w:t>
      </w:r>
      <w:r>
        <w:t xml:space="preserve">identified in the systematic review by</w:t>
      </w:r>
      <w:r>
        <w:t xml:space="preserve"> </w:t>
      </w:r>
      <w:r>
        <w:t xml:space="preserve">Mosqueira Taipe et al.</w:t>
      </w:r>
      <w:r>
        <w:t xml:space="preserve"> </w:t>
      </w:r>
      <w:r>
        <w:t xml:space="preserve">(2026)</w:t>
      </w:r>
      <w:r>
        <w:t xml:space="preserve"> </w:t>
      </w:r>
      <w:r>
        <w:t xml:space="preserve">(Physical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0.672</m:t>
        </m:r>
      </m:oMath>
      <w:r>
        <w:t xml:space="preserve">; Psychological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0.704</m:t>
        </m:r>
      </m:oMath>
      <w:r>
        <w:t xml:space="preserve">; Social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0.630</m:t>
        </m:r>
      </m:oMath>
      <w:r>
        <w:t xml:space="preserve">; Environmental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0.709</m:t>
        </m:r>
      </m:oMath>
      <w:r>
        <w:t xml:space="preserve">), all within the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  <m:r>
          <m:t>S</m:t>
        </m:r>
        <m:r>
          <m:t>D</m:t>
        </m:r>
      </m:oMath>
      <w:r>
        <w:t xml:space="preserve"> </w:t>
      </w:r>
      <w:r>
        <w:t xml:space="preserve">range reported by</w:t>
      </w:r>
      <w:r>
        <w:t xml:space="preserve"> </w:t>
      </w:r>
      <w:r>
        <w:t xml:space="preserve">Lin &amp; Yao (2022)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Interfactor correlations (</w:t>
      </w:r>
      <m:oMath>
        <m:r>
          <m:t>ϕ</m:t>
        </m:r>
      </m:oMath>
      <w:r>
        <w:rPr>
          <w:b/>
          <w:bCs/>
        </w:rPr>
        <w:t xml:space="preserve">)</w:t>
      </w:r>
      <w:r>
        <w:t xml:space="preserve">: Fixed at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(the upper</w:t>
      </w:r>
      <w:r>
        <w:t xml:space="preserve"> </w:t>
      </w:r>
      <w:r>
        <w:t xml:space="preserve">bound from</w:t>
      </w:r>
      <w:r>
        <w:t xml:space="preserve"> </w:t>
      </w:r>
      <w:r>
        <w:t xml:space="preserve">Lin &amp; Yao (2022)</w:t>
      </w:r>
      <w:r>
        <w:t xml:space="preserve">), making factors harder to distinguish and</w:t>
      </w:r>
      <w:r>
        <w:t xml:space="preserve"> </w:t>
      </w:r>
      <w:r>
        <w:t xml:space="preserve">yielding a deliberately conservative power estimate.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Derived parameters</w:t>
      </w:r>
      <w:r>
        <w:t xml:space="preserve">: Physical (</w:t>
      </w:r>
      <m:oMath>
        <m:r>
          <m:t>λ</m:t>
        </m:r>
        <m:r>
          <m:rPr>
            <m:sty m:val="p"/>
          </m:rPr>
          <m:t>=</m:t>
        </m:r>
        <m:r>
          <m:t>0.4758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0.7736</m:t>
        </m:r>
      </m:oMath>
      <w:r>
        <w:t xml:space="preserve">); Psychological (</w:t>
      </w:r>
      <m:oMath>
        <m:r>
          <m:t>λ</m:t>
        </m:r>
        <m:r>
          <m:rPr>
            <m:sty m:val="p"/>
          </m:rPr>
          <m:t>=</m:t>
        </m:r>
        <m:r>
          <m:t>0.5328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0.7161</m:t>
        </m:r>
      </m:oMath>
      <w:r>
        <w:t xml:space="preserve">); Social (</w:t>
      </w:r>
      <m:oMath>
        <m:r>
          <m:t>λ</m:t>
        </m:r>
        <m:r>
          <m:rPr>
            <m:sty m:val="p"/>
          </m:rPr>
          <m:t>=</m:t>
        </m:r>
        <m:r>
          <m:t>0.6017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0.6379</m:t>
        </m:r>
      </m:oMath>
      <w:r>
        <w:t xml:space="preserve">); Environmental (</w:t>
      </w:r>
      <m:oMath>
        <m:r>
          <m:t>λ</m:t>
        </m:r>
        <m:r>
          <m:rPr>
            <m:sty m:val="p"/>
          </m:rPr>
          <m:t>=</m:t>
        </m:r>
        <m:r>
          <m:t>0.4832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0.7665</m:t>
        </m:r>
      </m:oMath>
      <w:r>
        <w:t xml:space="preserve">). The residual covariance between</w:t>
      </w:r>
      <w:r>
        <w:t xml:space="preserve"> </w:t>
      </w:r>
      <m:oMath>
        <m:r>
          <m:t>Q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4</m:t>
        </m:r>
      </m:oMath>
      <w:r>
        <w:t xml:space="preserve"> </w:t>
      </w:r>
      <w:r>
        <w:t xml:space="preserve">is adjusted to</w:t>
      </w:r>
      <w:r>
        <w:t xml:space="preserve"> </w:t>
      </w:r>
      <m:oMath>
        <m:r>
          <m:t>0.2321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diagram-naivemodel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1_population_models-fig-diagram-naivemodel-outpu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Path diagram of the naivemodel</w:t>
            </w:r>
          </w:p>
          <w:bookmarkEnd w:id="22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3">
        <w:r>
          <w:rPr>
            <w:rStyle w:val="Hyperlink"/>
            <w:vertAlign w:val="subscript"/>
          </w:rPr>
          <w:t xml:space="preserve">Population Models</w:t>
        </w:r>
      </w:hyperlink>
    </w:p>
    <w:bookmarkEnd w:id="24"/>
    <w:bookmarkStart w:id="30" w:name="optimistic-model"/>
    <w:p>
      <w:pPr>
        <w:pStyle w:val="Heading3"/>
      </w:pPr>
      <w:r>
        <w:t xml:space="preserve">2.3 Optimistic model</w:t>
      </w:r>
    </w:p>
    <w:p>
      <w:pPr>
        <w:pStyle w:val="FirstParagraph"/>
      </w:pPr>
      <w:r>
        <w:t xml:space="preserve">The optimistic model applies the same Spearman-Brown derivation but</w:t>
      </w:r>
      <w:r>
        <w:t xml:space="preserve"> </w:t>
      </w:r>
      <w:r>
        <w:t xml:space="preserve">draws on the highest observed Cronbach’s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per domain,</w:t>
      </w:r>
      <w:r>
        <w:t xml:space="preserve"> </w:t>
      </w:r>
      <w:r>
        <w:t xml:space="preserve">producing stronger loadings and lower residual variances relative to the</w:t>
      </w:r>
      <w:r>
        <w:t xml:space="preserve"> </w:t>
      </w:r>
      <w:r>
        <w:t xml:space="preserve">naive model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Alpha sources</w:t>
      </w:r>
      <w:r>
        <w:t xml:space="preserve">: Maximum domain alphas from the literature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 </w:t>
      </w:r>
      <w:r>
        <w:t xml:space="preserve">(Physical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0.860</m:t>
        </m:r>
      </m:oMath>
      <w:r>
        <w:t xml:space="preserve">; Psychological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0.860</m:t>
        </m:r>
      </m:oMath>
      <w:r>
        <w:t xml:space="preserve">; Social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0.810</m:t>
        </m:r>
      </m:oMath>
      <w:r>
        <w:t xml:space="preserve">; Environmental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0.849</m:t>
        </m:r>
      </m:oMath>
      <w:r>
        <w:t xml:space="preserve">), all confirmed within the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  <m:r>
          <m:t>S</m:t>
        </m:r>
        <m:r>
          <m:t>D</m:t>
        </m:r>
      </m:oMath>
      <w:r>
        <w:t xml:space="preserve"> </w:t>
      </w:r>
      <w:r>
        <w:t xml:space="preserve">range from</w:t>
      </w:r>
      <w:r>
        <w:t xml:space="preserve"> </w:t>
      </w:r>
      <w:r>
        <w:t xml:space="preserve">Lin &amp; Yao (2022)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Interfactor correlations (</w:t>
      </w:r>
      <m:oMath>
        <m:r>
          <m:t>ϕ</m:t>
        </m:r>
      </m:oMath>
      <w:r>
        <w:rPr>
          <w:b/>
          <w:bCs/>
        </w:rPr>
        <w:t xml:space="preserve">)</w:t>
      </w:r>
      <w:r>
        <w:t xml:space="preserve">: Fixed at</w:t>
      </w:r>
      <w:r>
        <w:t xml:space="preserve"> </w:t>
      </w:r>
      <m:oMath>
        <m:r>
          <m:t>0.08</m:t>
        </m:r>
      </m:oMath>
      <w:r>
        <w:t xml:space="preserve"> </w:t>
      </w:r>
      <w:r>
        <w:t xml:space="preserve">(the lower</w:t>
      </w:r>
      <w:r>
        <w:t xml:space="preserve"> </w:t>
      </w:r>
      <w:r>
        <w:t xml:space="preserve">bound from</w:t>
      </w:r>
      <w:r>
        <w:t xml:space="preserve"> </w:t>
      </w:r>
      <w:r>
        <w:t xml:space="preserve">Lin &amp; Yao (2022)</w:t>
      </w:r>
      <w:r>
        <w:t xml:space="preserve">), so that factors are well distinguished and</w:t>
      </w:r>
      <w:r>
        <w:t xml:space="preserve"> </w:t>
      </w:r>
      <w:r>
        <w:t xml:space="preserve">sample size requirements are reduced.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Derived parameters</w:t>
      </w:r>
      <w:r>
        <w:t xml:space="preserve">: Physical (</w:t>
      </w:r>
      <m:oMath>
        <m:r>
          <m:t>λ</m:t>
        </m:r>
        <m:r>
          <m:rPr>
            <m:sty m:val="p"/>
          </m:rPr>
          <m:t>=</m:t>
        </m:r>
        <m:r>
          <m:t>0.6837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0.5326</m:t>
        </m:r>
      </m:oMath>
      <w:r>
        <w:t xml:space="preserve">); Psychological (</w:t>
      </w:r>
      <m:oMath>
        <m:r>
          <m:t>λ</m:t>
        </m:r>
        <m:r>
          <m:rPr>
            <m:sty m:val="p"/>
          </m:rPr>
          <m:t>=</m:t>
        </m:r>
        <m:r>
          <m:t>0.7113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0.4941</m:t>
        </m:r>
      </m:oMath>
      <w:r>
        <w:t xml:space="preserve">); Social (</w:t>
      </w:r>
      <m:oMath>
        <m:r>
          <m:t>λ</m:t>
        </m:r>
        <m:r>
          <m:rPr>
            <m:sty m:val="p"/>
          </m:rPr>
          <m:t>=</m:t>
        </m:r>
        <m:r>
          <m:t>0.7661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0.4130</m:t>
        </m:r>
      </m:oMath>
      <w:r>
        <w:t xml:space="preserve">); Environmental (</w:t>
      </w:r>
      <m:oMath>
        <m:r>
          <m:t>λ</m:t>
        </m:r>
        <m:r>
          <m:rPr>
            <m:sty m:val="p"/>
          </m:rPr>
          <m:t>=</m:t>
        </m:r>
        <m:r>
          <m:t>0.6424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0.5873</m:t>
        </m:r>
      </m:oMath>
      <w:r>
        <w:t xml:space="preserve">). The residual covariance between</w:t>
      </w:r>
      <w:r>
        <w:t xml:space="preserve"> </w:t>
      </w:r>
      <m:oMath>
        <m:r>
          <m:t>Q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4</m:t>
        </m:r>
      </m:oMath>
      <w:r>
        <w:t xml:space="preserve"> </w:t>
      </w:r>
      <w:r>
        <w:t xml:space="preserve">is adjusted to</w:t>
      </w:r>
      <w:r>
        <w:t xml:space="preserve"> </w:t>
      </w:r>
      <m:oMath>
        <m:r>
          <m:t>0.1598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iagram-optmodel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1_population_models-fig-diagram-optmodel-output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Path diagram of the optmodel</w:t>
            </w:r>
          </w:p>
          <w:bookmarkEnd w:id="28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9">
        <w:r>
          <w:rPr>
            <w:rStyle w:val="Hyperlink"/>
            <w:vertAlign w:val="subscript"/>
          </w:rPr>
          <w:t xml:space="preserve">Population Models</w:t>
        </w:r>
      </w:hyperlink>
    </w:p>
    <w:bookmarkEnd w:id="30"/>
    <w:bookmarkStart w:id="36" w:name="misspecification-model"/>
    <w:p>
      <w:pPr>
        <w:pStyle w:val="Heading3"/>
      </w:pPr>
      <w:r>
        <w:t xml:space="preserve">2.4 Misspecification model</w:t>
      </w:r>
    </w:p>
    <w:p>
      <w:pPr>
        <w:pStyle w:val="FirstParagraph"/>
      </w:pPr>
      <w:r>
        <w:t xml:space="preserve">This model defines the alternative hypothesis 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): a cross-loading</w:t>
      </w:r>
      <w:r>
        <w:t xml:space="preserve"> </w:t>
      </w:r>
      <w:r>
        <w:t xml:space="preserve">variant of the four-factor structure in which three empirically</w:t>
      </w:r>
      <w:r>
        <w:t xml:space="preserve"> </w:t>
      </w:r>
      <w:r>
        <w:t xml:space="preserve">motivated cross-loadings are added based on the meta-EFA results of</w:t>
      </w:r>
      <w:r>
        <w:t xml:space="preserve"> </w:t>
      </w:r>
      <w:r>
        <w:t xml:space="preserve">Lin &amp; Yao (2022)</w:t>
      </w:r>
      <w:r>
        <w:t xml:space="preserve"> </w:t>
      </w:r>
      <w:r>
        <w:t xml:space="preserve">and the systematic review evidence in</w:t>
      </w:r>
      <w:r>
        <w:t xml:space="preserve"> </w:t>
      </w:r>
      <w:r>
        <w:t xml:space="preserve">Mosqueira Taipe et al.</w:t>
      </w:r>
      <w:r>
        <w:t xml:space="preserve"> </w:t>
      </w:r>
      <w:r>
        <w:t xml:space="preserve">(2026)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Cross-loading 1</w:t>
      </w:r>
      <w:r>
        <w:t xml:space="preserve">: Item</w:t>
      </w:r>
      <w:r>
        <w:t xml:space="preserve"> </w:t>
      </w:r>
      <m:oMath>
        <m:r>
          <m:t>Q</m:t>
        </m:r>
        <m:r>
          <m:t>8</m:t>
        </m:r>
      </m:oMath>
      <w:r>
        <w:t xml:space="preserve"> </w:t>
      </w:r>
      <w:r>
        <w:t xml:space="preserve">on the Psychological factor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r>
          <m:t>0.55</m:t>
        </m:r>
      </m:oMath>
      <w:r>
        <w:t xml:space="preserve">). This item showed the highest betweenness</w:t>
      </w:r>
      <w:r>
        <w:t xml:space="preserve"> </w:t>
      </w:r>
      <w:r>
        <w:t xml:space="preserve">centrality (</w:t>
      </w:r>
      <m:oMath>
        <m:r>
          <m:t>40.50</m:t>
        </m:r>
      </m:oMath>
      <w:r>
        <w:t xml:space="preserve">) and was assigned to the Psychological factor</w:t>
      </w:r>
      <w:r>
        <w:t xml:space="preserve"> </w:t>
      </w:r>
      <w:r>
        <w:t xml:space="preserve">in 9 of 16 studies</w:t>
      </w:r>
      <w:r>
        <w:t xml:space="preserve"> </w:t>
      </w:r>
      <w:r>
        <w:t xml:space="preserve">(Lin &amp; Yao, 2022)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Cross-loading 2</w:t>
      </w:r>
      <w:r>
        <w:t xml:space="preserve">: Item</w:t>
      </w:r>
      <w:r>
        <w:t xml:space="preserve"> </w:t>
      </w:r>
      <m:oMath>
        <m:r>
          <m:t>Q</m:t>
        </m:r>
        <m:r>
          <m:t>9</m:t>
        </m:r>
      </m:oMath>
      <w:r>
        <w:t xml:space="preserve"> </w:t>
      </w:r>
      <w:r>
        <w:t xml:space="preserve">on the Psychological factor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r>
          <m:t>0.21</m:t>
        </m:r>
      </m:oMath>
      <w:r>
        <w:t xml:space="preserve">), identified as a secondary loading in the</w:t>
      </w:r>
      <w:r>
        <w:t xml:space="preserve"> </w:t>
      </w:r>
      <w:r>
        <w:t xml:space="preserve">five-factor EFA solution.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Cross-loading 3</w:t>
      </w:r>
      <w:r>
        <w:t xml:space="preserve">: Item</w:t>
      </w:r>
      <w:r>
        <w:t xml:space="preserve"> </w:t>
      </w:r>
      <m:oMath>
        <m:r>
          <m:t>Q</m:t>
        </m:r>
        <m:r>
          <m:t>15</m:t>
        </m:r>
      </m:oMath>
      <w:r>
        <w:t xml:space="preserve"> </w:t>
      </w:r>
      <w:r>
        <w:t xml:space="preserve">on the Environmental factor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r>
          <m:t>0.24</m:t>
        </m:r>
      </m:oMath>
      <w:r>
        <w:t xml:space="preserve">).</w:t>
      </w:r>
      <w:r>
        <w:t xml:space="preserve"> </w:t>
      </w:r>
      <w:r>
        <w:t xml:space="preserve">“Mobility”</w:t>
      </w:r>
      <w:r>
        <w:t xml:space="preserve"> </w:t>
      </w:r>
      <w:r>
        <w:t xml:space="preserve">conceptually bridges physical</w:t>
      </w:r>
      <w:r>
        <w:t xml:space="preserve"> </w:t>
      </w:r>
      <w:r>
        <w:t xml:space="preserve">ability and environmental access, and this item showed the</w:t>
      </w:r>
      <w:r>
        <w:t xml:space="preserve"> </w:t>
      </w:r>
      <w:r>
        <w:t xml:space="preserve">second-highest betweenness centrality (</w:t>
      </w:r>
      <m:oMath>
        <m:r>
          <m:t>36.50</m:t>
        </m:r>
      </m:oMath>
      <w:r>
        <w:t xml:space="preserve">)</w:t>
      </w:r>
      <w:r>
        <w:t xml:space="preserve"> </w:t>
      </w:r>
      <w:r>
        <w:t xml:space="preserve">(Lin &amp; Yao, 2022)</w:t>
      </w:r>
      <w:r>
        <w:t xml:space="preserve">.</w:t>
      </w:r>
    </w:p>
    <w:p>
      <w:pPr>
        <w:pStyle w:val="FirstParagraph"/>
      </w:pPr>
      <w:r>
        <w:t xml:space="preserve">Residual variances for cross-loaded items were recalculated to preserve</w:t>
      </w:r>
      <w:r>
        <w:t xml:space="preserve"> </w:t>
      </w:r>
      <w:r>
        <w:t xml:space="preserve">total item variance: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λ</m:t>
            </m:r>
          </m:e>
          <m:sub>
            <m:r>
              <m:rPr>
                <m:nor/>
                <m:sty m:val="p"/>
              </m:rPr>
              <m:t>primary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λ</m:t>
            </m:r>
          </m:e>
          <m:sub>
            <m:r>
              <m:rPr>
                <m:nor/>
                <m:sty m:val="p"/>
              </m:rPr>
              <m:t>secondary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primary</m:t>
            </m:r>
          </m:sub>
        </m:sSub>
        <m:sSub>
          <m:e>
            <m:r>
              <m:t>λ</m:t>
            </m:r>
          </m:e>
          <m:sub>
            <m:r>
              <m:rPr>
                <m:nor/>
                <m:sty m:val="p"/>
              </m:rPr>
              <m:t>secondary</m:t>
            </m:r>
          </m:sub>
        </m:sSub>
        <m:r>
          <m:t>ϕ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0.20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iagram-h1model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1_population_models-fig-diagram-h1model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Path diagram of the h1model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5">
        <w:r>
          <w:rPr>
            <w:rStyle w:val="Hyperlink"/>
            <w:vertAlign w:val="subscript"/>
          </w:rPr>
          <w:t xml:space="preserve">Population Models</w:t>
        </w:r>
      </w:hyperlink>
    </w:p>
    <w:bookmarkEnd w:id="36"/>
    <w:bookmarkStart w:id="41" w:name="summary-of-population-models"/>
    <w:p>
      <w:pPr>
        <w:pStyle w:val="Heading3"/>
      </w:pPr>
      <w:r>
        <w:t xml:space="preserve">2.5 Summary of population models</w:t>
      </w:r>
    </w:p>
    <w:p>
      <w:pPr>
        <w:pStyle w:val="FirstParagraph"/>
      </w:pPr>
      <w:hyperlink w:anchor="tbl-pop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presents all parameters of the four population models.</w:t>
      </w:r>
      <w:r>
        <w:t xml:space="preserve"> </w:t>
      </w:r>
      <w:hyperlink w:anchor="tbl-pop-comparis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key features across models — minimum and</w:t>
      </w:r>
      <w:r>
        <w:t xml:space="preserve"> </w:t>
      </w:r>
      <w:r>
        <w:t xml:space="preserve">maximum factor loadings, mean loading, modal interfactor correlation,</w:t>
      </w:r>
      <w:r>
        <w:t xml:space="preserve"> </w:t>
      </w:r>
      <w:r>
        <w:t xml:space="preserve">minimum and maximum residual variances, and the residual correlation</w:t>
      </w:r>
      <w:r>
        <w:t xml:space="preserve"> </w:t>
      </w:r>
      <w:r>
        <w:t xml:space="preserve">between</w:t>
      </w:r>
      <w:r>
        <w:t xml:space="preserve"> </w:t>
      </w:r>
      <m:oMath>
        <m:r>
          <m:t>Q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4</m:t>
        </m:r>
      </m:oMath>
      <w:r>
        <w:t xml:space="preserve"> </w:t>
      </w:r>
      <w:r>
        <w:t xml:space="preserve">— to facilitate direct comparison.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pop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population models used for sensitivity analysis</w:t>
            </w:r>
          </w:p>
          <w:tbl>
            <w:tblPr>
              <w:tblStyle w:val="Table"/>
              <w:tblW w:type="pct" w:w="4870"/>
              <w:tblLayout w:type="fixed"/>
              <w:tblLook w:firstRow="1" w:lastRow="0" w:firstColumn="0" w:lastColumn="0" w:noHBand="0" w:noVBand="0" w:val="0020"/>
            </w:tblPr>
            <w:tblGrid>
              <w:gridCol w:w="2982"/>
              <w:gridCol w:w="1131"/>
              <w:gridCol w:w="1337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popmodel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naivemodel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optmodel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h1model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social=~Q20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social=~Q21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social=~Q22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0.2321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0.1598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psycho~~psycho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psycho~~physical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physical~~physical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Q5~~Q5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0.1536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0.1536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Q6~~Q6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Q7~~Q7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Q11~~Q11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Q19~~Q19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Q26~~Q26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0.2944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Q4~~Q4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0.3111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0.3111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Q10~~Q10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Q15~~Q15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Q16~~Q16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Q17~~Q17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Q18~~Q18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0.6279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0.6279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Q20~~Q20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0.4130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Q21~~Q21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0.4130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Q22~~Q22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0.3916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0.6379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0.4130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0.3916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Q8~~Q8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Q9~~Q9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Q12~~Q12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Q13~~Q13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Q14~~Q14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0.4071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0.4071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Q23~~Q23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Q24~~Q24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Q25~~Q25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0.2400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8">
        <w:r>
          <w:rPr>
            <w:rStyle w:val="Hyperlink"/>
            <w:vertAlign w:val="subscript"/>
          </w:rPr>
          <w:t xml:space="preserve">Population Models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pop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Comparison of model variants used for sensitivity analysis</w:t>
            </w:r>
          </w:p>
          <w:tbl>
            <w:tblPr>
              <w:tblStyle w:val="Table"/>
              <w:tblW w:type="pct" w:w="4872"/>
              <w:tblLayout w:type="fixed"/>
              <w:tblLook w:firstRow="1" w:lastRow="0" w:firstColumn="0" w:lastColumn="0" w:noHBand="0" w:noVBand="0" w:val="0020"/>
            </w:tblPr>
            <w:tblGrid>
              <w:gridCol w:w="1523"/>
              <w:gridCol w:w="1827"/>
              <w:gridCol w:w="1523"/>
              <w:gridCol w:w="1624"/>
              <w:gridCol w:w="12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Meta-analytic</w:t>
                  </w:r>
                  <w:r>
                    <w:t xml:space="preserve"> </w:t>
                  </w:r>
                  <w:r>
                    <w:t xml:space="preserve">(popmodel)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Naive</w:t>
                  </w:r>
                  <w:r>
                    <w:t xml:space="preserve"> </w:t>
                  </w:r>
                  <w:r>
                    <w:t xml:space="preserve">(naivemodel)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Optimistic</w:t>
                  </w:r>
                  <w:r>
                    <w:t xml:space="preserve"> </w:t>
                  </w:r>
                  <w:r>
                    <w:t xml:space="preserve">(optmodel)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H1</w:t>
                  </w:r>
                  <w:r>
                    <w:t xml:space="preserve"> </w:t>
                  </w:r>
                  <w:r>
                    <w:t xml:space="preserve">(h1model)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Loading 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Loading 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Loading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  <w:r>
                    <w:t xml:space="preserve"> </w:t>
                  </w:r>
                  <w:r>
                    <w:t xml:space="preserve">Correlations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Q3–Q4</w:t>
                  </w:r>
                  <w:r>
                    <w:t xml:space="preserve"> </w:t>
                  </w:r>
                  <w:r>
                    <w:t xml:space="preserve">Correlation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0">
        <w:r>
          <w:rPr>
            <w:rStyle w:val="Hyperlink"/>
            <w:vertAlign w:val="subscript"/>
          </w:rPr>
          <w:t xml:space="preserve">Population Models</w:t>
        </w:r>
      </w:hyperlink>
    </w:p>
    <w:bookmarkEnd w:id="41"/>
    <w:bookmarkStart w:id="47" w:name="analysis-model"/>
    <w:p>
      <w:pPr>
        <w:pStyle w:val="Heading3"/>
      </w:pPr>
      <w:r>
        <w:t xml:space="preserve">2.6 Analysis model</w:t>
      </w:r>
    </w:p>
    <w:p>
      <w:pPr>
        <w:pStyle w:val="FirstParagraph"/>
      </w:pPr>
      <w:r>
        <w:t xml:space="preserve">The analysis model (</w:t>
      </w:r>
      <w:r>
        <w:rPr>
          <w:rStyle w:val="VerbatimChar"/>
        </w:rPr>
        <w:t xml:space="preserve">analyzemodel</w:t>
      </w:r>
      <w:r>
        <w:t xml:space="preserve">) serves dual purposes depending on</w:t>
      </w:r>
      <w:r>
        <w:t xml:space="preserve"> </w:t>
      </w:r>
      <w:r>
        <w:t xml:space="preserve">the simulation paradigm: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Misspecification detection</w:t>
      </w:r>
      <w:r>
        <w:t xml:space="preserve">: When data are generated from the</w:t>
      </w:r>
      <w:r>
        <w:t xml:space="preserve"> </w:t>
      </w:r>
      <w:r>
        <w:t xml:space="preserve">misspecification model (</w:t>
      </w:r>
      <w:r>
        <w:rPr>
          <w:rStyle w:val="VerbatimChar"/>
        </w:rPr>
        <w:t xml:space="preserve">h1model</w:t>
      </w:r>
      <w:r>
        <w:t xml:space="preserve">), the analysis model acts as the</w:t>
      </w:r>
      <w:r>
        <w:t xml:space="preserve"> </w:t>
      </w:r>
      <w:r>
        <w:t xml:space="preserve">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) by omitting the three cross-loadings.</w:t>
      </w:r>
      <w:r>
        <w:t xml:space="preserve"> </w:t>
      </w:r>
      <w:r>
        <w:t xml:space="preserve">Power is then the probability of correctly rejecting this</w:t>
      </w:r>
      <w:r>
        <w:t xml:space="preserve"> </w:t>
      </w:r>
      <w:r>
        <w:t xml:space="preserve">under-parameterized model.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Parameter recovery</w:t>
      </w:r>
      <w:r>
        <w:t xml:space="preserve">: When data are generated from the</w:t>
      </w:r>
      <w:r>
        <w:t xml:space="preserve"> </w:t>
      </w:r>
      <w:r>
        <w:t xml:space="preserve">meta-analytic, naive, or optimistic population models, the same</w:t>
      </w:r>
      <w:r>
        <w:t xml:space="preserve"> </w:t>
      </w:r>
      <w:r>
        <w:t xml:space="preserve">structure is used to estimate the four-factor model with the</w:t>
      </w:r>
      <w:r>
        <w:t xml:space="preserve"> </w:t>
      </w:r>
      <m:oMath>
        <m:r>
          <m:t>Q</m:t>
        </m:r>
        <m:r>
          <m:t>3</m:t>
        </m:r>
      </m:oMath>
      <w:r>
        <w:t xml:space="preserve">–</w:t>
      </w:r>
      <m:oMath>
        <m:r>
          <m:t>Q</m:t>
        </m:r>
        <m:r>
          <m:t>4</m:t>
        </m:r>
      </m:oMath>
      <w:r>
        <w:t xml:space="preserve"> </w:t>
      </w:r>
      <w:r>
        <w:t xml:space="preserve">residual covariance, and power reflects the ability to</w:t>
      </w:r>
      <w:r>
        <w:t xml:space="preserve"> </w:t>
      </w:r>
      <w:r>
        <w:t xml:space="preserve">recover individual parameters.</w:t>
      </w:r>
    </w:p>
    <w:p>
      <w:pPr>
        <w:pStyle w:val="FirstParagraph"/>
      </w:pPr>
      <w:r>
        <w:t xml:space="preserve">Key specification choices: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Identification</w:t>
      </w:r>
      <w:r>
        <w:t xml:space="preserve">: Factor variances fixed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(marker-free</w:t>
      </w:r>
      <w:r>
        <w:t xml:space="preserve"> </w:t>
      </w:r>
      <w:r>
        <w:t xml:space="preserve">scaling), allowing all first-indicator loadings to be freely</w:t>
      </w:r>
      <w:r>
        <w:t xml:space="preserve"> </w:t>
      </w:r>
      <w:r>
        <w:t xml:space="preserve">estimated.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Residual covariance</w:t>
      </w:r>
      <w:r>
        <w:t xml:space="preserve">: The</w:t>
      </w:r>
      <w:r>
        <w:t xml:space="preserve"> </w:t>
      </w:r>
      <m:oMath>
        <m:r>
          <m:t>Q</m:t>
        </m:r>
        <m:r>
          <m:t>3</m:t>
        </m:r>
      </m:oMath>
      <w:r>
        <w:t xml:space="preserve">–</w:t>
      </w:r>
      <m:oMath>
        <m:r>
          <m:t>Q</m:t>
        </m:r>
        <m:r>
          <m:t>4</m:t>
        </m:r>
      </m:oMath>
      <w:r>
        <w:t xml:space="preserve"> </w:t>
      </w:r>
      <w:r>
        <w:t xml:space="preserve">covariance is freely</w:t>
      </w:r>
      <w:r>
        <w:t xml:space="preserve"> </w:t>
      </w:r>
      <w:r>
        <w:t xml:space="preserve">estimated, which is both theoretically justified and empirically</w:t>
      </w:r>
      <w:r>
        <w:t xml:space="preserve"> </w:t>
      </w:r>
      <w:r>
        <w:t xml:space="preserve">supported</w:t>
      </w:r>
      <w:r>
        <w:t xml:space="preserve"> </w:t>
      </w:r>
      <w:r>
        <w:t xml:space="preserve">(Lin &amp; Yao, 2022;</w:t>
      </w:r>
      <w:r>
        <w:t xml:space="preserve"> </w:t>
      </w:r>
      <w:r>
        <w:t xml:space="preserve">Mosqueira Taipe et al.</w:t>
      </w:r>
      <w:r>
        <w:t xml:space="preserve">, 2026)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Omitted cross-loadings</w:t>
      </w:r>
      <w:r>
        <w:t xml:space="preserve">: The deliberate exclusion of</w:t>
      </w:r>
      <w:r>
        <w:t xml:space="preserve"> </w:t>
      </w:r>
      <w:r>
        <w:t xml:space="preserve">cross-loadings for</w:t>
      </w:r>
      <w:r>
        <w:t xml:space="preserve"> </w:t>
      </w:r>
      <m:oMath>
        <m:r>
          <m:t>Q</m:t>
        </m:r>
        <m:r>
          <m:t>8</m:t>
        </m:r>
      </m:oMath>
      <w:r>
        <w:t xml:space="preserve">,</w:t>
      </w:r>
      <w:r>
        <w:t xml:space="preserve"> </w:t>
      </w:r>
      <m:oMath>
        <m:r>
          <m:t>Q</m:t>
        </m:r>
        <m:r>
          <m:t>9</m:t>
        </m:r>
      </m:oMath>
      <w:r>
        <w:t xml:space="preserve">, and</w:t>
      </w:r>
      <w:r>
        <w:t xml:space="preserve"> </w:t>
      </w:r>
      <m:oMath>
        <m:r>
          <m:t>Q</m:t>
        </m:r>
        <m:r>
          <m:t>15</m:t>
        </m:r>
      </m:oMath>
      <w:r>
        <w:t xml:space="preserve"> </w:t>
      </w:r>
      <w:r>
        <w:t xml:space="preserve">defines the</w:t>
      </w:r>
      <w:r>
        <w:t xml:space="preserve"> </w:t>
      </w:r>
      <w:r>
        <w:t xml:space="preserve">misspecification that this tutorial’s main analysis is designed to</w:t>
      </w:r>
      <w:r>
        <w:t xml:space="preserve"> </w:t>
      </w:r>
      <w:r>
        <w:t xml:space="preserve">detect.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diagram-analyzemodel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1_population_models-fig-diagram-analyzemodel-output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Path diagram of the analyzemodel</w:t>
            </w:r>
          </w:p>
          <w:bookmarkEnd w:id="4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6">
        <w:r>
          <w:rPr>
            <w:rStyle w:val="Hyperlink"/>
            <w:vertAlign w:val="subscript"/>
          </w:rPr>
          <w:t xml:space="preserve">Population Models</w:t>
        </w:r>
      </w:hyperlink>
    </w:p>
    <w:bookmarkEnd w:id="47"/>
    <w:bookmarkEnd w:id="48"/>
    <w:bookmarkStart w:id="86" w:name="sec-analytical"/>
    <w:p>
      <w:pPr>
        <w:pStyle w:val="Heading2"/>
      </w:pPr>
      <w:r>
        <w:t xml:space="preserve">3 Analytical Power Analysis</w:t>
      </w:r>
    </w:p>
    <w:p>
      <w:pPr>
        <w:pStyle w:val="FirstParagraph"/>
      </w:pPr>
      <w:r>
        <w:t xml:space="preserve">Before running any data collection, analytical power analysis answers</w:t>
      </w:r>
      <w:r>
        <w:t xml:space="preserve"> </w:t>
      </w:r>
      <w:r>
        <w:t xml:space="preserve">a fundamental planning question: how large must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so that, if</w:t>
      </w:r>
      <w:r>
        <w:t xml:space="preserve"> </w:t>
      </w:r>
      <w:r>
        <w:t xml:space="preserve">the model is wrong by at least a specified amount, we will reject it</w:t>
      </w:r>
      <w:r>
        <w:t xml:space="preserve"> </w:t>
      </w:r>
      <w:r>
        <w:t xml:space="preserve">with acceptable probability? In SEM, the dominant analytical framework</w:t>
      </w:r>
      <w:r>
        <w:t xml:space="preserve"> </w:t>
      </w:r>
      <w:r>
        <w:t xml:space="preserve">links misspecification to the non-central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through</w:t>
      </w:r>
      <w:r>
        <w:t xml:space="preserve"> </w:t>
      </w:r>
      <w:r>
        <w:t xml:space="preserve">the noncentrality parameter</w:t>
      </w:r>
      <w:r>
        <w:t xml:space="preserve"> </w:t>
      </w:r>
      <m:oMath>
        <m:r>
          <m:t>λ</m:t>
        </m:r>
      </m:oMath>
      <w:r>
        <w:t xml:space="preserve">, which scales with both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magnitude of model discrepancy</w:t>
      </w:r>
      <w:r>
        <w:t xml:space="preserve"> </w:t>
      </w:r>
      <w:r>
        <w:t xml:space="preserve">(Jak et al., 2021; MacCallum et al., 1996)</w:t>
      </w:r>
      <w:r>
        <w:t xml:space="preserve">.</w:t>
      </w:r>
    </w:p>
    <w:bookmarkStart w:id="49" w:name="sec-df"/>
    <w:p>
      <w:pPr>
        <w:pStyle w:val="Heading3"/>
      </w:pPr>
      <w:r>
        <w:t xml:space="preserve">3.1 Model Degrees of Freedom</w:t>
      </w:r>
    </w:p>
    <w:p>
      <w:pPr>
        <w:pStyle w:val="FirstParagraph"/>
      </w:pPr>
      <w:r>
        <w:t xml:space="preserve">All analytical calculations in this section depend on the model degrees</w:t>
      </w:r>
      <w:r>
        <w:t xml:space="preserve"> </w:t>
      </w:r>
      <w:r>
        <w:t xml:space="preserve">of freedom (</w:t>
      </w:r>
      <m:oMath>
        <m:r>
          <m:t>d</m:t>
        </m:r>
        <m:r>
          <m:t>f</m:t>
        </m:r>
      </m:oMath>
      <w:r>
        <w:t xml:space="preserve">) — the difference between the number of unique</w:t>
      </w:r>
      <w:r>
        <w:t xml:space="preserve"> </w:t>
      </w:r>
      <w:r>
        <w:t xml:space="preserve">variances and covariances in the observed data and the number of freely</w:t>
      </w:r>
      <w:r>
        <w:t xml:space="preserve"> </w:t>
      </w:r>
      <w:r>
        <w:t xml:space="preserve">estimated parameters. This quantity enters the non-central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directly and is therefore required before any a priori or</w:t>
      </w:r>
      <w:r>
        <w:t xml:space="preserve"> </w:t>
      </w:r>
      <w:r>
        <w:t xml:space="preserve">post hoc power calculation can proceed</w:t>
      </w:r>
      <w:r>
        <w:t xml:space="preserve"> </w:t>
      </w:r>
      <w:r>
        <w:t xml:space="preserve">(Jak et al., 2021; Moshagen &amp; Bader, 2024)</w:t>
      </w:r>
      <w:r>
        <w:t xml:space="preserve">. For the</w:t>
      </w:r>
      <w:r>
        <w:t xml:space="preserve"> </w:t>
      </w:r>
      <w:r>
        <w:t xml:space="preserve">hypothesized four-factor WHOQOL-BREF CFA model analyzed here (comprising</w:t>
      </w:r>
      <w:r>
        <w:t xml:space="preserve"> </w:t>
      </w:r>
      <w:r>
        <w:t xml:space="preserve">24 observed indicators, yielding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non-redundant sample</w:t>
      </w:r>
      <w:r>
        <w:t xml:space="preserve"> </w:t>
      </w:r>
      <w:r>
        <w:t xml:space="preserve">moments and 55 freely estimated parameters under standardized latent</w:t>
      </w:r>
      <w:r>
        <w:t xml:space="preserve"> </w:t>
      </w:r>
      <w:r>
        <w:t xml:space="preserve">variables), this yields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245</m:t>
        </m:r>
      </m:oMath>
      <w:r>
        <w:t xml:space="preserve">.</w:t>
      </w:r>
    </w:p>
    <w:bookmarkEnd w:id="49"/>
    <w:bookmarkStart w:id="66" w:name="sec-apriori"/>
    <w:p>
      <w:pPr>
        <w:pStyle w:val="Heading3"/>
      </w:pPr>
      <w:r>
        <w:t xml:space="preserve">3.2 A Priori: How Many Observations?</w:t>
      </w:r>
    </w:p>
    <w:bookmarkStart w:id="57" w:name="model-free-approach-rmsea-based"/>
    <w:p>
      <w:pPr>
        <w:pStyle w:val="Heading4"/>
      </w:pPr>
      <w:r>
        <w:t xml:space="preserve">3.2.1 Model-free approach (RMSEA-based)</w:t>
      </w:r>
    </w:p>
    <w:p>
      <w:pPr>
        <w:pStyle w:val="FirstParagraph"/>
      </w:pPr>
      <w:r>
        <w:t xml:space="preserve">The simplest analytical strategy sets the target effect through the</w:t>
      </w:r>
      <w:r>
        <w:t xml:space="preserve"> </w:t>
      </w:r>
      <w:r>
        <w:t xml:space="preserve">RMSEA, a noncentrality-based index that expresses misfit per degree of</w:t>
      </w:r>
      <w:r>
        <w:t xml:space="preserve"> </w:t>
      </w:r>
      <w:r>
        <w:t xml:space="preserve">freedom and is therefore comparable across models of different</w:t>
      </w:r>
      <w:r>
        <w:t xml:space="preserve"> </w:t>
      </w:r>
      <w:r>
        <w:t xml:space="preserve">complexity</w:t>
      </w:r>
      <w:r>
        <w:t xml:space="preserve"> </w:t>
      </w:r>
      <w:r>
        <w:t xml:space="preserve">(MacCallum et al., 1996)</w:t>
      </w:r>
      <w:r>
        <w:t xml:space="preserve">. Because RMSEA is directly linked to the</w:t>
      </w:r>
      <w:r>
        <w:t xml:space="preserve"> </w:t>
      </w:r>
      <w:r>
        <w:t xml:space="preserve">population minimum of the fitting function through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RMSEA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d</m:t>
        </m:r>
        <m:r>
          <m:t>f</m:t>
        </m:r>
      </m:oMath>
      <w:r>
        <w:t xml:space="preserve">, specifying a target RMSEA is</w:t>
      </w:r>
      <w:r>
        <w:t xml:space="preserve"> </w:t>
      </w:r>
      <w:r>
        <w:t xml:space="preserve">sufficient to define the entire noncentrality-based framework needed for</w:t>
      </w:r>
      <w:r>
        <w:t xml:space="preserve"> </w:t>
      </w:r>
      <w:r>
        <w:t xml:space="preserve">the power calculation. The approach is</w:t>
      </w:r>
      <w:r>
        <w:t xml:space="preserve"> </w:t>
      </w:r>
      <w:r>
        <w:t xml:space="preserve">“model-free”</w:t>
      </w:r>
      <w:r>
        <w:t xml:space="preserve"> </w:t>
      </w:r>
      <w:r>
        <w:t xml:space="preserve">in the sense that no</w:t>
      </w:r>
      <w:r>
        <w:t xml:space="preserve"> </w:t>
      </w:r>
      <w:r>
        <w:t xml:space="preserve">explicit population model needs to be specified: the required sample</w:t>
      </w:r>
      <w:r>
        <w:t xml:space="preserve"> </w:t>
      </w:r>
      <w:r>
        <w:t xml:space="preserve">size depends only on</w:t>
      </w:r>
      <w:r>
        <w:t xml:space="preserve"> </w:t>
      </w:r>
      <m:oMath>
        <m:r>
          <m:rPr>
            <m:nor/>
            <m:sty m:val="p"/>
          </m:rPr>
          <m:t>RMSEA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 desired power, and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(Jak et al., 2021; Jobst et al., 2023)</w:t>
      </w:r>
      <w:r>
        <w:t xml:space="preserve">.</w:t>
      </w:r>
    </w:p>
    <w:p>
      <w:pPr>
        <w:pStyle w:val="BodyText"/>
      </w:pPr>
      <w:r>
        <w:t xml:space="preserve">This strategy is most appropriate when the objective is to plan sample</w:t>
      </w:r>
      <w:r>
        <w:t xml:space="preserve"> </w:t>
      </w:r>
      <w:r>
        <w:t xml:space="preserve">size for detecting overall model misspecification in a global</w:t>
      </w:r>
      <w:r>
        <w:t xml:space="preserve"> </w:t>
      </w:r>
      <w:r>
        <w:t xml:space="preserve">chi-square test of fit, rather than for testing an individual parameter</w:t>
      </w:r>
      <w:r>
        <w:t xml:space="preserve"> </w:t>
      </w:r>
      <w:r>
        <w:t xml:space="preserve">restriction</w:t>
      </w:r>
      <w:r>
        <w:t xml:space="preserve"> </w:t>
      </w:r>
      <w:r>
        <w:t xml:space="preserve">(Moshagen &amp; Bader, 2024; Wang, 2023)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apriori-rmse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Analytical a priori power parameters for RMSEA = 0.05</w:t>
            </w:r>
          </w:p>
          <w:tbl>
            <w:tblPr>
              <w:tblStyle w:val="Table"/>
              <w:tblW w:type="pct" w:w="4870"/>
              <w:tblLayout w:type="fixed"/>
              <w:tblLook w:firstRow="1" w:lastRow="0" w:firstColumn="0" w:lastColumn="0" w:noHBand="0" w:noVBand="0" w:val="0020"/>
            </w:tblPr>
            <w:tblGrid>
              <w:gridCol w:w="4114"/>
              <w:gridCol w:w="2571"/>
              <w:gridCol w:w="10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 discrepancy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 mean square error of approximation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RMSEA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McDonald centrality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Goodness-of-fit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GFI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Adjusted goodness-of-fit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AGFI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Degrees of freedom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d</m:t>
                    </m:r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Required sample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 chi-square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crit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282.511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Noncentrality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60.638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Significance level (alpha)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 II error rate (beta)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0.8016</w:t>
                  </w:r>
                </w:p>
              </w:tc>
            </w:tr>
          </w:tbl>
          <w:bookmarkEnd w:id="50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1">
        <w:r>
          <w:rPr>
            <w:rStyle w:val="Hyperlink"/>
            <w:vertAlign w:val="subscript"/>
          </w:rPr>
          <w:t xml:space="preserve">Analytical Power Analysis</w:t>
        </w:r>
      </w:hyperlink>
    </w:p>
    <w:p>
      <w:pPr>
        <w:pStyle w:val="BodyText"/>
      </w:pPr>
      <w:r>
        <w:t xml:space="preserve">The analytical solution reported in</w:t>
      </w:r>
      <w:r>
        <w:t xml:space="preserve"> </w:t>
      </w:r>
      <w:hyperlink w:anchor="tbl-apriori-rmse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indicates the minimum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required to detect misfit of</w:t>
      </w:r>
      <w:r>
        <w:t xml:space="preserve"> </w:t>
      </w:r>
      <m:oMath>
        <m:r>
          <m:rPr>
            <m:nor/>
            <m:sty m:val="p"/>
          </m:rPr>
          <m:t>RMSEA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with power</w:t>
      </w:r>
      <w:r>
        <w:t xml:space="preserve"> </w:t>
      </w:r>
      <m:oMath>
        <m:r>
          <m:rPr>
            <m:sty m:val="p"/>
          </m:rPr>
          <m:t>≈</m:t>
        </m:r>
        <m:r>
          <m:t>0.80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Note that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refers to the misspecification level to be detected</w:t>
      </w:r>
      <w:r>
        <w:t xml:space="preserve"> </w:t>
      </w:r>
      <w:r>
        <w:t xml:space="preserve">under the alternative hypothesis, not to a tolerated misfit level under</w:t>
      </w:r>
      <w:r>
        <w:t xml:space="preserve"> </w:t>
      </w:r>
      <w:r>
        <w:t xml:space="preserve">the null</w:t>
      </w:r>
      <w:r>
        <w:t xml:space="preserve"> </w:t>
      </w:r>
      <w:r>
        <w:t xml:space="preserve">(Jak et al., 2021; MacCallum et al., 1996)</w:t>
      </w:r>
      <w:r>
        <w:t xml:space="preserve">.</w:t>
      </w:r>
    </w:p>
    <w:p>
      <w:pPr>
        <w:pStyle w:val="BodyText"/>
      </w:pPr>
      <w:r>
        <w:t xml:space="preserve">The table presents several equivalent representations of the same target</w:t>
      </w:r>
      <w:r>
        <w:t xml:space="preserve"> </w:t>
      </w:r>
      <w:r>
        <w:t xml:space="preserve">effect. The value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0.613 is the population</w:t>
      </w:r>
      <w:r>
        <w:t xml:space="preserve"> </w:t>
      </w:r>
      <w:r>
        <w:t xml:space="preserve">minimum of the fitting function, obtained from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d</m:t>
        </m:r>
        <m:r>
          <m:t>f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RMSEA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245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Alongside it, the summary also reports</w:t>
      </w:r>
      <w:r>
        <w:t xml:space="preserve"> </w:t>
      </w:r>
      <m:oMath>
        <m:r>
          <m:t>M</m:t>
        </m:r>
        <m:r>
          <m:t>c</m:t>
        </m:r>
      </m:oMath>
      <w:r>
        <w:t xml:space="preserve"> </w:t>
      </w:r>
      <w:r>
        <w:t xml:space="preserve">= 0.736,</w:t>
      </w:r>
      <w:r>
        <w:t xml:space="preserve"> </w:t>
      </w:r>
      <m:oMath>
        <m:r>
          <m:t>G</m:t>
        </m:r>
        <m:r>
          <m:t>F</m:t>
        </m:r>
        <m:r>
          <m:t>I</m:t>
        </m:r>
      </m:oMath>
      <w:r>
        <w:t xml:space="preserve"> </w:t>
      </w:r>
      <w:r>
        <w:t xml:space="preserve">= 0.951, and</w:t>
      </w:r>
      <w:r>
        <w:t xml:space="preserve"> </w:t>
      </w:r>
      <m:oMath>
        <m:r>
          <m:t>A</m:t>
        </m:r>
        <m:r>
          <m:t>G</m:t>
        </m:r>
        <m:r>
          <m:t>F</m:t>
        </m:r>
        <m:r>
          <m:t>I</m:t>
        </m:r>
      </m:oMath>
      <w:r>
        <w:t xml:space="preserve"> </w:t>
      </w:r>
      <w:r>
        <w:t xml:space="preserve">= 0.941. These are not distinct effect sizes</w:t>
      </w:r>
      <w:r>
        <w:t xml:space="preserve"> </w:t>
      </w:r>
      <w:r>
        <w:t xml:space="preserve">but alternative summaries of the same degree of model misfit, expressed</w:t>
      </w:r>
      <w:r>
        <w:t xml:space="preserve"> </w:t>
      </w:r>
      <w:r>
        <w:t xml:space="preserve">in the metrics used by</w:t>
      </w:r>
      <w:r>
        <w:t xml:space="preserve"> </w:t>
      </w:r>
      <w:r>
        <w:rPr>
          <w:rStyle w:val="VerbatimChar"/>
        </w:rPr>
        <w:t xml:space="preserve">semPower</w:t>
      </w:r>
      <w:r>
        <w:t xml:space="preserve"> </w:t>
      </w:r>
      <w:r>
        <w:t xml:space="preserve">(Moshagen &amp; Bader, 2024)</w:t>
      </w:r>
      <w:r>
        <w:t xml:space="preserve">.</w:t>
      </w:r>
    </w:p>
    <w:p>
      <w:pPr>
        <w:pStyle w:val="BodyText"/>
      </w:pPr>
      <w:r>
        <w:t xml:space="preserve">The key conversion is: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f</m:t>
          </m:r>
          <m:r>
            <m:t> </m:t>
          </m:r>
          <m:sSup>
            <m:e>
              <m:r>
                <m:rPr>
                  <m:nor/>
                  <m:sty m:val="p"/>
                </m:rPr>
                <m:t>RMSEA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which translates the chosen misfit into the noncentrality parameter used</w:t>
      </w:r>
      <w:r>
        <w:t xml:space="preserve"> </w:t>
      </w:r>
      <w:r>
        <w:t xml:space="preserve">to locate the alternative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(Jak et al., 2021; MacCallum et al., 1996)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= 245, the a priori solution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100. At that</w:t>
      </w:r>
      <w:r>
        <w:t xml:space="preserve"> </w:t>
      </w:r>
      <m:oMath>
        <m:r>
          <m:t>N</m:t>
        </m:r>
      </m:oMath>
      <w:r>
        <w:t xml:space="preserve">, the noncentrality parameter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60.638 and the critical value</w:t>
      </w:r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χ</m:t>
            </m:r>
          </m:e>
          <m:sub>
            <m:r>
              <m:t>c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282.511. The implied</w:t>
      </w:r>
      <w:r>
        <w:t xml:space="preserve"> </w:t>
      </w:r>
      <m:oMath>
        <m:r>
          <m:t>β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0.198 corresponds to power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0.802, confirming</w:t>
      </w:r>
      <w:r>
        <w:t xml:space="preserve"> </w:t>
      </w:r>
      <w:r>
        <w:t xml:space="preserve">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100 is the minimum sample size at which</w:t>
      </w:r>
      <w:r>
        <w:t xml:space="preserve"> </w:t>
      </w:r>
      <w:r>
        <w:t xml:space="preserve">the target operating characteristics are met</w:t>
      </w:r>
      <w:r>
        <w:t xml:space="preserve"> </w:t>
      </w:r>
      <w:r>
        <w:t xml:space="preserve">(Jobst et al., 2023)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fig-apriori-rmsea">
        <w:r>
          <w:rPr>
            <w:rStyle w:val="Hyperlink"/>
          </w:rPr>
          <w:t xml:space="preserve">Figure 6</w:t>
        </w:r>
      </w:hyperlink>
      <w:r>
        <w:t xml:space="preserve">, the solid red curve is the 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exact</w:t>
      </w:r>
      <w:r>
        <w:t xml:space="preserve"> </w:t>
      </w:r>
      <w:r>
        <w:t xml:space="preserve">fit, the dashed blue curve is the noncentral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 target</w:t>
      </w:r>
      <w:r>
        <w:t xml:space="preserve"> </w:t>
      </w:r>
      <w:r>
        <w:t xml:space="preserve">misspecification, and the vertical dotted line at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282.511 is the decision threshold</w:t>
      </w:r>
      <w:r>
        <w:t xml:space="preserve"> </w:t>
      </w:r>
      <w:r>
        <w:t xml:space="preserve">(Jak et al., 2021; Moshagen &amp; Bader, 2024)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apriori-rmsea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2_analytical_power-fig-apriori-rmsea-output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A priori power analysis for exact fit with RMSEA-based effect size</w:t>
            </w:r>
          </w:p>
          <w:bookmarkEnd w:id="5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6">
        <w:r>
          <w:rPr>
            <w:rStyle w:val="Hyperlink"/>
            <w:vertAlign w:val="subscript"/>
          </w:rPr>
          <w:t xml:space="preserve">Analytical Power Analysis</w:t>
        </w:r>
      </w:hyperlink>
    </w:p>
    <w:bookmarkEnd w:id="57"/>
    <w:bookmarkStart w:id="65" w:name="model-based-approach"/>
    <w:p>
      <w:pPr>
        <w:pStyle w:val="Heading4"/>
      </w:pPr>
      <w:r>
        <w:t xml:space="preserve">3.2.2 Model-based approach</w:t>
      </w:r>
    </w:p>
    <w:p>
      <w:pPr>
        <w:pStyle w:val="FirstParagraph"/>
      </w:pPr>
      <w:r>
        <w:t xml:space="preserve">When substantive theory specifies the population structure, a</w:t>
      </w:r>
      <w:r>
        <w:t xml:space="preserve"> </w:t>
      </w:r>
      <w:r>
        <w:t xml:space="preserve">model-based power analysis is more informative: rather than setting</w:t>
      </w:r>
      <w:r>
        <w:t xml:space="preserve"> </w:t>
      </w:r>
      <w:r>
        <w:t xml:space="preserve">misfit to a generic RMSEA value, the effect is implied by the</w:t>
      </w:r>
      <w:r>
        <w:t xml:space="preserve"> </w:t>
      </w:r>
      <w:r>
        <w:t xml:space="preserve">discrepancy between an explicitly defined population model and the</w:t>
      </w:r>
      <w:r>
        <w:t xml:space="preserve"> </w:t>
      </w:r>
      <w:r>
        <w:t xml:space="preserve">restricted analysis model</w:t>
      </w:r>
      <w:r>
        <w:t xml:space="preserve"> </w:t>
      </w:r>
      <w:r>
        <w:t xml:space="preserve">(Feng &amp; Hancock, 2023; Wang, 2023)</w:t>
      </w:r>
      <w:r>
        <w:t xml:space="preserve">. This makes the</w:t>
      </w:r>
      <w:r>
        <w:t xml:space="preserve"> </w:t>
      </w:r>
      <w:r>
        <w:t xml:space="preserve">sample size estimate dependent on the hypothesized parameter</w:t>
      </w:r>
      <w:r>
        <w:t xml:space="preserve"> </w:t>
      </w:r>
      <w:r>
        <w:t xml:space="preserve">configuration rather than on a conventional threshold.</w:t>
      </w:r>
    </w:p>
    <w:p>
      <w:pPr>
        <w:pStyle w:val="BodyText"/>
      </w:pPr>
      <w:r>
        <w:rPr>
          <w:rStyle w:val="VerbatimChar"/>
        </w:rPr>
        <w:t xml:space="preserve">semPower.powerLav()</w:t>
      </w:r>
      <w:r>
        <w:t xml:space="preserve"> </w:t>
      </w:r>
      <w:r>
        <w:t xml:space="preserve">implements this by fitting the null model to the</w:t>
      </w:r>
      <w:r>
        <w:t xml:space="preserve"> </w:t>
      </w:r>
      <w:r>
        <w:t xml:space="preserve">population-implied covariance matrix and translating the resulting</w:t>
      </w:r>
      <w:r>
        <w:t xml:space="preserve"> </w:t>
      </w:r>
      <w:r>
        <w:t xml:space="preserve">discrepancy into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then into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. When</w:t>
      </w:r>
      <w:r>
        <w:t xml:space="preserve"> </w:t>
      </w:r>
      <w:r>
        <w:rPr>
          <w:rStyle w:val="VerbatimChar"/>
        </w:rPr>
        <w:t xml:space="preserve">modelH1</w:t>
      </w:r>
      <w:r>
        <w:t xml:space="preserve"> </w:t>
      </w:r>
      <w:r>
        <w:t xml:space="preserve">is omitted, the null model is evaluated against the saturated</w:t>
      </w:r>
      <w:r>
        <w:t xml:space="preserve"> </w:t>
      </w:r>
      <w:r>
        <w:t xml:space="preserve">model, making the analysis a global test of fit rather than a test of</w:t>
      </w:r>
      <w:r>
        <w:t xml:space="preserve"> </w:t>
      </w:r>
      <w:r>
        <w:t xml:space="preserve">any single restriction</w:t>
      </w:r>
      <w:r>
        <w:t xml:space="preserve"> </w:t>
      </w:r>
      <w:r>
        <w:t xml:space="preserve">(Jobst et al., 2023; Moshagen &amp; Bader, 2024)</w:t>
      </w:r>
      <w:r>
        <w:t xml:space="preserve">. Because the effect</w:t>
      </w:r>
      <w:r>
        <w:t xml:space="preserve"> </w:t>
      </w:r>
      <w:r>
        <w:t xml:space="preserve">is generated from the full model specification, any change to loadings,</w:t>
      </w:r>
      <w:r>
        <w:t xml:space="preserve"> </w:t>
      </w:r>
      <w:r>
        <w:t xml:space="preserve">factor correlations, or residual variances will alter the required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an important point when conducting sensitivity analyses</w:t>
      </w:r>
      <w:r>
        <w:t xml:space="preserve"> </w:t>
      </w:r>
      <w:r>
        <w:t xml:space="preserve">(Buchberger et al., 2024)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apriori-popmod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Analytical a priori power parameters for model-based approach (h1model vs analyzemodel)</w:t>
            </w:r>
          </w:p>
          <w:tbl>
            <w:tblPr>
              <w:tblStyle w:val="Table"/>
              <w:tblW w:type="pct" w:w="4870"/>
              <w:tblLayout w:type="fixed"/>
              <w:tblLook w:firstRow="1" w:lastRow="0" w:firstColumn="0" w:lastColumn="0" w:noHBand="0" w:noVBand="0" w:val="0020"/>
            </w:tblPr>
            <w:tblGrid>
              <w:gridCol w:w="4114"/>
              <w:gridCol w:w="2571"/>
              <w:gridCol w:w="10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 discrepancy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 mean square error of approximation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RMSEA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McDonald centrality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Standardized root mean square residual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SRMR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Comparative 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CFI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Degrees of freedom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d</m:t>
                    </m:r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Required sample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 chi-square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crit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282.511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Noncentrality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60.793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Significance level (alpha)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 II error rate (beta)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0.8032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9">
        <w:r>
          <w:rPr>
            <w:rStyle w:val="Hyperlink"/>
            <w:vertAlign w:val="subscript"/>
          </w:rPr>
          <w:t xml:space="preserve">Analytical Power Analysis</w:t>
        </w:r>
      </w:hyperlink>
    </w:p>
    <w:p>
      <w:pPr>
        <w:pStyle w:val="BodyText"/>
      </w:pPr>
      <w:r>
        <w:t xml:space="preserve">The model-based analytical solution in</w:t>
      </w:r>
      <w:r>
        <w:t xml:space="preserve"> </w:t>
      </w:r>
      <w:hyperlink w:anchor="tbl-apriori-popmodel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reports a population discrepancy of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0.579, equivalently expressed as</w:t>
      </w:r>
      <w:r>
        <w:t xml:space="preserve"> </w:t>
      </w:r>
      <m:oMath>
        <m:r>
          <m:rPr>
            <m:nor/>
            <m:sty m:val="p"/>
          </m:rPr>
          <m:t>RMSEA</m:t>
        </m:r>
      </m:oMath>
      <w:r>
        <w:t xml:space="preserve"> </w:t>
      </w:r>
      <w:r>
        <w:t xml:space="preserve">= 0.049 and</w:t>
      </w:r>
      <w:r>
        <w:t xml:space="preserve"> </w:t>
      </w:r>
      <m:oMath>
        <m:r>
          <m:t>M</m:t>
        </m:r>
        <m:r>
          <m:t>c</m:t>
        </m:r>
      </m:oMath>
      <w:r>
        <w:t xml:space="preserve"> </w:t>
      </w:r>
      <w:r>
        <w:t xml:space="preserve">= 0.749. With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= 245, the required sample size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106, and the corresponding critical</w:t>
      </w:r>
      <w:r>
        <w:t xml:space="preserve"> </w:t>
      </w:r>
      <w:r>
        <w:t xml:space="preserve">chi-square is 282.511. The noncentrality</w:t>
      </w:r>
      <w:r>
        <w:t xml:space="preserve"> </w:t>
      </w:r>
      <w:r>
        <w:t xml:space="preserve">parameter 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60.793,</w:t>
      </w:r>
      <w:r>
        <w:t xml:space="preserve"> </w:t>
      </w:r>
      <w:r>
        <w:t xml:space="preserve">consistent with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obtained solution. The error rates</w:t>
      </w:r>
      <w:r>
        <w:t xml:space="preserve"> </w:t>
      </w:r>
      <w:r>
        <w:t xml:space="preserve">are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0.05,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0.197, and</w:t>
      </w:r>
      <w:r>
        <w:t xml:space="preserve"> </w:t>
      </w:r>
      <w:r>
        <w:t xml:space="preserve">power = 0.803, confirming that the</w:t>
      </w:r>
      <w:r>
        <w:t xml:space="preserve"> </w:t>
      </w:r>
      <w:r>
        <w:t xml:space="preserve">design conditions are met 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106. The corresponding</w:t>
      </w:r>
      <w:r>
        <w:t xml:space="preserve"> </w:t>
      </w:r>
      <w:r>
        <w:t xml:space="preserve">distribution curves are displayed in</w:t>
      </w:r>
      <w:r>
        <w:t xml:space="preserve"> </w:t>
      </w:r>
      <w:hyperlink w:anchor="fig-apriori-popmodel">
        <w:r>
          <w:rPr>
            <w:rStyle w:val="Hyperlink"/>
          </w:rPr>
          <w:t xml:space="preserve">Figure 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apriori-popmode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2_analytical_power-fig-apriori-popmodel-output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A priori power analysis Model-based approach (h1model vs analyzemodel)</w:t>
            </w:r>
          </w:p>
          <w:bookmarkEnd w:id="6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4">
        <w:r>
          <w:rPr>
            <w:rStyle w:val="Hyperlink"/>
            <w:vertAlign w:val="subscript"/>
          </w:rPr>
          <w:t xml:space="preserve">Analytical Power Analysis</w:t>
        </w:r>
      </w:hyperlink>
    </w:p>
    <w:bookmarkEnd w:id="65"/>
    <w:bookmarkEnd w:id="66"/>
    <w:bookmarkStart w:id="79" w:name="sec-power-curves"/>
    <w:p>
      <w:pPr>
        <w:pStyle w:val="Heading3"/>
      </w:pPr>
      <w:r>
        <w:t xml:space="preserve">3.3 Power Curves</w:t>
      </w:r>
    </w:p>
    <w:p>
      <w:pPr>
        <w:pStyle w:val="FirstParagraph"/>
      </w:pPr>
      <w:r>
        <w:t xml:space="preserve">Power curves visualize the relationship between sample size and the</w:t>
      </w:r>
      <w:r>
        <w:t xml:space="preserve"> </w:t>
      </w:r>
      <w:r>
        <w:t xml:space="preserve">probability of detecting a prespecified degree of model misspecification,</w:t>
      </w:r>
      <w:r>
        <w:t xml:space="preserve"> </w:t>
      </w:r>
      <w:r>
        <w:t xml:space="preserve">holding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constant. They serve as a planning aid by</w:t>
      </w:r>
      <w:r>
        <w:t xml:space="preserve"> </w:t>
      </w:r>
      <w:r>
        <w:t xml:space="preserve">showing at a glance which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values are underpowered and where</w:t>
      </w:r>
      <w:r>
        <w:t xml:space="preserve"> </w:t>
      </w:r>
      <w:r>
        <w:t xml:space="preserve">additional observations yield diminishing returns</w:t>
      </w:r>
      <w:r>
        <w:t xml:space="preserve"> </w:t>
      </w:r>
      <w:r>
        <w:t xml:space="preserve">(Moshagen &amp; Bader, 2024)</w:t>
      </w:r>
      <w:r>
        <w:t xml:space="preserve">.</w:t>
      </w:r>
    </w:p>
    <w:bookmarkStart w:id="72" w:name="model-free-approach-rmsea-based-1"/>
    <w:p>
      <w:pPr>
        <w:pStyle w:val="Heading4"/>
      </w:pPr>
      <w:r>
        <w:t xml:space="preserve">3.3.1 Model-free approach (RMSEA-based)</w:t>
      </w:r>
    </w:p>
    <w:p>
      <w:pPr>
        <w:pStyle w:val="FirstParagraph"/>
      </w:pPr>
      <w:r>
        <w:t xml:space="preserve">In the model-free setup, the power function depends entirely on</w:t>
      </w:r>
      <w:r>
        <w:t xml:space="preserve"> </w:t>
      </w:r>
      <m:oMath>
        <m:r>
          <m:rPr>
            <m:nor/>
            <m:sty m:val="p"/>
          </m:rPr>
          <m:t>RMSEA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</m:oMath>
      <w:r>
        <w:t xml:space="preserve">,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not on any substantive model</w:t>
      </w:r>
      <w:r>
        <w:t xml:space="preserve"> </w:t>
      </w:r>
      <w:r>
        <w:t xml:space="preserve">parameters. Representing this function graphically answers a direct</w:t>
      </w:r>
      <w:r>
        <w:t xml:space="preserve"> </w:t>
      </w:r>
      <w:r>
        <w:t xml:space="preserve">planning question: for a model with fixed</w:t>
      </w:r>
      <w:r>
        <w:t xml:space="preserve"> </w:t>
      </w:r>
      <m:oMath>
        <m:r>
          <m:t>d</m:t>
        </m:r>
        <m:r>
          <m:t>f</m:t>
        </m:r>
      </m:oMath>
      <w:r>
        <w:t xml:space="preserve">, how large must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to</w:t>
      </w:r>
      <w:r>
        <w:t xml:space="preserve"> </w:t>
      </w:r>
      <w:r>
        <w:t xml:space="preserve">achieve a sufficiently high probability of detecting misfit of at least</w:t>
      </w:r>
      <w:r>
        <w:t xml:space="preserve"> </w:t>
      </w:r>
      <w:r>
        <w:t xml:space="preserve">the target magnitude</w:t>
      </w:r>
      <w:r>
        <w:t xml:space="preserve"> </w:t>
      </w:r>
      <w:r>
        <w:t xml:space="preserve">(Jak et al., 2021; Jobst et al., 2023)</w:t>
      </w:r>
      <w:r>
        <w:t xml:space="preserve">? This visualization is</w:t>
      </w:r>
      <w:r>
        <w:t xml:space="preserve"> </w:t>
      </w:r>
      <w:r>
        <w:t xml:space="preserve">especially useful when the research objective concerns global fit rather</w:t>
      </w:r>
      <w:r>
        <w:t xml:space="preserve"> </w:t>
      </w:r>
      <w:r>
        <w:t xml:space="preserve">than individual parameter restrictions, and it also makes it easy to</w:t>
      </w:r>
      <w:r>
        <w:t xml:space="preserve"> </w:t>
      </w:r>
      <w:r>
        <w:t xml:space="preserve">communicate design justification to reviewers or funding agencies</w:t>
      </w:r>
      <w:r>
        <w:t xml:space="preserve"> </w:t>
      </w:r>
      <w:r>
        <w:t xml:space="preserve">(Moshagen &amp; Bader, 2024; Wang, 2023)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ower-rmsea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2_analytical_power-fig-power-rmsea-outpu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Power as a function of sample size for RMSEA = 0.05</w:t>
            </w:r>
          </w:p>
          <w:bookmarkEnd w:id="70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1">
        <w:r>
          <w:rPr>
            <w:rStyle w:val="Hyperlink"/>
            <w:vertAlign w:val="subscript"/>
          </w:rPr>
          <w:t xml:space="preserve">Analytical Power Analysis</w:t>
        </w:r>
      </w:hyperlink>
    </w:p>
    <w:p>
      <w:pPr>
        <w:pStyle w:val="BodyText"/>
      </w:pPr>
      <w:r>
        <w:t xml:space="preserve">Power increases monotonically with</w:t>
      </w:r>
      <w:r>
        <w:t xml:space="preserve"> </w:t>
      </w:r>
      <m:oMath>
        <m:r>
          <m:t>N</m:t>
        </m:r>
      </m:oMath>
      <w:r>
        <w:t xml:space="preserve">. At the lower end of the range,</w:t>
      </w:r>
      <w:r>
        <w:t xml:space="preserve"> </w:t>
      </w:r>
      <w:r>
        <w:t xml:space="preserve">the curve is well below the target threshold, indicating insufficient</w:t>
      </w:r>
      <w:r>
        <w:t xml:space="preserve"> </w:t>
      </w:r>
      <w:r>
        <w:t xml:space="preserve">sensitivity to detect the prespecified misspecification; at higher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 approaches the ceiling. The crossing point between the curve and</w:t>
      </w:r>
      <w:r>
        <w:t xml:space="preserve"> </w:t>
      </w:r>
      <w:r>
        <w:t xml:space="preserve">the target power level identifies the minimum adequate sample size,</w:t>
      </w:r>
      <w:r>
        <w:t xml:space="preserve"> </w:t>
      </w:r>
      <w:r>
        <w:t xml:space="preserve">and the shape of the curve shows how quickly additional observations</w:t>
      </w:r>
      <w:r>
        <w:t xml:space="preserve"> </w:t>
      </w:r>
      <w:r>
        <w:t xml:space="preserve">convert into detection probability in this particular setting.</w:t>
      </w:r>
    </w:p>
    <w:bookmarkEnd w:id="72"/>
    <w:bookmarkStart w:id="78" w:name="model-based-approach-1"/>
    <w:p>
      <w:pPr>
        <w:pStyle w:val="Heading4"/>
      </w:pPr>
      <w:r>
        <w:t xml:space="preserve">3.3.2 Model-based approach</w:t>
      </w:r>
    </w:p>
    <w:p>
      <w:pPr>
        <w:pStyle w:val="FirstParagraph"/>
      </w:pPr>
      <w:r>
        <w:t xml:space="preserve">When the effect is grounded in an explicitly specified population model,</w:t>
      </w:r>
      <w:r>
        <w:t xml:space="preserve"> </w:t>
      </w:r>
      <w:r>
        <w:t xml:space="preserve">the power curve traces the same monotonic pattern but now reflects the</w:t>
      </w:r>
      <w:r>
        <w:t xml:space="preserve"> </w:t>
      </w:r>
      <w:r>
        <w:t xml:space="preserve">particular covariance structure implied by the substantive hypotheses</w:t>
      </w:r>
      <w:r>
        <w:t xml:space="preserve"> </w:t>
      </w:r>
      <w:r>
        <w:t xml:space="preserve">(Buchberger et al., 2024; Feng &amp; Hancock, 2023)</w:t>
      </w:r>
      <w:r>
        <w:t xml:space="preserve">.</w:t>
      </w:r>
      <w:r>
        <w:t xml:space="preserve"> </w:t>
      </w:r>
      <w:r>
        <w:rPr>
          <w:rStyle w:val="VerbatimChar"/>
        </w:rPr>
        <w:t xml:space="preserve">semPower.powerPlot()</w:t>
      </w:r>
      <w:r>
        <w:t xml:space="preserve"> </w:t>
      </w:r>
      <w:r>
        <w:t xml:space="preserve">evaluates the</w:t>
      </w:r>
      <w:r>
        <w:t xml:space="preserve"> </w:t>
      </w:r>
      <w:r>
        <w:t xml:space="preserve">previously specified model-based effect at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the grid,</w:t>
      </w:r>
      <w:r>
        <w:t xml:space="preserve"> </w:t>
      </w:r>
      <w:r>
        <w:t xml:space="preserve">so the curve is a design-oriented summary of how sensitivity changes as</w:t>
      </w:r>
      <w:r>
        <w:t xml:space="preserve"> </w:t>
      </w:r>
      <w:r>
        <w:t xml:space="preserve">sample size grows — without re-estimating any parameters</w:t>
      </w:r>
      <w:r>
        <w:t xml:space="preserve"> </w:t>
      </w:r>
      <w:r>
        <w:t xml:space="preserve">(Moshagen &amp; Bader, 2024)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ower-popmode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2_analytical_power-fig-power-popmodel-output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Power as a function of sample size for the population model (popModel)</w:t>
            </w:r>
          </w:p>
          <w:bookmarkEnd w:id="76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7">
        <w:r>
          <w:rPr>
            <w:rStyle w:val="Hyperlink"/>
            <w:vertAlign w:val="subscript"/>
          </w:rPr>
          <w:t xml:space="preserve">Analytical Power Analysis</w:t>
        </w:r>
      </w:hyperlink>
    </w:p>
    <w:p>
      <w:pPr>
        <w:pStyle w:val="BodyText"/>
      </w:pPr>
      <w:r>
        <w:t xml:space="preserve">The plot titled Power for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0.579 shows</w:t>
      </w:r>
      <w:r>
        <w:t xml:space="preserve"> </w:t>
      </w:r>
      <w:r>
        <w:t xml:space="preserve">a clear monotonic increase. At the lower end, power hovers near</w:t>
      </w:r>
      <w:r>
        <w:t xml:space="preserve"> </w:t>
      </w:r>
      <m:oMath>
        <m:r>
          <m:t>0.07</m:t>
        </m:r>
      </m:oMath>
      <w:r>
        <w:t xml:space="preserve">–</w:t>
      </w:r>
      <m:oMath>
        <m:r>
          <m:t>0.10</m:t>
        </m:r>
      </m:oMath>
      <w:r>
        <w:t xml:space="preserve">,</w:t>
      </w:r>
      <w:r>
        <w:t xml:space="preserve"> </w:t>
      </w:r>
      <w:r>
        <w:t xml:space="preserve">indicating inadequate sensitivity for small samples. A period of</w:t>
      </w:r>
      <w:r>
        <w:t xml:space="preserve"> </w:t>
      </w:r>
      <w:r>
        <w:t xml:space="preserve">rapid growth occurs between roughly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, where</w:t>
      </w:r>
      <w:r>
        <w:t xml:space="preserve"> </w:t>
      </w:r>
      <w:r>
        <w:t xml:space="preserve">each additional observation translates into a substantial gain. The</w:t>
      </w:r>
      <w:r>
        <w:t xml:space="preserve"> </w:t>
      </w:r>
      <w:r>
        <w:t xml:space="preserve">conventional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threshold is crossed at approximately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106</m:t>
        </m:r>
      </m:oMath>
      <w:r>
        <w:t xml:space="preserve">, and power approaches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140</m:t>
        </m:r>
      </m:oMath>
      <w:r>
        <w:t xml:space="preserve">,</w:t>
      </w:r>
      <w:r>
        <w:t xml:space="preserve"> </w:t>
      </w:r>
      <w:r>
        <w:t xml:space="preserve">with further gains becoming marginal above that.</w:t>
      </w:r>
    </w:p>
    <w:bookmarkEnd w:id="78"/>
    <w:bookmarkEnd w:id="79"/>
    <w:bookmarkStart w:id="85" w:name="summary-table"/>
    <w:p>
      <w:pPr>
        <w:pStyle w:val="Heading3"/>
      </w:pPr>
      <w:r>
        <w:t xml:space="preserve">3.4 Summary table</w:t>
      </w:r>
    </w:p>
    <w:p>
      <w:pPr>
        <w:pStyle w:val="FirstParagraph"/>
      </w:pPr>
      <w:hyperlink w:anchor="tbl-analytica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compares the analytical power solutions. The</w:t>
      </w:r>
      <w:r>
        <w:t xml:space="preserve"> </w:t>
      </w:r>
      <w:r>
        <w:t xml:space="preserve">model-based global fit test requires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106</m:t>
        </m:r>
      </m:oMath>
      <w:r>
        <w:t xml:space="preserve">, closely matching the</w:t>
      </w:r>
      <w:r>
        <w:t xml:space="preserve"> </w:t>
      </w:r>
      <w:r>
        <w:t xml:space="preserve">model-free RMSEA-based target (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). This convergence occurs</w:t>
      </w:r>
      <w:r>
        <w:t xml:space="preserve"> </w:t>
      </w:r>
      <w:r>
        <w:t xml:space="preserve">because the misspecification introduced by the three cross-loadings</w:t>
      </w:r>
      <w:r>
        <w:t xml:space="preserve"> </w:t>
      </w:r>
      <w:r>
        <w:t xml:space="preserve">translates into an implied</w:t>
      </w:r>
      <w:r>
        <w:t xml:space="preserve"> </w:t>
      </w:r>
      <m:oMath>
        <m:r>
          <m:rPr>
            <m:nor/>
            <m:sty m:val="p"/>
          </m:rPr>
          <m:t>RMSEA</m:t>
        </m:r>
        <m:r>
          <m:rPr>
            <m:sty m:val="p"/>
          </m:rPr>
          <m:t>=</m:t>
        </m:r>
        <m:r>
          <m:t>0.0486</m:t>
        </m:r>
      </m:oMath>
      <w:r>
        <w:t xml:space="preserve">, almost identical to</w:t>
      </w:r>
      <w:r>
        <w:t xml:space="preserve"> </w:t>
      </w:r>
      <w:r>
        <w:t xml:space="preserve">the generic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threshold.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analytica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analytical power analysis results</w:t>
            </w:r>
          </w:p>
          <w:tbl>
            <w:tblPr>
              <w:tblStyle w:val="Table"/>
              <w:tblW w:type="pct" w:w="4875"/>
              <w:tblLayout w:type="fixed"/>
              <w:tblLook w:firstRow="1" w:lastRow="0" w:firstColumn="0" w:lastColumn="0" w:noHBand="0" w:noVBand="0" w:val="0020"/>
            </w:tblPr>
            <w:tblGrid>
              <w:gridCol w:w="3861"/>
              <w:gridCol w:w="1089"/>
              <w:gridCol w:w="891"/>
              <w:gridCol w:w="1287"/>
              <w:gridCol w:w="59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 Required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Implied</w:t>
                  </w:r>
                  <w:r>
                    <w:t xml:space="preserve"> </w:t>
                  </w: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Model-free a priori (RMSEA = .05)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Model-based global fit (h1model</w:t>
                  </w:r>
                  <w:r>
                    <w:t xml:space="preserve"> </w:t>
                  </w:r>
                  <w:r>
                    <w:t xml:space="preserve">vs. saturated)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245</w:t>
                  </w:r>
                </w:p>
              </w:tc>
            </w:tr>
          </w:tbl>
          <w:bookmarkEnd w:id="80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81">
        <w:r>
          <w:rPr>
            <w:rStyle w:val="Hyperlink"/>
            <w:vertAlign w:val="subscript"/>
          </w:rPr>
          <w:t xml:space="preserve">Analytical Power Analysis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importan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Limitations of the Analytical Approach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RMSEA/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-based analytical method assumes continuous,</w:t>
            </w:r>
            <w:r>
              <w:t xml:space="preserve"> </w:t>
            </w:r>
            <w:r>
              <w:t xml:space="preserve">multivariate normal data and Maximum Likelihood estimation. It can</w:t>
            </w:r>
            <w:r>
              <w:t xml:space="preserve"> </w:t>
            </w:r>
            <w:r>
              <w:t xml:space="preserve">yield biased sample size estimates when distributions are non-normal,</w:t>
            </w:r>
            <w:r>
              <w:t xml:space="preserve"> </w:t>
            </w:r>
            <w:r>
              <w:t xml:space="preserve">data are ordinal, or missing data reduce estimation efficiency.</w:t>
            </w:r>
            <w:r>
              <w:t xml:space="preserve"> </w:t>
            </w:r>
            <w:r>
              <w:t xml:space="preserve">Furthermore, because power is framed around global misfit, the</w:t>
            </w:r>
            <w:r>
              <w:t xml:space="preserve"> </w:t>
            </w:r>
            <w:r>
              <w:t xml:space="preserve">analytical approach provides no information about whether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sufficient to detect specific weak loadings, factor correlations, or</w:t>
            </w:r>
            <w:r>
              <w:t xml:space="preserve"> </w:t>
            </w:r>
            <w:r>
              <w:t xml:space="preserve">structural paths. These limitations motivate the simulation-based</w:t>
            </w:r>
            <w:r>
              <w:t xml:space="preserve"> </w:t>
            </w:r>
            <w:r>
              <w:t xml:space="preserve">extensions developed in subsequent sections.</w:t>
            </w:r>
          </w:p>
          <w:p/>
        </w:tc>
      </w:tr>
    </w:tbl>
    <w:bookmarkEnd w:id="85"/>
    <w:bookmarkEnd w:id="86"/>
    <w:bookmarkStart w:id="120" w:name="sec-sim-ideal"/>
    <w:p>
      <w:pPr>
        <w:pStyle w:val="Heading2"/>
      </w:pPr>
      <w:r>
        <w:t xml:space="preserve">4 Monte Carlo Simulation: Ideal Conditions</w:t>
      </w:r>
    </w:p>
    <w:p>
      <w:pPr>
        <w:pStyle w:val="FirstParagraph"/>
      </w:pPr>
      <w:r>
        <w:t xml:space="preserve">Simulation-based power analysis in SEM operates on a different logic</w:t>
      </w:r>
      <w:r>
        <w:t xml:space="preserve"> </w:t>
      </w:r>
      <w:r>
        <w:t xml:space="preserve">from its analytical counterpart. Rather than deriving power from the</w:t>
      </w:r>
      <w:r>
        <w:t xml:space="preserve"> </w:t>
      </w:r>
      <w:r>
        <w:t xml:space="preserve">non-central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distribution, the approach repeatedly generates</w:t>
      </w:r>
      <w:r>
        <w:t xml:space="preserve"> </w:t>
      </w:r>
      <w:r>
        <w:t xml:space="preserve">data from an assumed population model, fits the analysis model to each</w:t>
      </w:r>
      <w:r>
        <w:t xml:space="preserve"> </w:t>
      </w:r>
      <w:r>
        <w:t xml:space="preserve">replicate, and summarizes rejection rates empirically. This makes the</w:t>
      </w:r>
      <w:r>
        <w:t xml:space="preserve"> </w:t>
      </w:r>
      <w:r>
        <w:t xml:space="preserve">framework far more flexible: it can accommodate complex data conditions,</w:t>
      </w:r>
      <w:r>
        <w:t xml:space="preserve"> </w:t>
      </w:r>
      <w:r>
        <w:t xml:space="preserve">evaluate multiple fit criteria simultaneously, and quantify estimation</w:t>
      </w:r>
      <w:r>
        <w:t xml:space="preserve"> </w:t>
      </w:r>
      <w:r>
        <w:t xml:space="preserve">quality — bias, standard error accuracy, and coverage — alongside</w:t>
      </w:r>
      <w:r>
        <w:t xml:space="preserve"> </w:t>
      </w:r>
      <w:r>
        <w:t xml:space="preserve">power</w:t>
      </w:r>
      <w:r>
        <w:t xml:space="preserve"> </w:t>
      </w:r>
      <w:r>
        <w:t xml:space="preserve">(Muthén &amp; Muthén, 2002; Pornprasertmanit et al., 2021)</w:t>
      </w:r>
      <w:r>
        <w:t xml:space="preserve">.</w:t>
      </w:r>
    </w:p>
    <w:p>
      <w:pPr>
        <w:pStyle w:val="BodyText"/>
      </w:pPr>
      <w:r>
        <w:t xml:space="preserve">The central distinction in the design is between the</w:t>
      </w:r>
      <w:r>
        <w:t xml:space="preserve"> </w:t>
      </w:r>
      <w:r>
        <w:rPr>
          <w:i/>
          <w:iCs/>
        </w:rPr>
        <w:t xml:space="preserve">data-generating</w:t>
      </w:r>
      <w:r>
        <w:rPr>
          <w:i/>
          <w:iCs/>
        </w:rP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analysis model</w:t>
      </w:r>
      <w:r>
        <w:t xml:space="preserve"> </w:t>
      </w:r>
      <w:r>
        <w:t xml:space="preserve">(Feng &amp; Hancock, 2023)</w:t>
      </w:r>
      <w:r>
        <w:t xml:space="preserve">. The former defines the</w:t>
      </w:r>
      <w:r>
        <w:t xml:space="preserve"> </w:t>
      </w:r>
      <w:r>
        <w:t xml:space="preserve">population from which replicated samples are drawn; the latter defines</w:t>
      </w:r>
      <w:r>
        <w:t xml:space="preserve"> </w:t>
      </w:r>
      <w:r>
        <w:t xml:space="preserve">the structure that is repeatedly fit to each sample. Statistical power</w:t>
      </w:r>
      <w:r>
        <w:t xml:space="preserve"> </w:t>
      </w:r>
      <w:r>
        <w:t xml:space="preserve">in SEM depends not only on</w:t>
      </w:r>
      <w:r>
        <w:t xml:space="preserve"> </w:t>
      </w:r>
      <m:oMath>
        <m:r>
          <m:t>N</m:t>
        </m:r>
      </m:oMath>
      <w:r>
        <w:t xml:space="preserve">, but on the discrepancy between these</w:t>
      </w:r>
      <w:r>
        <w:t xml:space="preserve"> </w:t>
      </w:r>
      <w:r>
        <w:t xml:space="preserve">two models, so this separation is essential</w:t>
      </w:r>
      <w:r>
        <w:t xml:space="preserve"> </w:t>
      </w:r>
      <w:r>
        <w:t xml:space="preserve">(Feng &amp; Hancock, 2023; Jobst et al., 2023)</w:t>
      </w:r>
      <w:r>
        <w:t xml:space="preserve">.</w:t>
      </w:r>
    </w:p>
    <w:p>
      <w:pPr>
        <w:pStyle w:val="BodyText"/>
      </w:pPr>
      <w:r>
        <w:t xml:space="preserve">In the main analysis, the reference condition uses data generated from</w:t>
      </w:r>
      <w:r>
        <w:t xml:space="preserve"> </w:t>
      </w:r>
      <w:r>
        <w:rPr>
          <w:rStyle w:val="VerbatimChar"/>
        </w:rPr>
        <w:t xml:space="preserve">popmodel</w:t>
      </w:r>
      <w:r>
        <w:t xml:space="preserve">, while the alternative condition uses data generated from</w:t>
      </w:r>
      <w:r>
        <w:t xml:space="preserve"> </w:t>
      </w:r>
      <w:r>
        <w:rPr>
          <w:rStyle w:val="VerbatimChar"/>
        </w:rPr>
        <w:t xml:space="preserve">h1model</w:t>
      </w:r>
      <w:r>
        <w:t xml:space="preserve"> </w:t>
      </w:r>
      <w:r>
        <w:t xml:space="preserve">— a structurally equivalent model with three additional</w:t>
      </w:r>
      <w:r>
        <w:t xml:space="preserve"> </w:t>
      </w:r>
      <w:r>
        <w:t xml:space="preserve">cross-loadings. The analysis model (</w:t>
      </w:r>
      <w:r>
        <w:rPr>
          <w:rStyle w:val="VerbatimChar"/>
        </w:rPr>
        <w:t xml:space="preserve">analyzemodel</w:t>
      </w:r>
      <w:r>
        <w:t xml:space="preserve">) omits those</w:t>
      </w:r>
      <w:r>
        <w:t xml:space="preserve"> </w:t>
      </w:r>
      <w:r>
        <w:t xml:space="preserve">cross-loadings, so power reflects the probability that global fit</w:t>
      </w:r>
      <w:r>
        <w:t xml:space="preserve"> </w:t>
      </w:r>
      <w:r>
        <w:t xml:space="preserve">indices flag this deliberate misspecification. Varying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across a</w:t>
      </w:r>
      <w:r>
        <w:t xml:space="preserve"> </w:t>
      </w:r>
      <w:r>
        <w:t xml:space="preserve">predefined sequence turns the simulation into a sample size planning</w:t>
      </w:r>
      <w:r>
        <w:t xml:space="preserve"> </w:t>
      </w:r>
      <w:r>
        <w:t xml:space="preserve">exercise: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 the sampling distributions under the reference</w:t>
      </w:r>
      <w:r>
        <w:t xml:space="preserve"> </w:t>
      </w:r>
      <w:r>
        <w:t xml:space="preserve">and alternative conditions separate, and the probability of correctly</w:t>
      </w:r>
      <w:r>
        <w:t xml:space="preserve"> </w:t>
      </w:r>
      <w:r>
        <w:t xml:space="preserve">flagging the misspecified condition increases</w:t>
      </w:r>
      <w:r>
        <w:t xml:space="preserve"> </w:t>
      </w:r>
      <w:r>
        <w:t xml:space="preserve">(Feng &amp; Hancock, 2023; Jobst et al., 2023)</w:t>
      </w:r>
      <w:r>
        <w:t xml:space="preserve">.</w:t>
      </w:r>
    </w:p>
    <w:p>
      <w:pPr>
        <w:pStyle w:val="BodyText"/>
      </w:pPr>
      <w:r>
        <w:t xml:space="preserve">Power based on fit indices is therefore interpreted as the probability</w:t>
      </w:r>
      <w:r>
        <w:t xml:space="preserve"> </w:t>
      </w:r>
      <w:r>
        <w:t xml:space="preserve">that a rejection rule — calibrated from the reference distribution 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classifies data generated under the alternative as showing</w:t>
      </w:r>
      <w:r>
        <w:t xml:space="preserve"> </w:t>
      </w:r>
      <w:r>
        <w:t xml:space="preserve">worse fit than expected under the well-fitting model. Practically,</w:t>
      </w:r>
      <w:r>
        <w:t xml:space="preserve"> </w:t>
      </w:r>
      <w:r>
        <w:t xml:space="preserve">this shifts the inferential focus from testing a single parameter to</w:t>
      </w:r>
      <w:r>
        <w:t xml:space="preserve"> </w:t>
      </w:r>
      <w:r>
        <w:t xml:space="preserve">evaluating whether global fit criteria are sensitive enough to detect</w:t>
      </w:r>
      <w:r>
        <w:t xml:space="preserve"> </w:t>
      </w:r>
      <w:r>
        <w:t xml:space="preserve">a substantively meaningful form of misspecification across plausible</w:t>
      </w:r>
      <w:r>
        <w:t xml:space="preserve"> </w:t>
      </w:r>
      <w:r>
        <w:t xml:space="preserve">sample sizes</w:t>
      </w:r>
      <w:r>
        <w:t xml:space="preserve"> </w:t>
      </w:r>
      <w:r>
        <w:t xml:space="preserve">(Liang &amp; Sterba, 2024; Wang, 2023)</w:t>
      </w:r>
      <w:r>
        <w:t xml:space="preserve">.</w:t>
      </w:r>
    </w:p>
    <w:bookmarkStart w:id="99" w:name="main-analysis-under-ideal-conditions"/>
    <w:p>
      <w:pPr>
        <w:pStyle w:val="Heading3"/>
      </w:pPr>
      <w:r>
        <w:t xml:space="preserve">4.1 Main analysis under ideal conditions</w:t>
      </w:r>
    </w:p>
    <w:p>
      <w:pPr>
        <w:pStyle w:val="FirstParagraph"/>
      </w:pPr>
      <w:r>
        <w:t xml:space="preserve">The</w:t>
      </w:r>
      <w:r>
        <w:t xml:space="preserve"> </w:t>
      </w:r>
      <w:hyperlink w:anchor="fig-fit-curve-ideal">
        <w:r>
          <w:rPr>
            <w:rStyle w:val="Hyperlink"/>
          </w:rPr>
          <w:t xml:space="preserve">Figure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fig-power-curve-idea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present the main results for the comparison between</w:t>
      </w:r>
      <w:r>
        <w:t xml:space="preserve"> </w:t>
      </w:r>
      <w:r>
        <w:rPr>
          <w:rStyle w:val="VerbatimChar"/>
        </w:rPr>
        <w:t xml:space="preserve">popmodel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h1model</w:t>
      </w:r>
      <w:r>
        <w:t xml:space="preserve"> </w:t>
      </w:r>
      <w:r>
        <w:t xml:space="preserve">under ideal conditions (multivariate</w:t>
      </w:r>
      <w:r>
        <w:t xml:space="preserve"> </w:t>
      </w:r>
      <w:r>
        <w:t xml:space="preserve">normality, no missing data).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power-curve-idea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3_simulation_ideal-fig-power-curve-ideal-output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Power curves for fit indices under ideal conditions.</w:t>
            </w:r>
          </w:p>
          <w:bookmarkEnd w:id="90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1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Power increases monotonically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all four indices. At the</w:t>
      </w:r>
      <w:r>
        <w:t xml:space="preserve"> </w:t>
      </w:r>
      <w:r>
        <w:t xml:space="preserve">lower end of the sample-size sequence, every index falls below the</w:t>
      </w:r>
      <w:r>
        <w:t xml:space="preserve"> </w:t>
      </w:r>
      <w:r>
        <w:t xml:space="preserve">target threshold, indicating insufficient sensitivity.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curves diverge: some indices reach the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target earlier than</w:t>
      </w:r>
      <w:r>
        <w:t xml:space="preserve"> </w:t>
      </w:r>
      <w:r>
        <w:t xml:space="preserve">others, reflecting different degrees of sensitivity to the imposed</w:t>
      </w:r>
      <w:r>
        <w:t xml:space="preserve"> </w:t>
      </w:r>
      <w:r>
        <w:t xml:space="preserve">cross-loading misspecification. The most conservative planning decision</w:t>
      </w:r>
      <w:r>
        <w:t xml:space="preserve"> </w:t>
      </w:r>
      <w:r>
        <w:t xml:space="preserve">is therefore anchored in the last index to cross the target —</w:t>
      </w:r>
      <w:r>
        <w:t xml:space="preserve"> </w:t>
      </w:r>
      <w:r>
        <w:t xml:space="preserve">the index whose detection requires the largest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fit-curve-idea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3_simulation_ideal-fig-fit-curve-ideal-output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Power curves for fit indices under ideal conditions without logistic smoothing.</w:t>
            </w:r>
          </w:p>
          <w:bookmarkEnd w:id="9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6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The</w:t>
      </w:r>
      <w:r>
        <w:t xml:space="preserve"> </w:t>
      </w:r>
      <w:hyperlink w:anchor="fig-fit-curve-ideal">
        <w:r>
          <w:rPr>
            <w:rStyle w:val="Hyperlink"/>
          </w:rPr>
          <w:t xml:space="preserve">Figure 11</w:t>
        </w:r>
      </w:hyperlink>
      <w:r>
        <w:t xml:space="preserve"> </w:t>
      </w:r>
      <w:r>
        <w:t xml:space="preserve">makes the discrimination mechanism visible. At small</w:t>
      </w:r>
      <w:r>
        <w:t xml:space="preserve"> </w:t>
      </w:r>
      <m:oMath>
        <m:r>
          <m:t>N</m:t>
        </m:r>
      </m:oMath>
      <w:r>
        <w:t xml:space="preserve">, the sampling distributions of each fit index under the reference</w:t>
      </w:r>
      <w:r>
        <w:t xml:space="preserve"> </w:t>
      </w:r>
      <w:r>
        <w:t xml:space="preserve">and alternative conditions overlap substantially, so the indices cannot</w:t>
      </w:r>
      <w:r>
        <w:t xml:space="preserve"> </w:t>
      </w:r>
      <w:r>
        <w:t xml:space="preserve">reliably distinguish the two scenarios.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increases, the</w:t>
      </w:r>
      <w:r>
        <w:t xml:space="preserve"> </w:t>
      </w:r>
      <w:r>
        <w:t xml:space="preserve">alternative-condition distribution shifts toward worse fit while the</w:t>
      </w:r>
      <w:r>
        <w:t xml:space="preserve"> </w:t>
      </w:r>
      <w:r>
        <w:t xml:space="preserve">reference distribution remains stable, widening the gap between them.</w:t>
      </w:r>
      <w:r>
        <w:t xml:space="preserve"> </w:t>
      </w:r>
      <w:r>
        <w:t xml:space="preserve">This growing separation is the empirical basis for the power gains</w:t>
      </w:r>
      <w:r>
        <w:t xml:space="preserve"> </w:t>
      </w:r>
      <w:r>
        <w:t xml:space="preserve">shown in the</w:t>
      </w:r>
      <w:r>
        <w:t xml:space="preserve"> </w:t>
      </w:r>
      <w:hyperlink w:anchor="fig-power-curve-ideal">
        <w:r>
          <w:rPr>
            <w:rStyle w:val="Hyperlink"/>
          </w:rPr>
          <w:t xml:space="preserve">Figure 10</w:t>
        </w:r>
      </w:hyperlink>
      <w:r>
        <w:t xml:space="preserve">, and it provides an intuitive picture of how</w:t>
      </w:r>
      <w:r>
        <w:t xml:space="preserve"> </w:t>
      </w:r>
      <w:r>
        <w:t xml:space="preserve">fit indices work as decision variables rather than mere descriptive</w:t>
      </w:r>
      <w:r>
        <w:t xml:space="preserve"> </w:t>
      </w:r>
      <w:r>
        <w:t xml:space="preserve">summaries</w:t>
      </w:r>
      <w:r>
        <w:t xml:space="preserve"> </w:t>
      </w:r>
      <w:r>
        <w:t xml:space="preserve">(McNeish &amp; Wolf, 2021; Pornprasertmanit et al.,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power-cutoff-ide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Power and fit index cutoff values under ideal conditions at N = 231.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Cutoff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0.961</w:t>
                  </w:r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8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231</m:t>
        </m:r>
      </m:oMath>
      <w:r>
        <w:t xml:space="preserve">, power was 0.9 for RMSEA,</w:t>
      </w:r>
      <w:r>
        <w:t xml:space="preserve"> </w:t>
      </w:r>
      <w:r>
        <w:t xml:space="preserve">0.995 for SRMR, and</w:t>
      </w:r>
      <w:r>
        <w:t xml:space="preserve"> </w:t>
      </w:r>
      <w:r>
        <w:t xml:space="preserve">0.801 for both CFI and TLI. The ordering</w:t>
      </w:r>
      <w:r>
        <w:t xml:space="preserve"> </w:t>
      </w:r>
      <w:r>
        <w:t xml:space="preserve">SRMR &gt; RMSEA &gt; CFI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TLI is consistent across the power curves.</w:t>
      </w:r>
      <w:r>
        <w:t xml:space="preserve"> </w:t>
      </w:r>
      <w:r>
        <w:t xml:space="preserve">The empirical cutoffs were 0.039 for RMSEA,</w:t>
      </w:r>
      <w:r>
        <w:t xml:space="preserve"> </w:t>
      </w:r>
      <w:r>
        <w:t xml:space="preserve">0.058 for SRMR,</w:t>
      </w:r>
      <w:r>
        <w:t xml:space="preserve"> </w:t>
      </w:r>
      <w:r>
        <w:t xml:space="preserve">0.965 for CFI, and</w:t>
      </w:r>
      <w:r>
        <w:t xml:space="preserve"> </w:t>
      </w:r>
      <w:r>
        <w:t xml:space="preserve">0.961 for TLI, defining the data-driven</w:t>
      </w:r>
      <w:r>
        <w:t xml:space="preserve"> </w:t>
      </w:r>
      <w:r>
        <w:t xml:space="preserve">rejection boundaries at this</w:t>
      </w:r>
      <w:r>
        <w:t xml:space="preserve"> </w:t>
      </w:r>
      <m:oMath>
        <m:r>
          <m:t>N</m:t>
        </m:r>
      </m:oMath>
      <w:r>
        <w:t xml:space="preserve">. Taken together, the results confirm</w:t>
      </w:r>
      <w:r>
        <w:t xml:space="preserve"> </w:t>
      </w:r>
      <w:r>
        <w:t xml:space="preserve">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231</m:t>
        </m:r>
      </m:oMath>
      <w:r>
        <w:t xml:space="preserve"> </w:t>
      </w:r>
      <w:r>
        <w:t xml:space="preserve">is sufficient for all four indices to achieve at least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power in the ideal scenario, with SRMR and RMSEA providing a</w:t>
      </w:r>
      <w:r>
        <w:t xml:space="preserve"> </w:t>
      </w:r>
      <w:r>
        <w:t xml:space="preserve">comfortable margin and CFI/TLI operating near the minimum threshold</w:t>
      </w:r>
      <w:r>
        <w:t xml:space="preserve"> </w:t>
      </w:r>
      <w:r>
        <w:t xml:space="preserve">(Jobst et al., 2023; McNeish &amp; Wolf, 2021)</w:t>
      </w:r>
      <w:r>
        <w:t xml:space="preserve">.</w:t>
      </w:r>
    </w:p>
    <w:bookmarkEnd w:id="99"/>
    <w:bookmarkStart w:id="107" w:name="X70068e6c6160cb41119ebf72f66dcb66c5fd7ee"/>
    <w:p>
      <w:pPr>
        <w:pStyle w:val="Heading3"/>
      </w:pPr>
      <w:r>
        <w:t xml:space="preserve">4.2 Traditional cutoff values for fit indices</w:t>
      </w:r>
    </w:p>
    <w:p>
      <w:pPr>
        <w:pStyle w:val="FirstParagraph"/>
      </w:pPr>
      <w:r>
        <w:t xml:space="preserve">When traditional thresholds are applied —</w:t>
      </w:r>
      <w:r>
        <w:t xml:space="preserve"> </w:t>
      </w:r>
      <m:oMath>
        <m:r>
          <m:rPr>
            <m:nor/>
            <m:sty m:val="p"/>
          </m:rPr>
          <m:t>RMSEA</m:t>
        </m:r>
        <m:r>
          <m:rPr>
            <m:sty m:val="p"/>
          </m:rPr>
          <m:t>≤</m:t>
        </m:r>
        <m:r>
          <m:t>.06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CFI</m:t>
        </m:r>
        <m:r>
          <m:rPr>
            <m:sty m:val="p"/>
          </m:rPr>
          <m:t>≥</m:t>
        </m:r>
        <m:r>
          <m:t>.95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TLI</m:t>
        </m:r>
        <m:r>
          <m:rPr>
            <m:sty m:val="p"/>
          </m:rPr>
          <m:t>≥</m:t>
        </m:r>
        <m:r>
          <m:t>.95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SRMR</m:t>
        </m:r>
        <m:r>
          <m:rPr>
            <m:sty m:val="p"/>
          </m:rPr>
          <m:t>≤</m:t>
        </m:r>
        <m:r>
          <m:t>.06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power is defined as the proportion of replications in which the</w:t>
      </w:r>
      <w:r>
        <w:t xml:space="preserve"> </w:t>
      </w:r>
      <w:r>
        <w:t xml:space="preserve">misspecified model crosses those fixed boundaries in the direction of</w:t>
      </w:r>
      <w:r>
        <w:t xml:space="preserve"> </w:t>
      </w:r>
      <w:r>
        <w:t xml:space="preserve">worse fit. This mirrors common applied practice, but a key limitation</w:t>
      </w:r>
      <w:r>
        <w:t xml:space="preserve"> </w:t>
      </w:r>
      <w:r>
        <w:t xml:space="preserve">is that these thresholds were derived under specific simulation</w:t>
      </w:r>
      <w:r>
        <w:t xml:space="preserve"> </w:t>
      </w:r>
      <w:r>
        <w:t xml:space="preserve">conditions and may not be universally valid across different model</w:t>
      </w:r>
      <w:r>
        <w:t xml:space="preserve"> </w:t>
      </w:r>
      <w:r>
        <w:t xml:space="preserve">structures and sample sizes</w:t>
      </w:r>
      <w:r>
        <w:t xml:space="preserve"> </w:t>
      </w:r>
      <w:r>
        <w:t xml:space="preserve">(Kyriazos, 2018; McNeish &amp; Wolf,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fit-curve-traditiona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3_simulation_ideal-fig-fit-curve-traditional-outpu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Power curves using traditional fit index cutoffs under ideal conditions.</w:t>
            </w:r>
          </w:p>
          <w:bookmarkEnd w:id="10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04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The contrast with the empirical-cutoff results is instructive. SRMR</w:t>
      </w:r>
      <w:r>
        <w:t xml:space="preserve"> </w:t>
      </w:r>
      <w:r>
        <w:t xml:space="preserve">is the only index that achieves clear visual discrimination under the</w:t>
      </w:r>
      <w:r>
        <w:t xml:space="preserve"> </w:t>
      </w:r>
      <w:r>
        <w:t xml:space="preserve">traditional threshold, and only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or larger. RMSEA</w:t>
      </w:r>
      <w:r>
        <w:t xml:space="preserve"> </w:t>
      </w:r>
      <w:r>
        <w:t xml:space="preserve">shows some separation but would require a cutoff near</w:t>
      </w:r>
      <w:r>
        <w:t xml:space="preserve"> </w:t>
      </w:r>
      <m:oMath>
        <m:r>
          <m:t>0.04</m:t>
        </m:r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r>
          <m:t>0.06</m:t>
        </m:r>
      </m:oMath>
      <w:r>
        <w:t xml:space="preserve"> </w:t>
      </w:r>
      <w:r>
        <w:t xml:space="preserve">to make a meaningful distinction in this figure. CFI and</w:t>
      </w:r>
      <w:r>
        <w:t xml:space="preserve"> </w:t>
      </w:r>
      <w:r>
        <w:t xml:space="preserve">TLI show essentially no discrimination at the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threshold because</w:t>
      </w:r>
      <w:r>
        <w:t xml:space="preserve"> </w:t>
      </w:r>
      <w:r>
        <w:t xml:space="preserve">both the reference and alternative point clouds cluster in the same</w:t>
      </w:r>
      <w:r>
        <w:t xml:space="preserve"> </w:t>
      </w:r>
      <w:r>
        <w:t xml:space="preserve">region throughout the sample-size range (</w:t>
      </w:r>
      <w:hyperlink w:anchor="fig-fit-curve-traditional">
        <w:r>
          <w:rPr>
            <w:rStyle w:val="Hyperlink"/>
          </w:rPr>
          <w:t xml:space="preserve">Figure 12</w:t>
        </w:r>
      </w:hyperlink>
      <w:r>
        <w:t xml:space="preserve">). The</w:t>
      </w:r>
      <w:r>
        <w:t xml:space="preserve"> </w:t>
      </w:r>
      <w:hyperlink w:anchor="tbl-power-cutoff-traditional-ideal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summarizes the power for each fit index under the traditional cutoff values.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power-cutoff-traditional-ide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Power for traditional fit index cutoffs under ideal conditions at N = 231.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&gt; 0.98</w:t>
                  </w:r>
                </w:p>
              </w:tc>
            </w:tr>
          </w:tbl>
          <w:bookmarkEnd w:id="105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06">
        <w:r>
          <w:rPr>
            <w:rStyle w:val="Hyperlink"/>
            <w:vertAlign w:val="subscript"/>
          </w:rPr>
          <w:t xml:space="preserve">Simulation — Ideal Conditions</w:t>
        </w:r>
      </w:hyperlink>
    </w:p>
    <w:bookmarkEnd w:id="107"/>
    <w:bookmarkStart w:id="112" w:name="targeting-specific-parameters"/>
    <w:p>
      <w:pPr>
        <w:pStyle w:val="Heading3"/>
      </w:pPr>
      <w:r>
        <w:t xml:space="preserve">4.3 Targeting specific parameters</w:t>
      </w:r>
    </w:p>
    <w:p>
      <w:pPr>
        <w:pStyle w:val="FirstParagraph"/>
      </w:pPr>
      <w:r>
        <w:t xml:space="preserve">The previous analyses focused on global fit. However, power is always</w:t>
      </w:r>
      <w:r>
        <w:t xml:space="preserve"> </w:t>
      </w:r>
      <w:r>
        <w:t xml:space="preserve">tied to a specific hypothesis, and different parameters within the same</w:t>
      </w:r>
      <w:r>
        <w:t xml:space="preserve"> </w:t>
      </w:r>
      <w:r>
        <w:t xml:space="preserve">model can require markedly different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reach the same target</w:t>
      </w:r>
      <w:r>
        <w:t xml:space="preserve"> </w:t>
      </w:r>
      <w:r>
        <w:t xml:space="preserve">(Moshagen &amp; Bader, 2024; Wang, 2023)</w:t>
      </w:r>
      <w:r>
        <w:t xml:space="preserve">. This section evaluates power at the</w:t>
      </w:r>
      <w:r>
        <w:t xml:space="preserve"> </w:t>
      </w:r>
      <w:r>
        <w:t xml:space="preserve">parameter level to identify which parts of the model are hardest to</w:t>
      </w:r>
      <w:r>
        <w:t xml:space="preserve"> </w:t>
      </w:r>
      <w:r>
        <w:t xml:space="preserve">recover and should therefore anchor the sample size decision.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simsem</w:t>
      </w:r>
      <w:r>
        <w:t xml:space="preserve">, parameter-level summaries include relative bias,</w:t>
      </w:r>
      <w:r>
        <w:t xml:space="preserve"> </w:t>
      </w:r>
      <w:r>
        <w:t xml:space="preserve">standard-error bias, CI coverage, and detection power. These four</w:t>
      </w:r>
      <w:r>
        <w:t xml:space="preserve"> </w:t>
      </w:r>
      <w:r>
        <w:t xml:space="preserve">indicators are not redundant: a parameter may show high power while</w:t>
      </w:r>
      <w:r>
        <w:t xml:space="preserve"> </w:t>
      </w:r>
      <w:r>
        <w:t xml:space="preserve">still being poorly estimated, and estimation quality should always be</w:t>
      </w:r>
      <w:r>
        <w:t xml:space="preserve"> </w:t>
      </w:r>
      <w:r>
        <w:t xml:space="preserve">verified alongside detection rates</w:t>
      </w:r>
      <w:r>
        <w:t xml:space="preserve"> </w:t>
      </w:r>
      <w:r>
        <w:t xml:space="preserve">(Pornprasertmanit et al., 2021; Wang &amp; Rhemtulla,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param-estimate-ide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Summary of parameter estimates under ideal conditions.</w:t>
            </w:r>
          </w:p>
          <w:tbl>
            <w:tblPr>
              <w:tblStyle w:val="Table"/>
              <w:tblW w:type="pct" w:w="4877"/>
              <w:tblLayout w:type="fixed"/>
              <w:tblLook w:firstRow="1" w:lastRow="0" w:firstColumn="0" w:lastColumn="0" w:noHBand="0" w:noVBand="0" w:val="0020"/>
            </w:tblPr>
            <w:tblGrid>
              <w:gridCol w:w="2542"/>
              <w:gridCol w:w="977"/>
              <w:gridCol w:w="1173"/>
              <w:gridCol w:w="1075"/>
              <w:gridCol w:w="19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 SE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 (Not equal 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psycho=~Q26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physical=~Q18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social=~Q20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social=~Q21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social=~Q22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psycho~~physical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psycho~~social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physical~~social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social~~environment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Q5~~Q5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Q6~~Q6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Q7~~Q7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Q11~~Q11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Q19~~Q19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Q26~~Q26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Q4~~Q4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Q10~~Q10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Q15~~Q15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Q16~~Q16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Q17~~Q17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Q18~~Q18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Q20~~Q20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Q21~~Q21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Q22~~Q22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Q8~~Q8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Q9~~Q9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Q12~~Q12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Q13~~Q13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Q14~~Q14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Q23~~Q23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Q24~~Q24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Q25~~Q25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</w:t>
                  </w:r>
                </w:p>
              </w:tc>
            </w:tr>
          </w:tbl>
          <w:bookmarkEnd w:id="108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09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Primary factor loadings for</w:t>
      </w:r>
      <w:r>
        <w:t xml:space="preserve"> </w:t>
      </w:r>
      <w:r>
        <w:rPr>
          <w:rStyle w:val="VerbatimChar"/>
        </w:rPr>
        <w:t xml:space="preserve">psycho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recover very well: high power, minimal bias, modest SE distortion,</w:t>
      </w:r>
      <w:r>
        <w:t xml:space="preserve"> </w:t>
      </w:r>
      <w:r>
        <w:t xml:space="preserve">and coverage close to nominal. Two exceptions stand out. The loading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  <m:r>
          <m:t>8</m:t>
        </m:r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 its residual variance are easily detected</w:t>
      </w:r>
      <w:r>
        <w:t xml:space="preserve"> </w:t>
      </w:r>
      <w:r>
        <w:t xml:space="preserve">but not well recovered — the model would flag this parameter as</w:t>
      </w:r>
      <w:r>
        <w:t xml:space="preserve"> </w:t>
      </w:r>
      <w:r>
        <w:t xml:space="preserve">non-zero while still estimating it with noticeable distortion. Item</w:t>
      </w:r>
      <w:r>
        <w:t xml:space="preserve"> </w:t>
      </w:r>
      <m:oMath>
        <m:r>
          <m:t>Q</m:t>
        </m:r>
        <m:r>
          <m:t>15</m:t>
        </m:r>
      </m:oMath>
      <w:r>
        <w:t xml:space="preserve"> </w:t>
      </w:r>
      <w:r>
        <w:t xml:space="preserve">shows a secondary warning on the same dimensions. Among the</w:t>
      </w:r>
      <w:r>
        <w:t xml:space="preserve"> </w:t>
      </w:r>
      <w:r>
        <w:t xml:space="preserve">latent parameters, interfactor covariances — particularly those</w:t>
      </w:r>
      <w:r>
        <w:t xml:space="preserve"> </w:t>
      </w:r>
      <w:r>
        <w:t xml:space="preserve">involving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— are harder to recover than</w:t>
      </w:r>
      <w:r>
        <w:t xml:space="preserve"> </w:t>
      </w:r>
      <w:r>
        <w:t xml:space="preserve">loadings, with lower power and weaker coverage. The residual covariance</w:t>
      </w:r>
      <w:r>
        <w:t xml:space="preserve"> </w:t>
      </w:r>
      <m:oMath>
        <m:r>
          <m:t>Q</m:t>
        </m:r>
        <m:r>
          <m:t>3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t>Q</m:t>
        </m:r>
        <m:r>
          <m:t>4</m:t>
        </m:r>
      </m:oMath>
      <w:r>
        <w:t xml:space="preserve"> </w:t>
      </w:r>
      <w:r>
        <w:t xml:space="preserve">stands out as the most demanding residual parameter,</w:t>
      </w:r>
      <w:r>
        <w:t xml:space="preserve"> </w:t>
      </w:r>
      <w:r>
        <w:t xml:space="preserve">behaving more like a latent covariance than a measurement parameter</w:t>
      </w:r>
      <w:r>
        <w:t xml:space="preserve"> </w:t>
      </w:r>
      <w:r>
        <w:t xml:space="preserve">in terms of inferential difficulty.</w:t>
      </w:r>
    </w:p>
    <w:p>
      <w:pPr>
        <w:pStyle w:val="BodyText"/>
      </w:pPr>
      <w:r>
        <w:t xml:space="preserve">The required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each parameter follows directly from these</w:t>
      </w:r>
      <w:r>
        <w:t xml:space="preserve"> </w:t>
      </w:r>
      <w:r>
        <w:t xml:space="preserve">patterns</w:t>
      </w:r>
      <w:r>
        <w:t xml:space="preserve"> </w:t>
      </w:r>
      <w:r>
        <w:t xml:space="preserve">(Jobst et al., 2023; Moshagen &amp; Bader, 2024)</w:t>
      </w:r>
      <w:r>
        <w:t xml:space="preserve">, as shown in</w:t>
      </w:r>
      <w:r>
        <w:t xml:space="preserve"> </w:t>
      </w:r>
      <w:hyperlink w:anchor="tbl-power-n-ideal">
        <w:r>
          <w:rPr>
            <w:rStyle w:val="Hyperlink"/>
          </w:rPr>
          <w:t xml:space="preserve">Table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power-n-ide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Sample size needed for 80% power under ideal conditions.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environment=~Q9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psycho~~physical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Q5~~Q5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Q7~~Q7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Q17~~Q17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Q20~~Q20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Q21~~Q21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51</w:t>
                  </w:r>
                </w:p>
              </w:tc>
            </w:tr>
          </w:tbl>
          <w:bookmarkEnd w:id="110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11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Many primary loadings and residual variances reach the target power</w:t>
      </w:r>
      <w:r>
        <w:t xml:space="preserve"> </w:t>
      </w:r>
      <w:r>
        <w:t xml:space="preserve">at the low end of the simulated range. Latent covariances and the</w:t>
      </w:r>
      <w:r>
        <w:t xml:space="preserve"> </w:t>
      </w:r>
      <w:r>
        <w:t xml:space="preserve">residual covariance</w:t>
      </w:r>
      <w:r>
        <w:t xml:space="preserve"> </w:t>
      </w:r>
      <m:oMath>
        <m:r>
          <m:t>Q</m:t>
        </m:r>
        <m:r>
          <m:t>3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t>Q</m:t>
        </m:r>
        <m:r>
          <m:t>4</m:t>
        </m:r>
      </m:oMath>
      <w:r>
        <w:t xml:space="preserve"> </w:t>
      </w:r>
      <w:r>
        <w:t xml:space="preserve">require substantially larger</w:t>
      </w:r>
      <w:r>
        <w:t xml:space="preserve"> </w:t>
      </w:r>
      <w:r>
        <w:t xml:space="preserve">samples. In practice, the sample size decision should be driven by</w:t>
      </w:r>
      <w:r>
        <w:t xml:space="preserve"> </w:t>
      </w:r>
      <w:r>
        <w:t xml:space="preserve">the hardest-to-detect parameters, not by the easiest ones — a</w:t>
      </w:r>
      <w:r>
        <w:t xml:space="preserve"> </w:t>
      </w:r>
      <w:r>
        <w:t xml:space="preserve">principle that pushes the practical reference toward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(Pornprasertmanit et al., 2021; Wang &amp; Rhemtulla, 2021)</w:t>
      </w:r>
      <w:r>
        <w:t xml:space="preserve">. Specifically,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psycho~~social</w:t>
      </w:r>
      <w:r>
        <w:t xml:space="preserve"> </w:t>
      </w:r>
      <w:r>
        <w:t xml:space="preserve">covariance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212, which sets the effective ceiling</w:t>
      </w:r>
      <w:r>
        <w:t xml:space="preserve"> </w:t>
      </w:r>
      <w:r>
        <w:t xml:space="preserve">for parameter-level planning in this model.</w:t>
      </w:r>
    </w:p>
    <w:bookmarkEnd w:id="112"/>
    <w:bookmarkStart w:id="119" w:name="recovering-population-parameters"/>
    <w:p>
      <w:pPr>
        <w:pStyle w:val="Heading3"/>
      </w:pPr>
      <w:r>
        <w:t xml:space="preserve">4.4 Recovering population parameters</w:t>
      </w:r>
    </w:p>
    <w:bookmarkStart w:id="115" w:name="X1209260cfd11d7a4f20ced4599fb769750fdbcd"/>
    <w:p>
      <w:pPr>
        <w:pStyle w:val="Heading4"/>
      </w:pPr>
      <w:r>
        <w:t xml:space="preserve">4.4.1 Parameter-level power under the naive model</w:t>
      </w:r>
    </w:p>
    <w:p>
      <w:pPr>
        <w:pStyle w:val="FirstParagraph"/>
      </w:pPr>
      <w:r>
        <w:t xml:space="preserve">Examining parameter recovery under the naive model serves as a</w:t>
      </w:r>
      <w:r>
        <w:t xml:space="preserve"> </w:t>
      </w:r>
      <w:r>
        <w:t xml:space="preserve">conservative benchmark for the measurement structure: because this population</w:t>
      </w:r>
      <w:r>
        <w:t xml:space="preserve"> </w:t>
      </w:r>
      <w:r>
        <w:t xml:space="preserve">assumes the weakest factor loadings (</w:t>
      </w:r>
      <m:oMath>
        <m:r>
          <m:t>λ</m:t>
        </m:r>
        <m:r>
          <m:rPr>
            <m:sty m:val="p"/>
          </m:rPr>
          <m:t>≈</m:t>
        </m:r>
        <m:r>
          <m:t>0.40</m:t>
        </m:r>
      </m:oMath>
      <w:r>
        <w:t xml:space="preserve">), indicator</w:t>
      </w:r>
      <w:r>
        <w:t xml:space="preserve"> </w:t>
      </w:r>
      <w:r>
        <w:t xml:space="preserve">communalities are low, which increases estimation uncertainty for the</w:t>
      </w:r>
      <w:r>
        <w:t xml:space="preserve"> </w:t>
      </w:r>
      <w:r>
        <w:t xml:space="preserve">measurement parameters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. Concurrently, its interfactor</w:t>
      </w:r>
      <w:r>
        <w:t xml:space="preserve"> </w:t>
      </w:r>
      <w:r>
        <w:t xml:space="preserve">correlations are moderate (</w:t>
      </w:r>
      <m:oMath>
        <m:r>
          <m:t>ϕ</m:t>
        </m:r>
        <m:r>
          <m:rPr>
            <m:sty m:val="p"/>
          </m:rPr>
          <m:t>=</m:t>
        </m:r>
        <m:r>
          <m:t>0.30</m:t>
        </m:r>
      </m:oMath>
      <w:r>
        <w:t xml:space="preserve">). For detecting latent covariances,</w:t>
      </w:r>
      <w:r>
        <w:t xml:space="preserve"> </w:t>
      </w:r>
      <w:r>
        <w:t xml:space="preserve">a larger effect size (</w:t>
      </w:r>
      <m:oMath>
        <m:r>
          <m:t>ϕ</m:t>
        </m:r>
        <m:r>
          <m:rPr>
            <m:sty m:val="p"/>
          </m:rPr>
          <m:t>=</m:t>
        </m:r>
        <m:r>
          <m:t>0.30</m:t>
        </m:r>
      </m:oMath>
      <w:r>
        <w:t xml:space="preserve">) requires a substantially smaller sample</w:t>
      </w:r>
      <w:r>
        <w:t xml:space="preserve"> </w:t>
      </w:r>
      <w:r>
        <w:t xml:space="preserve">size than a near-zero correlation, allowing all six factor correlations to</w:t>
      </w:r>
      <w:r>
        <w:t xml:space="preserve"> </w:t>
      </w:r>
      <w:r>
        <w:t xml:space="preserve">reach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power within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90</m:t>
        </m:r>
      </m:oMath>
      <w:r>
        <w:t xml:space="preserve"> </w:t>
      </w:r>
      <w:r>
        <w:t xml:space="preserve">(Pornprasertmanit et al., 2021; Wang &amp; Rhemtulla,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power-n-naiv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Parameter estimates and required sample size for 80% power under naive conditions.</w:t>
            </w:r>
          </w:p>
          <w:tbl>
            <w:tblPr>
              <w:tblStyle w:val="Table"/>
              <w:tblW w:type="pct" w:w="4885"/>
              <w:tblLayout w:type="fixed"/>
              <w:tblLook w:firstRow="1" w:lastRow="0" w:firstColumn="0" w:lastColumn="0" w:noHBand="0" w:noVBand="0" w:val="0020"/>
            </w:tblPr>
            <w:tblGrid>
              <w:gridCol w:w="2366"/>
              <w:gridCol w:w="819"/>
              <w:gridCol w:w="1001"/>
              <w:gridCol w:w="1001"/>
              <w:gridCol w:w="1547"/>
              <w:gridCol w:w="100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Rel SE</w:t>
                  </w:r>
                  <w:r>
                    <w:t xml:space="preserve"> </w:t>
                  </w:r>
                  <w:r>
                    <w:t xml:space="preserve">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Power (Not equal</w:t>
                  </w:r>
                  <w:r>
                    <w:t xml:space="preserve"> </w:t>
                  </w:r>
                  <w:r>
                    <w:t xml:space="preserve">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Required 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psycho~~physical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-0.944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psycho~~environment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physical~~social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-0.971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-0.932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social~~environment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-0.123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-0.130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143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14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Most factor loadings reach the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target with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60</m:t>
        </m:r>
      </m:oMath>
      <w:r>
        <w:t xml:space="preserve">, confirming</w:t>
      </w:r>
      <w:r>
        <w:t xml:space="preserve"> </w:t>
      </w:r>
      <w:r>
        <w:t xml:space="preserve">that the loading structure is not the binding constraint. The binding</w:t>
      </w:r>
      <w:r>
        <w:t xml:space="preserve"> </w:t>
      </w:r>
      <w:r>
        <w:t xml:space="preserve">constraint is the set of latent covariances. Their required sample</w:t>
      </w:r>
      <w:r>
        <w:t xml:space="preserve"> </w:t>
      </w:r>
      <w:r>
        <w:t xml:space="preserve">sizes are:</w:t>
      </w:r>
      <w:r>
        <w:t xml:space="preserve"> </w:t>
      </w:r>
      <m:oMath>
        <m:r>
          <m:rPr>
            <m:nor/>
            <m:sty m:val="p"/>
          </m:rPr>
          <m:t>psycho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physical</m:t>
        </m:r>
      </m:oMath>
      <w:r>
        <w:t xml:space="preserve"> </w:t>
      </w:r>
      <w:r>
        <w:t xml:space="preserve">= 180,</w:t>
      </w:r>
      <w:r>
        <w:t xml:space="preserve"> </w:t>
      </w:r>
      <m:oMath>
        <m:r>
          <m:rPr>
            <m:nor/>
            <m:sty m:val="p"/>
          </m:rPr>
          <m:t>psycho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social</m:t>
        </m:r>
      </m:oMath>
      <w:r>
        <w:t xml:space="preserve"> </w:t>
      </w:r>
      <w:r>
        <w:t xml:space="preserve">= 186,</w:t>
      </w:r>
      <w:r>
        <w:t xml:space="preserve"> </w:t>
      </w:r>
      <m:oMath>
        <m:r>
          <m:rPr>
            <m:nor/>
            <m:sty m:val="p"/>
          </m:rPr>
          <m:t>psycho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environment</m:t>
        </m:r>
      </m:oMath>
      <w:r>
        <w:t xml:space="preserve"> </w:t>
      </w:r>
      <w:r>
        <w:t xml:space="preserve">= 164,</w:t>
      </w:r>
      <w:r>
        <w:t xml:space="preserve"> </w:t>
      </w:r>
      <m:oMath>
        <m:r>
          <m:rPr>
            <m:nor/>
            <m:sty m:val="p"/>
          </m:rPr>
          <m:t>physical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social</m:t>
        </m:r>
      </m:oMath>
      <w:r>
        <w:t xml:space="preserve"> </w:t>
      </w:r>
      <w:r>
        <w:t xml:space="preserve">= 192,</w:t>
      </w:r>
      <w:r>
        <w:t xml:space="preserve"> </w:t>
      </w:r>
      <m:oMath>
        <m:r>
          <m:rPr>
            <m:nor/>
            <m:sty m:val="p"/>
          </m:rPr>
          <m:t>physical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environment</m:t>
        </m:r>
      </m:oMath>
      <w:r>
        <w:t xml:space="preserve"> </w:t>
      </w:r>
      <w:r>
        <w:t xml:space="preserve">= 178,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social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environment</m:t>
        </m:r>
      </m:oMath>
      <w:r>
        <w:t xml:space="preserve"> </w:t>
      </w:r>
      <w:r>
        <w:t xml:space="preserve">= 184.</w:t>
      </w:r>
      <w:r>
        <w:t xml:space="preserve"> </w:t>
      </w:r>
      <w:r>
        <w:t xml:space="preserve">The residual covariance</w:t>
      </w:r>
      <w:r>
        <w:t xml:space="preserve"> </w:t>
      </w:r>
      <m:oMath>
        <m:r>
          <m:t>Q</m:t>
        </m:r>
        <m:r>
          <m:t>3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t>Q</m:t>
        </m:r>
        <m:r>
          <m:t>4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143,</w:t>
      </w:r>
      <w:r>
        <w:t xml:space="preserve"> </w:t>
      </w:r>
      <w:r>
        <w:t xml:space="preserve">placing it between the loadings and the latent covariances in difficulty.</w:t>
      </w:r>
      <w:r>
        <w:t xml:space="preserve"> </w:t>
      </w:r>
      <w:r>
        <w:t xml:space="preserve">The largest required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physical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rPr>
            <m:nor/>
            <m:sty m:val="p"/>
          </m:rPr>
          <m:t>social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192, which therefore governs the minimum</w:t>
      </w:r>
      <w:r>
        <w:t xml:space="preserve"> </w:t>
      </w:r>
      <w:r>
        <w:t xml:space="preserve">sample size for the naive scenario.</w:t>
      </w:r>
    </w:p>
    <w:bookmarkEnd w:id="115"/>
    <w:bookmarkStart w:id="118" w:name="X56f8ae3dd1d94e0156a3456a70160ad55f74458"/>
    <w:p>
      <w:pPr>
        <w:pStyle w:val="Heading4"/>
      </w:pPr>
      <w:r>
        <w:t xml:space="preserve">4.4.2 Parameter-level power under the optimistic model</w:t>
      </w:r>
    </w:p>
    <w:p>
      <w:pPr>
        <w:pStyle w:val="FirstParagraph"/>
      </w:pPr>
      <w:r>
        <w:t xml:space="preserve">Under the optimistic model, stronger loadings (</w:t>
      </w:r>
      <m:oMath>
        <m:r>
          <m:t>λ</m:t>
        </m:r>
        <m:r>
          <m:rPr>
            <m:sty m:val="p"/>
          </m:rPr>
          <m:t>≈</m:t>
        </m:r>
        <m:r>
          <m:t>0.80</m:t>
        </m:r>
      </m:oMath>
      <w:r>
        <w:t xml:space="preserve">) and lower interfactor</w:t>
      </w:r>
      <w:r>
        <w:t xml:space="preserve"> </w:t>
      </w:r>
      <w:r>
        <w:t xml:space="preserve">correlations (</w:t>
      </w:r>
      <m:oMath>
        <m:r>
          <m:t>ϕ</m:t>
        </m:r>
        <m:r>
          <m:rPr>
            <m:sty m:val="p"/>
          </m:rPr>
          <m:t>=</m:t>
        </m:r>
        <m:r>
          <m:t>0.08</m:t>
        </m:r>
      </m:oMath>
      <w:r>
        <w:t xml:space="preserve">) yield two sharply contrasting patterns</w:t>
      </w:r>
      <w:r>
        <w:t xml:space="preserve"> </w:t>
      </w:r>
      <w:r>
        <w:t xml:space="preserve">(</w:t>
      </w:r>
      <w:r>
        <w:t xml:space="preserve">Mosqueira Taipe et al.</w:t>
      </w:r>
      <w:r>
        <w:t xml:space="preserve">, 2026)</w:t>
      </w:r>
      <w:r>
        <w:t xml:space="preserve">.</w:t>
      </w:r>
      <w:r>
        <w:t xml:space="preserve"> </w:t>
      </w:r>
      <w:r>
        <w:t xml:space="preserve">Because the measurement structure is exceptionally strong, all primary factor loadings and</w:t>
      </w:r>
      <w:r>
        <w:t xml:space="preserve"> </w:t>
      </w:r>
      <w:r>
        <w:t xml:space="preserve">residual variances reach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power at the lowest simulated sample size (</w:t>
      </w:r>
      <m:oMath>
        <m:r>
          <m:t>N</m:t>
        </m:r>
        <m:r>
          <m:rPr>
            <m:sty m:val="p"/>
          </m:rPr>
          <m:t>≤</m:t>
        </m:r>
        <m:r>
          <m:t>51</m:t>
        </m:r>
      </m:oMath>
      <w:r>
        <w:t xml:space="preserve">) with</w:t>
      </w:r>
      <w:r>
        <w:t xml:space="preserve"> </w:t>
      </w:r>
      <w:r>
        <w:t xml:space="preserve">negligible bias. Conversely, because the true interfactor correlations are very weak (</w:t>
      </w:r>
      <m:oMath>
        <m:r>
          <m:t>ϕ</m:t>
        </m:r>
        <m:r>
          <m:rPr>
            <m:sty m:val="p"/>
          </m:rPr>
          <m:t>=</m:t>
        </m:r>
        <m:r>
          <m:t>0.08</m:t>
        </m:r>
      </m:oMath>
      <w:r>
        <w:t xml:space="preserve">),</w:t>
      </w:r>
      <w:r>
        <w:t xml:space="preserve"> </w:t>
      </w:r>
      <w:r>
        <w:t xml:space="preserve">detecting them as statistically different from zero requires substantially larger samples:</w:t>
      </w:r>
      <w:r>
        <w:t xml:space="preserve"> </w:t>
      </w:r>
      <w:r>
        <w:t xml:space="preserve">analytical power calculations indicate that reaching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power for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200</m:t>
        </m:r>
      </m:oMath>
      <w:r>
        <w:t xml:space="preserve">. Within the simulated sample-size range (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51</m:t>
        </m:r>
        <m:r>
          <m:rPr>
            <m:sty m:val="p"/>
          </m:rPr>
          <m:t>,</m:t>
        </m:r>
        <m:r>
          <m:t>350</m:t>
        </m:r>
        <m:r>
          <m:rPr>
            <m:sty m:val="p"/>
          </m:rPr>
          <m:t>]</m:t>
        </m:r>
      </m:oMath>
      <w:r>
        <w:t xml:space="preserve">), power for these correlations</w:t>
      </w:r>
      <w:r>
        <w:t xml:space="preserve"> </w:t>
      </w:r>
      <w:r>
        <w:t xml:space="preserve">never crosses</w:t>
      </w:r>
      <w:r>
        <w:t xml:space="preserve"> </w:t>
      </w:r>
      <m:oMath>
        <m:r>
          <m:t>0.80</m:t>
        </m:r>
      </m:oMath>
      <w:r>
        <w:t xml:space="preserve">, leading</w:t>
      </w:r>
      <w:r>
        <w:t xml:space="preserve"> </w:t>
      </w:r>
      <w:r>
        <w:rPr>
          <w:rStyle w:val="VerbatimChar"/>
        </w:rPr>
        <w:t xml:space="preserve">findPower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power-n-op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Parameter estimates and required sample size for 80% power under optimal conditions.</w:t>
            </w:r>
          </w:p>
          <w:tbl>
            <w:tblPr>
              <w:tblStyle w:val="Table"/>
              <w:tblW w:type="pct" w:w="4875"/>
              <w:tblLayout w:type="fixed"/>
              <w:tblLook w:firstRow="1" w:lastRow="0" w:firstColumn="0" w:lastColumn="0" w:noHBand="0" w:noVBand="0" w:val="0020"/>
            </w:tblPr>
            <w:tblGrid>
              <w:gridCol w:w="1188"/>
              <w:gridCol w:w="990"/>
              <w:gridCol w:w="1287"/>
              <w:gridCol w:w="1089"/>
              <w:gridCol w:w="1980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 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 SE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 (Not equal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Required 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Q3~~Q4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139</w:t>
                  </w:r>
                </w:p>
              </w:tc>
            </w:tr>
          </w:tbl>
          <w:bookmarkEnd w:id="116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17">
        <w:r>
          <w:rPr>
            <w:rStyle w:val="Hyperlink"/>
            <w:vertAlign w:val="subscript"/>
          </w:rPr>
          <w:t xml:space="preserve">Simulation — Ideal Conditions</w:t>
        </w:r>
      </w:hyperlink>
    </w:p>
    <w:p>
      <w:pPr>
        <w:pStyle w:val="BodyText"/>
      </w:pPr>
      <w:r>
        <w:t xml:space="preserve">Among parameters with finite required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above 60, only the residual covariance</w:t>
      </w:r>
      <w:r>
        <w:t xml:space="preserve"> </w:t>
      </w:r>
      <m:oMath>
        <m:r>
          <m:t>Q</m:t>
        </m:r>
        <m:r>
          <m:t>3</m:t>
        </m:r>
        <m:r>
          <m:rPr>
            <m:sty m:val="p"/>
          </m:rPr>
          <m:t>∼</m:t>
        </m:r>
        <m:r>
          <m:rPr>
            <m:sty m:val="p"/>
          </m:rPr>
          <m:t>∼</m:t>
        </m:r>
        <m:r>
          <m:t>Q</m:t>
        </m:r>
        <m:r>
          <m:t>4</m:t>
        </m:r>
      </m:oMath>
      <w:r>
        <w:t xml:space="preserve"> </w:t>
      </w:r>
      <w:r>
        <w:t xml:space="preserve">appears in</w:t>
      </w:r>
      <w:r>
        <w:t xml:space="preserve"> </w:t>
      </w:r>
      <w:hyperlink w:anchor="tbl-power-n-opt">
        <w:r>
          <w:rPr>
            <w:rStyle w:val="Hyperlink"/>
          </w:rPr>
          <w:t xml:space="preserve">Table 11</w:t>
        </w:r>
      </w:hyperlink>
      <w:r>
        <w:t xml:space="preserve">, requiring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139. Rather than implying that the</w:t>
      </w:r>
      <w:r>
        <w:t xml:space="preserve"> </w:t>
      </w:r>
      <w:r>
        <w:t xml:space="preserve">entire model is powered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51</m:t>
        </m:r>
      </m:oMath>
      <w:r>
        <w:t xml:space="preserve">, this analysis reveals that weak latent correlations represent an</w:t>
      </w:r>
      <w:r>
        <w:t xml:space="preserve"> </w:t>
      </w:r>
      <w:r>
        <w:t xml:space="preserve">acute bottleneck for parameter-level hypothesis testing, even when measurement quality is optimal</w:t>
      </w:r>
      <w:r>
        <w:t xml:space="preserve"> </w:t>
      </w:r>
      <w:r>
        <w:t xml:space="preserve">(Buchberger et al., 2024; Pornprasertmanit et al., 2021)</w:t>
      </w:r>
      <w:r>
        <w:t xml:space="preserve">. The contrast between the naive and</w:t>
      </w:r>
      <w:r>
        <w:t xml:space="preserve"> </w:t>
      </w:r>
      <w:r>
        <w:t xml:space="preserve">optimistic results demonstrates how sensitive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recommendations are</w:t>
      </w:r>
      <w:r>
        <w:t xml:space="preserve"> </w:t>
      </w:r>
      <w:r>
        <w:t xml:space="preserve">to the assumed population: the same model structure implies very</w:t>
      </w:r>
      <w:r>
        <w:t xml:space="preserve"> </w:t>
      </w:r>
      <w:r>
        <w:t xml:space="preserve">different requirements depending on which parameter set is used,</w:t>
      </w:r>
      <w:r>
        <w:t xml:space="preserve"> </w:t>
      </w:r>
      <w:r>
        <w:t xml:space="preserve">reinforcing the importance of sensitivity analyses across population</w:t>
      </w:r>
      <w:r>
        <w:t xml:space="preserve"> </w:t>
      </w:r>
      <w:r>
        <w:t xml:space="preserve">variants</w:t>
      </w:r>
      <w:r>
        <w:t xml:space="preserve"> </w:t>
      </w:r>
      <w:r>
        <w:t xml:space="preserve">(Buchberger et al., 2024; Irmer et al., 2024)</w:t>
      </w:r>
      <w:r>
        <w:t xml:space="preserve">.</w:t>
      </w:r>
    </w:p>
    <w:bookmarkEnd w:id="118"/>
    <w:bookmarkEnd w:id="119"/>
    <w:bookmarkEnd w:id="120"/>
    <w:bookmarkStart w:id="163" w:name="sec-sim-robust"/>
    <w:p>
      <w:pPr>
        <w:pStyle w:val="Heading2"/>
      </w:pPr>
      <w:r>
        <w:t xml:space="preserve">5 Monte Carlo Simulation: Realistic Scenarios</w:t>
      </w:r>
    </w:p>
    <w:p>
      <w:pPr>
        <w:pStyle w:val="FirstParagraph"/>
      </w:pPr>
      <w:r>
        <w:t xml:space="preserve">The ideal-condition analyses establish a theoretical baseline, but</w:t>
      </w:r>
      <w:r>
        <w:t xml:space="preserve"> </w:t>
      </w:r>
      <w:r>
        <w:t xml:space="preserve">actual data collection rarely conforms to multivariate normality with</w:t>
      </w:r>
      <w:r>
        <w:t xml:space="preserve"> </w:t>
      </w:r>
      <w:r>
        <w:t xml:space="preserve">complete observations. When non-normality or missing data are</w:t>
      </w:r>
      <w:r>
        <w:t xml:space="preserve"> </w:t>
      </w:r>
      <w:r>
        <w:t xml:space="preserve">anticipated, analytical power estimates may be optimistic, and the</w:t>
      </w:r>
      <w:r>
        <w:t xml:space="preserve"> </w:t>
      </w:r>
      <w:r>
        <w:t xml:space="preserve">required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should be reassessed under more realistic assumptions</w:t>
      </w:r>
      <w:r>
        <w:t xml:space="preserve"> </w:t>
      </w:r>
      <w:r>
        <w:t xml:space="preserve">(Feng &amp; Hancock, 2023; Wang, 2023)</w:t>
      </w:r>
      <w:r>
        <w:t xml:space="preserve">. Monte Carlo simulation is especially valuable</w:t>
      </w:r>
      <w:r>
        <w:t xml:space="preserve"> </w:t>
      </w:r>
      <w:r>
        <w:t xml:space="preserve">here because it can encode precisely the data conditions expected in</w:t>
      </w:r>
      <w:r>
        <w:t xml:space="preserve"> </w:t>
      </w:r>
      <w:r>
        <w:t xml:space="preserve">practice — including the missing-data mechanism, the distributional</w:t>
      </w:r>
      <w:r>
        <w:t xml:space="preserve"> </w:t>
      </w:r>
      <w:r>
        <w:t xml:space="preserve">shape, and the estimator — and propagate them through to the power</w:t>
      </w:r>
      <w:r>
        <w:t xml:space="preserve"> </w:t>
      </w:r>
      <w:r>
        <w:t xml:space="preserve">estimate</w:t>
      </w:r>
      <w:r>
        <w:t xml:space="preserve"> </w:t>
      </w:r>
      <w:r>
        <w:t xml:space="preserve">(Irmer et al., 2024; Schoemann et al., 2014)</w:t>
      </w:r>
      <w:r>
        <w:t xml:space="preserve">.</w:t>
      </w:r>
    </w:p>
    <w:p>
      <w:pPr>
        <w:pStyle w:val="BodyText"/>
      </w:pPr>
      <w:r>
        <w:t xml:space="preserve">The goal of this section is not to replace the ideal-condition results</w:t>
      </w:r>
      <w:r>
        <w:t xml:space="preserve"> </w:t>
      </w:r>
      <w:r>
        <w:t xml:space="preserve">but to probe how sensitive they are to two common violations: missing</w:t>
      </w:r>
      <w:r>
        <w:t xml:space="preserve"> </w:t>
      </w:r>
      <w:r>
        <w:t xml:space="preserve">data and non-normality. Both analyses follow the same design logic as</w:t>
      </w:r>
      <w:r>
        <w:t xml:space="preserve"> </w:t>
      </w:r>
      <w:r>
        <w:t xml:space="preserve">before — reference data from</w:t>
      </w:r>
      <w:r>
        <w:t xml:space="preserve"> </w:t>
      </w:r>
      <w:r>
        <w:rPr>
          <w:rStyle w:val="VerbatimChar"/>
        </w:rPr>
        <w:t xml:space="preserve">popmodel</w:t>
      </w:r>
      <w:r>
        <w:t xml:space="preserve">, alternative data from</w:t>
      </w:r>
      <w:r>
        <w:t xml:space="preserve"> </w:t>
      </w:r>
      <w:r>
        <w:rPr>
          <w:rStyle w:val="VerbatimChar"/>
        </w:rPr>
        <w:t xml:space="preserve">h1model</w:t>
      </w:r>
      <w:r>
        <w:t xml:space="preserve">, analysis model</w:t>
      </w:r>
      <w:r>
        <w:t xml:space="preserve"> </w:t>
      </w:r>
      <w:r>
        <w:rPr>
          <w:rStyle w:val="VerbatimChar"/>
        </w:rPr>
        <w:t xml:space="preserve">analyzemodel</w:t>
      </w:r>
      <w:r>
        <w:t xml:space="preserve"> </w:t>
      </w:r>
      <w:r>
        <w:t xml:space="preserve">— so the results remain</w:t>
      </w:r>
      <w:r>
        <w:t xml:space="preserve"> </w:t>
      </w:r>
      <w:r>
        <w:t xml:space="preserve">directly comparable</w:t>
      </w:r>
      <w:r>
        <w:t xml:space="preserve"> </w:t>
      </w:r>
      <w:r>
        <w:t xml:space="preserve">(Jobst et al., 2023; Moshagen &amp; Bader, 2024)</w:t>
      </w:r>
      <w:r>
        <w:t xml:space="preserve">.</w:t>
      </w:r>
    </w:p>
    <w:bookmarkStart w:id="133" w:name="sec-missing"/>
    <w:p>
      <w:pPr>
        <w:pStyle w:val="Heading3"/>
      </w:pPr>
      <w:r>
        <w:t xml:space="preserve">5.1 Missing Data (MCAR)</w:t>
      </w:r>
    </w:p>
    <w:p>
      <w:pPr>
        <w:pStyle w:val="FirstParagraph"/>
      </w:pPr>
      <w:r>
        <w:t xml:space="preserve">Missing data reduce the amount of usable information per participant</w:t>
      </w:r>
      <w:r>
        <w:t xml:space="preserve"> </w:t>
      </w:r>
      <w:r>
        <w:t xml:space="preserve">and therefore generally lower estimation efficiency and statistical</w:t>
      </w:r>
      <w:r>
        <w:t xml:space="preserve"> </w:t>
      </w:r>
      <w:r>
        <w:t xml:space="preserve">power, even when data are missing completely at random (MCAR) and</w:t>
      </w:r>
      <w:r>
        <w:t xml:space="preserve"> </w:t>
      </w:r>
      <w:r>
        <w:t xml:space="preserve">the analysis model handles missingness correctly via full information</w:t>
      </w:r>
      <w:r>
        <w:t xml:space="preserve"> </w:t>
      </w:r>
      <w:r>
        <w:t xml:space="preserve">maximum likelihood</w:t>
      </w:r>
      <w:r>
        <w:t xml:space="preserve"> </w:t>
      </w:r>
      <w:r>
        <w:t xml:space="preserve">(Jak et al., 2021; Wolf et al., 2013)</w:t>
      </w:r>
      <w:r>
        <w:t xml:space="preserve">. The relevant design question</w:t>
      </w:r>
      <w:r>
        <w:t xml:space="preserve"> </w:t>
      </w:r>
      <w:r>
        <w:t xml:space="preserve">is not only how many cases are planned but how much information survives</w:t>
      </w:r>
      <w:r>
        <w:t xml:space="preserve"> </w:t>
      </w:r>
      <w:r>
        <w:t xml:space="preserve">the anticipated missing-data process</w:t>
      </w:r>
      <w:r>
        <w:t xml:space="preserve"> </w:t>
      </w:r>
      <w:r>
        <w:t xml:space="preserve">(Feng &amp; Hancock, 2023)</w:t>
      </w:r>
      <w:r>
        <w:t xml:space="preserve">.</w:t>
      </w:r>
    </w:p>
    <w:p>
      <w:pPr>
        <w:pStyle w:val="BodyText"/>
      </w:pPr>
      <w:r>
        <w:t xml:space="preserve">In this simulation, 10% of observations are set missing at random</w:t>
      </w:r>
      <w:r>
        <w:t xml:space="preserve"> </w:t>
      </w:r>
      <w:r>
        <w:t xml:space="preserve">prior to each analysis. All other aspects of the design are unchanged</w:t>
      </w:r>
      <w:r>
        <w:t xml:space="preserve"> </w:t>
      </w:r>
      <w:r>
        <w:t xml:space="preserve">from the ideal-condition analysis.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ower-curve-missing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4_simulation_robust-fig-power-curve-missing-outpu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Power curves for fit indices under missing data conditions.</w:t>
            </w:r>
          </w:p>
          <w:bookmarkEnd w:id="1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25">
        <w:r>
          <w:rPr>
            <w:rStyle w:val="Hyperlink"/>
            <w:vertAlign w:val="subscript"/>
          </w:rPr>
          <w:t xml:space="preserve">Simulation — Realistic Scenarios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fit-curve-missing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4_simulation_robust-fig-fit-curve-missing-output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Power curves for fit indices under missing data conditions without logistic smoothing.</w:t>
            </w:r>
          </w:p>
          <w:bookmarkEnd w:id="129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30">
        <w:r>
          <w:rPr>
            <w:rStyle w:val="Hyperlink"/>
            <w:vertAlign w:val="subscript"/>
          </w:rPr>
          <w:t xml:space="preserve">Simulation — Realistic Scenarios</w:t>
        </w:r>
      </w:hyperlink>
    </w:p>
    <w:p>
      <w:pPr>
        <w:pStyle w:val="BodyText"/>
      </w:pPr>
      <w:r>
        <w:t xml:space="preserve">Both figures show the expected pattern: power curves shift rightward</w:t>
      </w:r>
      <w:r>
        <w:t xml:space="preserve"> </w:t>
      </w:r>
      <w:r>
        <w:t xml:space="preserve">relative to the ideal condition, requiring 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reach the</w:t>
      </w:r>
      <w:r>
        <w:t xml:space="preserve"> </w:t>
      </w:r>
      <w:r>
        <w:t xml:space="preserve">same thresholds. The separation between distributions in the raw</w:t>
      </w:r>
      <w:r>
        <w:t xml:space="preserve"> </w:t>
      </w:r>
      <w:r>
        <w:t xml:space="preserve">fit-index plots is less pronounced, especially for CFI and TLI, which</w:t>
      </w:r>
      <w:r>
        <w:t xml:space="preserve"> </w:t>
      </w:r>
      <w:r>
        <w:t xml:space="preserve">show more overlap at small and intermediate sample sizes.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tbl-power-cutoff-miss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Power and fit index cutoff values under missing data conditions at N = 359.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Cutoff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1.010</w:t>
                  </w:r>
                </w:p>
              </w:tc>
            </w:tr>
          </w:tbl>
          <w:bookmarkEnd w:id="131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32">
        <w:r>
          <w:rPr>
            <w:rStyle w:val="Hyperlink"/>
            <w:vertAlign w:val="subscript"/>
          </w:rPr>
          <w:t xml:space="preserve">Simulation — Realistic Scenarios</w:t>
        </w:r>
      </w:hyperlink>
    </w:p>
    <w:p>
      <w:pPr>
        <w:pStyle w:val="BodyText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359</m:t>
        </m:r>
      </m:oMath>
      <w:r>
        <w:t xml:space="preserve">, power was 0.947 for RMSEA,</w:t>
      </w:r>
      <w:r>
        <w:t xml:space="preserve"> </w:t>
      </w:r>
      <w:r>
        <w:t xml:space="preserve">0.987 for SRMR,</w:t>
      </w:r>
      <w:r>
        <w:t xml:space="preserve"> </w:t>
      </w:r>
      <w:r>
        <w:t xml:space="preserve">0.802 for CFI, and</w:t>
      </w:r>
      <w:r>
        <w:t xml:space="preserve"> </w:t>
      </w:r>
      <w:r>
        <w:t xml:space="preserve">0.806 for TLI. SRMR remains the</w:t>
      </w:r>
      <w:r>
        <w:t xml:space="preserve"> </w:t>
      </w:r>
      <w:r>
        <w:t xml:space="preserve">strongest index and RMSEA is close behind; CFI and TLI are adequate</w:t>
      </w:r>
      <w:r>
        <w:t xml:space="preserve"> </w:t>
      </w:r>
      <w:r>
        <w:t xml:space="preserve">but marginally so. The empirical cutoffs were</w:t>
      </w:r>
      <w:r>
        <w:t xml:space="preserve"> </w:t>
      </w:r>
      <w:r>
        <w:t xml:space="preserve">0.011 for RMSEA,</w:t>
      </w:r>
      <w:r>
        <w:t xml:space="preserve"> </w:t>
      </w:r>
      <w:r>
        <w:t xml:space="preserve">0.035 for SRMR,</w:t>
      </w:r>
      <w:r>
        <w:t xml:space="preserve"> </w:t>
      </w:r>
      <w:r>
        <w:t xml:space="preserve">1.008 for CFI, and</w:t>
      </w:r>
      <w:r>
        <w:t xml:space="preserve"> </w:t>
      </w:r>
      <w:r>
        <w:t xml:space="preserve">1.01 for TLI. The values above</w:t>
      </w:r>
      <w:r>
        <w:t xml:space="preserve"> </w:t>
      </w:r>
      <m:oMath>
        <m:r>
          <m:t>1.00</m:t>
        </m:r>
      </m:oMath>
      <w:r>
        <w:t xml:space="preserve"> </w:t>
      </w:r>
      <w:r>
        <w:t xml:space="preserve">for CFI and TLI indicate that the classification boundary from the</w:t>
      </w:r>
      <w:r>
        <w:t xml:space="preserve"> </w:t>
      </w:r>
      <w:r>
        <w:t xml:space="preserve">simulation falls at the upper edge of the index scale, which explains</w:t>
      </w:r>
      <w:r>
        <w:t xml:space="preserve"> </w:t>
      </w:r>
      <w:r>
        <w:t xml:space="preserve">why their power is only marginally above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at this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(McNeish &amp; Wolf, 2021)</w:t>
      </w:r>
      <w:r>
        <w:t xml:space="preserve">.</w:t>
      </w:r>
      <w:r>
        <w:t xml:space="preserve"> </w:t>
      </w:r>
      <w:r>
        <w:t xml:space="preserve">Comparing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231</m:t>
        </m:r>
      </m:oMath>
      <w:r>
        <w:t xml:space="preserve"> </w:t>
      </w:r>
      <w:r>
        <w:t xml:space="preserve">(ideal)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359</m:t>
        </m:r>
      </m:oMath>
      <w:r>
        <w:t xml:space="preserve"> </w:t>
      </w:r>
      <w:r>
        <w:t xml:space="preserve">(10% MCAR) makes the</w:t>
      </w:r>
      <w:r>
        <w:t xml:space="preserve"> </w:t>
      </w:r>
      <w:r>
        <w:t xml:space="preserve">information cost of missing data concrete: approximately 128 additional</w:t>
      </w:r>
      <w:r>
        <w:t xml:space="preserve"> </w:t>
      </w:r>
      <w:r>
        <w:t xml:space="preserve">participants are needed to restore the same level of detection</w:t>
      </w:r>
      <w:r>
        <w:t xml:space="preserve"> </w:t>
      </w:r>
      <w:r>
        <w:t xml:space="preserve">performance.</w:t>
      </w:r>
    </w:p>
    <w:bookmarkEnd w:id="133"/>
    <w:bookmarkStart w:id="146" w:name="sec-nonnormal"/>
    <w:p>
      <w:pPr>
        <w:pStyle w:val="Heading3"/>
      </w:pPr>
      <w:r>
        <w:t xml:space="preserve">5.2 Non-Normality</w:t>
      </w:r>
    </w:p>
    <w:p>
      <w:pPr>
        <w:pStyle w:val="FirstParagraph"/>
      </w:pPr>
      <w:r>
        <w:t xml:space="preserve">Mild departures from normality — skewness in the range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excess kurtosis in the range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— are common in applied social</w:t>
      </w:r>
      <w:r>
        <w:t xml:space="preserve"> </w:t>
      </w:r>
      <w:r>
        <w:t xml:space="preserve">science measurement and can affect the behavior of fit indices even</w:t>
      </w:r>
      <w:r>
        <w:t xml:space="preserve"> </w:t>
      </w:r>
      <w:r>
        <w:t xml:space="preserve">when robust estimators are used</w:t>
      </w:r>
      <w:r>
        <w:t xml:space="preserve"> </w:t>
      </w:r>
      <w:r>
        <w:t xml:space="preserve">(Irmer et al., 2024; Kyriazos, 2018)</w:t>
      </w:r>
      <w:r>
        <w:t xml:space="preserve">. This</w:t>
      </w:r>
      <w:r>
        <w:t xml:space="preserve"> </w:t>
      </w:r>
      <w:r>
        <w:t xml:space="preserve">analysis evaluates how such departures alter the power conclusions</w:t>
      </w:r>
      <w:r>
        <w:t xml:space="preserve"> </w:t>
      </w:r>
      <w:r>
        <w:t xml:space="preserve">relative to the ideal condition.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power-curve-nnorm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4_simulation_robust-fig-power-curve-nnorm-output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Power curves for fit indices under non-normal conditions.</w:t>
            </w:r>
          </w:p>
          <w:bookmarkEnd w:id="13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38">
        <w:r>
          <w:rPr>
            <w:rStyle w:val="Hyperlink"/>
            <w:vertAlign w:val="subscript"/>
          </w:rPr>
          <w:t xml:space="preserve">Simulation — Realistic Scenarios</w:t>
        </w:r>
      </w:hyperlink>
    </w:p>
    <w:p>
      <w:pPr>
        <w:pStyle w:val="BodyText"/>
      </w:pPr>
      <w:r>
        <w:t xml:space="preserve">The ordering of sensitivity is stable: SRMR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RMSEA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CFI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TLI. SRMR reaches near-ceiling power early in the sample-size</w:t>
      </w:r>
      <w:r>
        <w:t xml:space="preserve"> </w:t>
      </w:r>
      <w:r>
        <w:t xml:space="preserve">range; RMSEA follows steadily; CFI and TLI rise more slowly and remain</w:t>
      </w:r>
      <w:r>
        <w:t xml:space="preserve"> </w:t>
      </w:r>
      <w:r>
        <w:t xml:space="preserve">below the other two across most of the evaluated range.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fit-curve-nnorm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4_simulation_robust-fig-fit-curve-nnorm-output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Power curves for fit indices under non-normal conditions without logistic smoothing.</w:t>
            </w:r>
          </w:p>
          <w:bookmarkEnd w:id="142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43">
        <w:r>
          <w:rPr>
            <w:rStyle w:val="Hyperlink"/>
            <w:vertAlign w:val="subscript"/>
          </w:rPr>
          <w:t xml:space="preserve">Simulation — Realistic Scenarios</w:t>
        </w:r>
      </w:hyperlink>
    </w:p>
    <w:p>
      <w:pPr>
        <w:pStyle w:val="BodyText"/>
      </w:pPr>
      <w:r>
        <w:t xml:space="preserve">The raw fit-index plots confirm the ordering. For RMSEA and SRMR,</w:t>
      </w:r>
      <w:r>
        <w:t xml:space="preserve"> </w:t>
      </w:r>
      <w:r>
        <w:t xml:space="preserve">the two point clouds are increasingly distinct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grows; for CFI</w:t>
      </w:r>
      <w:r>
        <w:t xml:space="preserve"> </w:t>
      </w:r>
      <w:r>
        <w:t xml:space="preserve">and TLI, overlap is more visible at lower and intermediate sample</w:t>
      </w:r>
      <w:r>
        <w:t xml:space="preserve"> </w:t>
      </w:r>
      <w:r>
        <w:t xml:space="preserve">sizes and clears only at larger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power-cutoff-nnor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Power and fit index cutoff values under non-normal conditions at N = 228.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Cutoff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</w:t>
                  </w:r>
                </w:p>
              </w:tc>
            </w:tr>
          </w:tbl>
          <w:bookmarkEnd w:id="144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45">
        <w:r>
          <w:rPr>
            <w:rStyle w:val="Hyperlink"/>
            <w:vertAlign w:val="subscript"/>
          </w:rPr>
          <w:t xml:space="preserve">Simulation — Realistic Scenarios</w:t>
        </w:r>
      </w:hyperlink>
    </w:p>
    <w:p>
      <w:pPr>
        <w:pStyle w:val="BodyText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228</m:t>
        </m:r>
      </m:oMath>
      <w:r>
        <w:t xml:space="preserve">, power was 0.91 for RMSEA,</w:t>
      </w:r>
      <w:r>
        <w:t xml:space="preserve"> </w:t>
      </w:r>
      <w:r>
        <w:t xml:space="preserve">0.994 for SRMR,</w:t>
      </w:r>
      <w:r>
        <w:t xml:space="preserve"> </w:t>
      </w:r>
      <w:r>
        <w:t xml:space="preserve">0.8 for CFI, and</w:t>
      </w:r>
      <w:r>
        <w:t xml:space="preserve"> </w:t>
      </w:r>
      <w:r>
        <w:t xml:space="preserve">0.8 for TLI. Notably, this result is</w:t>
      </w:r>
      <w:r>
        <w:t xml:space="preserve"> </w:t>
      </w:r>
      <w:r>
        <w:t xml:space="preserve">almost identical to the ideal-condition estimate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231</m:t>
        </m:r>
      </m:oMath>
      <w:r>
        <w:t xml:space="preserve">,</w:t>
      </w:r>
      <w:r>
        <w:t xml:space="preserve"> </w:t>
      </w:r>
      <w:r>
        <w:t xml:space="preserve">suggesting that mild non-normality introduces negligible additional cost</w:t>
      </w:r>
      <w:r>
        <w:t xml:space="preserve"> </w:t>
      </w:r>
      <w:r>
        <w:t xml:space="preserve">under the current design and model structure</w:t>
      </w:r>
      <w:r>
        <w:t xml:space="preserve"> </w:t>
      </w:r>
      <w:r>
        <w:t xml:space="preserve">(Irmer et al., 2024)</w:t>
      </w:r>
      <w:r>
        <w:t xml:space="preserve">. The empirical</w:t>
      </w:r>
      <w:r>
        <w:t xml:space="preserve"> </w:t>
      </w:r>
      <w:r>
        <w:t xml:space="preserve">cutoffs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228</m:t>
        </m:r>
      </m:oMath>
      <w:r>
        <w:t xml:space="preserve"> </w:t>
      </w:r>
      <w:r>
        <w:t xml:space="preserve">were</w:t>
      </w:r>
      <w:r>
        <w:t xml:space="preserve"> </w:t>
      </w:r>
      <w:r>
        <w:t xml:space="preserve">0.04 (RMSEA),</w:t>
      </w:r>
      <w:r>
        <w:t xml:space="preserve"> </w:t>
      </w:r>
      <w:r>
        <w:t xml:space="preserve">0.059 (SRMR),</w:t>
      </w:r>
      <w:r>
        <w:t xml:space="preserve"> </w:t>
      </w:r>
      <w:r>
        <w:t xml:space="preserve">0.964 (CFI), and</w:t>
      </w:r>
      <w:r>
        <w:t xml:space="preserve"> </w:t>
      </w:r>
      <w:r>
        <w:t xml:space="preserve">0.96 (TLI), consistent with the</w:t>
      </w:r>
      <w:r>
        <w:t xml:space="preserve"> </w:t>
      </w:r>
      <w:r>
        <w:t xml:space="preserve">discrimination patterns in the figures.</w:t>
      </w:r>
    </w:p>
    <w:bookmarkEnd w:id="146"/>
    <w:bookmarkStart w:id="162" w:name="sec-scenarios-fixed"/>
    <w:p>
      <w:pPr>
        <w:pStyle w:val="Heading3"/>
      </w:pPr>
      <w:r>
        <w:t xml:space="preserve">5.3 Simulation with fixed N</w:t>
      </w:r>
    </w:p>
    <w:p>
      <w:pPr>
        <w:pStyle w:val="FirstParagraph"/>
      </w:pPr>
      <w:r>
        <w:t xml:space="preserve">Having established minimum sample size thresholds across individual analytical</w:t>
      </w:r>
      <w:r>
        <w:t xml:space="preserve"> </w:t>
      </w:r>
      <w:r>
        <w:t xml:space="preserve">and simulation conditions — where requirements largely converged between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231</m:t>
        </m:r>
      </m:oMath>
      <w:r>
        <w:t xml:space="preserve"> </w:t>
      </w:r>
      <w:r>
        <w:t xml:space="preserve">— the planning focus naturally shifts from searching for the smallest</w:t>
      </w:r>
      <w:r>
        <w:t xml:space="preserve"> </w:t>
      </w:r>
      <w:r>
        <w:t xml:space="preserve">sufficient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evaluating a candidate recruitment target. In applied research,</w:t>
      </w:r>
      <w:r>
        <w:t xml:space="preserve"> </w:t>
      </w:r>
      <w:r>
        <w:t xml:space="preserve">sample sizes are frequently shaped by budgetary, temporal, and logistical</w:t>
      </w:r>
      <w:r>
        <w:t xml:space="preserve"> </w:t>
      </w:r>
      <w:r>
        <w:t xml:space="preserve">feasibility.</w:t>
      </w:r>
    </w:p>
    <w:p>
      <w:pPr>
        <w:pStyle w:val="BodyText"/>
      </w:pPr>
      <w:r>
        <w:t xml:space="preserve">Fixing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represents a realistic, well-powered target sample size that</w:t>
      </w:r>
      <w:r>
        <w:t xml:space="preserve"> </w:t>
      </w:r>
      <w:r>
        <w:t xml:space="preserve">comfortably exceeds both the ideal (</w:t>
      </w:r>
      <m:oMath>
        <m:r>
          <m:t>N</m:t>
        </m:r>
        <m:r>
          <m:rPr>
            <m:sty m:val="p"/>
          </m:rPr>
          <m:t>=</m:t>
        </m:r>
        <m:r>
          <m:t>231</m:t>
        </m:r>
      </m:oMath>
      <w:r>
        <w:t xml:space="preserve">) and non-normal (</w:t>
      </w:r>
      <m:oMath>
        <m:r>
          <m:t>N</m:t>
        </m:r>
        <m:r>
          <m:rPr>
            <m:sty m:val="p"/>
          </m:rPr>
          <m:t>=</m:t>
        </m:r>
        <m:r>
          <m:t>228</m:t>
        </m:r>
      </m:oMath>
      <w:r>
        <w:t xml:space="preserve">)</w:t>
      </w:r>
      <w:r>
        <w:t xml:space="preserve"> </w:t>
      </w:r>
      <w:r>
        <w:t xml:space="preserve">benchmarks. This section subjects this planned sample size to a rigorous Monte Carlo</w:t>
      </w:r>
      <w:r>
        <w:t xml:space="preserve"> </w:t>
      </w:r>
      <w:r>
        <w:t xml:space="preserve">stress test: evaluating 1,000 independent replications under compound realistic</w:t>
      </w:r>
      <w:r>
        <w:t xml:space="preserve"> </w:t>
      </w:r>
      <w:r>
        <w:t xml:space="preserve">disturbances simultaneously (10% MCAR missing data and mild non-normality with</w:t>
      </w:r>
      <w:r>
        <w:t xml:space="preserve"> </w:t>
      </w:r>
      <w:r>
        <w:t xml:space="preserve">robust MLR estimation). The goal is to determine whether a planned study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reliably discriminates the true from the misspecified model under combined</w:t>
      </w:r>
      <w:r>
        <w:t xml:space="preserve"> </w:t>
      </w:r>
      <w:r>
        <w:t xml:space="preserve">real-world imperfections.</w:t>
      </w:r>
    </w:p>
    <w:p>
      <w:pPr>
        <w:pStyle w:val="BodyText"/>
      </w:pPr>
      <w:r>
        <w:t xml:space="preserve">This step also highlights the practical difference between empirical</w:t>
      </w:r>
      <w:r>
        <w:t xml:space="preserve"> </w:t>
      </w:r>
      <w:r>
        <w:t xml:space="preserve">and traditional fit criteria. Empirical cutoffs are calibrated to the</w:t>
      </w:r>
      <w:r>
        <w:t xml:space="preserve"> </w:t>
      </w:r>
      <w:r>
        <w:t xml:space="preserve">actual sampling distribution of the fitted model; traditional cutoffs</w:t>
      </w:r>
      <w:r>
        <w:t xml:space="preserve"> </w:t>
      </w:r>
      <w:r>
        <w:t xml:space="preserve">are generic conventions. The two approaches can lead to very different</w:t>
      </w:r>
      <w:r>
        <w:t xml:space="preserve"> </w:t>
      </w:r>
      <w:r>
        <w:t xml:space="preserve">conclusions about adequacy</w:t>
      </w:r>
      <w:r>
        <w:t xml:space="preserve"> </w:t>
      </w:r>
      <w:r>
        <w:t xml:space="preserve">(McNeish &amp; Wolf, 2021; Pornprasertmanit et al.,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power-curve-fixed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5_model_comparison-fig-power-curve-fixed-output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Power curves for fit indices with fixed sample size.</w:t>
            </w:r>
          </w:p>
          <w:bookmarkEnd w:id="150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51">
        <w:r>
          <w:rPr>
            <w:rStyle w:val="Hyperlink"/>
            <w:vertAlign w:val="subscript"/>
          </w:rPr>
          <w:t xml:space="preserve">Simulation — Fixed N</w:t>
        </w:r>
      </w:hyperlink>
    </w:p>
    <w:p>
      <w:pPr>
        <w:pStyle w:val="BodyText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250</m:t>
        </m:r>
      </m:oMath>
      <w:r>
        <w:t xml:space="preserve">, the main analysis achieves power = 1.000 for all</w:t>
      </w:r>
      <w:r>
        <w:t xml:space="preserve"> </w:t>
      </w:r>
      <w:r>
        <w:t xml:space="preserve">four fit indices using empirical cutoffs. The distributions of the</w:t>
      </w:r>
      <w:r>
        <w:t xml:space="preserve"> </w:t>
      </w:r>
      <w:r>
        <w:t xml:space="preserve">reference and alternative conditions are completely separated in</w:t>
      </w:r>
      <w:r>
        <w:t xml:space="preserve"> </w:t>
      </w:r>
      <w:r>
        <w:t xml:space="preserve">every panel, confirming that this sample size provides essentially</w:t>
      </w:r>
      <w:r>
        <w:t xml:space="preserve"> </w:t>
      </w:r>
      <w:r>
        <w:t xml:space="preserve">perfect discrimination under the target design</w:t>
      </w:r>
      <w:r>
        <w:t xml:space="preserve"> </w:t>
      </w:r>
      <w:r>
        <w:t xml:space="preserve">(Liang &amp; Sterba, 2024; Moshagen &amp; Bader, 2024)</w:t>
      </w:r>
      <w:r>
        <w:t xml:space="preserve">.</w:t>
      </w:r>
      <w:r>
        <w:t xml:space="preserve"> </w:t>
      </w:r>
      <w:r>
        <w:t xml:space="preserve">The empirical cutoffs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serve as data-driven benchmarks</w:t>
      </w:r>
      <w:r>
        <w:t xml:space="preserve"> </w:t>
      </w:r>
      <w:r>
        <w:t xml:space="preserve">for this specific population-analysis model combination, and their</w:t>
      </w:r>
      <w:r>
        <w:t xml:space="preserve"> </w:t>
      </w:r>
      <w:r>
        <w:t xml:space="preserve">values (</w:t>
      </w:r>
      <w:hyperlink w:anchor="tbl-power-cutoff-fixed">
        <w:r>
          <w:rPr>
            <w:rStyle w:val="Hyperlink"/>
          </w:rPr>
          <w:t xml:space="preserve">Table 14</w:t>
        </w:r>
      </w:hyperlink>
      <w:r>
        <w:t xml:space="preserve">) differ noticeably from conventional</w:t>
      </w:r>
      <w:r>
        <w:t xml:space="preserve"> </w:t>
      </w:r>
      <w:r>
        <w:t xml:space="preserve">thresholds — which underscores the value of deriving rejection rules</w:t>
      </w:r>
      <w:r>
        <w:t xml:space="preserve"> </w:t>
      </w:r>
      <w:r>
        <w:t xml:space="preserve">from the simulation rather than from generic recommendations.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power-cutoff-fix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Power and fit index cutoff values with fixed sample size.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Cutoff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0.978</w:t>
                  </w:r>
                </w:p>
              </w:tc>
            </w:tr>
          </w:tbl>
          <w:bookmarkEnd w:id="152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53">
        <w:r>
          <w:rPr>
            <w:rStyle w:val="Hyperlink"/>
            <w:vertAlign w:val="subscript"/>
          </w:rPr>
          <w:t xml:space="preserve">Simulation — Fixed N</w:t>
        </w:r>
      </w:hyperlink>
    </w:p>
    <w:bookmarkStart w:id="161" w:name="power-analysis-with-traditional-cutoffs"/>
    <w:p>
      <w:pPr>
        <w:pStyle w:val="Heading4"/>
      </w:pPr>
      <w:r>
        <w:t xml:space="preserve">5.3.1 Power analysis with traditional cutoffs</w:t>
      </w:r>
    </w:p>
    <w:p>
      <w:pPr>
        <w:pStyle w:val="FirstParagraph"/>
      </w:pPr>
      <w:r>
        <w:t xml:space="preserve">Applying traditional rule-of-thumb thresholds to the same fixed-</w:t>
      </w:r>
      <m:oMath>
        <m:r>
          <m:t>N</m:t>
        </m:r>
      </m:oMath>
      <w:r>
        <w:t xml:space="preserve"> </w:t>
      </w:r>
      <w:r>
        <w:t xml:space="preserve">simulation produces a strikingly different picture. Power remains</w:t>
      </w:r>
      <w:r>
        <w:t xml:space="preserve"> </w:t>
      </w:r>
      <w:r>
        <w:t xml:space="preserve">high for SRMR, falls substantially for CFI and TLI, and drops to</w:t>
      </w:r>
      <w:r>
        <w:t xml:space="preserve"> </w:t>
      </w:r>
      <w:r>
        <w:t xml:space="preserve">zero for RMSEA — not because the sample is inadequate, but because the</w:t>
      </w:r>
      <w:r>
        <w:t xml:space="preserve"> </w:t>
      </w:r>
      <w:r>
        <w:t xml:space="preserve">conventional</w:t>
      </w:r>
      <w:r>
        <w:t xml:space="preserve"> </w:t>
      </w:r>
      <m:oMath>
        <m:r>
          <m:rPr>
            <m:nor/>
            <m:sty m:val="p"/>
          </m:rPr>
          <m:t>RMSEA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threshold is misaligned with</w:t>
      </w:r>
      <w:r>
        <w:t xml:space="preserve"> </w:t>
      </w:r>
      <w:r>
        <w:t xml:space="preserve">the empirical distribution of this specific model</w:t>
      </w:r>
      <w:r>
        <w:t xml:space="preserve"> </w:t>
      </w:r>
      <w:r>
        <w:t xml:space="preserve">(Kyriazos, 2018; McNeish &amp; Wolf, 2021)</w:t>
      </w:r>
      <w:r>
        <w:t xml:space="preserve">. This contrast is one of the clearest illustrations</w:t>
      </w:r>
      <w:r>
        <w:t xml:space="preserve"> </w:t>
      </w:r>
      <w:r>
        <w:t xml:space="preserve">in this tutorial of why power conclusions depend on how the rejection</w:t>
      </w:r>
      <w:r>
        <w:t xml:space="preserve"> </w:t>
      </w:r>
      <w:r>
        <w:t xml:space="preserve">criterion is defined, not only on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curve-fixed-traditiona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5_model_comparison-fig-curve-fixed-traditional-output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Power curves using traditional fit index cutoffs with fixed sample size.</w:t>
            </w:r>
          </w:p>
          <w:bookmarkEnd w:id="15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58">
        <w:r>
          <w:rPr>
            <w:rStyle w:val="Hyperlink"/>
            <w:vertAlign w:val="subscript"/>
          </w:rPr>
          <w:t xml:space="preserve">Simulation — Fixed N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tbl-power-cutoff-traditional-fix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Power for traditional fit index cutoffs with fixed sample size.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0.999</w:t>
                  </w:r>
                </w:p>
              </w:tc>
            </w:tr>
          </w:tbl>
          <w:bookmarkEnd w:id="159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60">
        <w:r>
          <w:rPr>
            <w:rStyle w:val="Hyperlink"/>
            <w:vertAlign w:val="subscript"/>
          </w:rPr>
          <w:t xml:space="preserve">Simulation — Fixed N</w:t>
        </w:r>
      </w:hyperlink>
    </w:p>
    <w:p>
      <w:pPr>
        <w:pStyle w:val="BodyText"/>
      </w:pPr>
      <w:r>
        <w:t xml:space="preserve">Taken together, the fixed-</w:t>
      </w:r>
      <m:oMath>
        <m:r>
          <m:t>N</m:t>
        </m:r>
      </m:oMath>
      <w:r>
        <w:t xml:space="preserve"> </w:t>
      </w:r>
      <w:r>
        <w:t xml:space="preserve">results support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conservative, stable design choice for the main comparison: it delivers</w:t>
      </w:r>
      <w:r>
        <w:t xml:space="preserve"> </w:t>
      </w:r>
      <w:r>
        <w:t xml:space="preserve">perfect discrimination when empirical cutoffs are used, and its</w:t>
      </w:r>
      <w:r>
        <w:t xml:space="preserve"> </w:t>
      </w:r>
      <w:r>
        <w:t xml:space="preserve">failures under traditional cutoffs reveal a limitation of those cutoffs</w:t>
      </w:r>
      <w:r>
        <w:t xml:space="preserve"> </w:t>
      </w:r>
      <w:r>
        <w:t xml:space="preserve">rather than of the design itself</w:t>
      </w:r>
      <w:r>
        <w:t xml:space="preserve"> </w:t>
      </w:r>
      <w:r>
        <w:t xml:space="preserve">(Liang &amp; Sterba, 2024; Pornprasertmanit et al., 2021)</w:t>
      </w:r>
      <w:r>
        <w:t xml:space="preserve">.</w:t>
      </w:r>
    </w:p>
    <w:bookmarkEnd w:id="161"/>
    <w:bookmarkEnd w:id="162"/>
    <w:bookmarkEnd w:id="163"/>
    <w:bookmarkStart w:id="189" w:name="sec-post-hoc"/>
    <w:p>
      <w:pPr>
        <w:pStyle w:val="Heading2"/>
      </w:pPr>
      <w:r>
        <w:t xml:space="preserve">6 Post Hoc Power Analysis</w:t>
      </w:r>
    </w:p>
    <w:p>
      <w:pPr>
        <w:pStyle w:val="FirstParagraph"/>
      </w:pPr>
      <w:r>
        <w:t xml:space="preserve">Post hoc power analysis evaluates the detection capacity of a study</w:t>
      </w:r>
      <w:r>
        <w:t xml:space="preserve"> </w:t>
      </w:r>
      <w:r>
        <w:t xml:space="preserve">design after the data have been collected, using the observed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fitted model, and a specified reference structure. In SEM, this is</w:t>
      </w:r>
      <w:r>
        <w:t xml:space="preserve"> </w:t>
      </w:r>
      <w:r>
        <w:t xml:space="preserve">meaningful only with respect to a clearly defined comparison: power</w:t>
      </w:r>
      <w:r>
        <w:t xml:space="preserve"> </w:t>
      </w:r>
      <w:r>
        <w:t xml:space="preserve">is always the probability of rejecting a specific model under a specific</w:t>
      </w:r>
      <w:r>
        <w:t xml:space="preserve"> </w:t>
      </w:r>
      <w:r>
        <w:t xml:space="preserve">alternative, not a general property of a dataset or a software routine</w:t>
      </w:r>
      <w:r>
        <w:t xml:space="preserve"> </w:t>
      </w:r>
      <w:r>
        <w:t xml:space="preserve">(Jobst et al., 2023; Moshagen &amp; Bader, 2024)</w:t>
      </w:r>
      <w:r>
        <w:t xml:space="preserve">. In this section, we evaluate post hoc</w:t>
      </w:r>
      <w:r>
        <w:t xml:space="preserve"> </w:t>
      </w:r>
      <w:r>
        <w:t xml:space="preserve">power against an empirical dataset from Mendeley</w:t>
      </w:r>
      <w:r>
        <w:t xml:space="preserve"> </w:t>
      </w:r>
      <w:r>
        <w:t xml:space="preserve">(Rogers, 2022)</w:t>
      </w:r>
      <w:r>
        <w:t xml:space="preserve">, fitting</w:t>
      </w:r>
      <w:r>
        <w:t xml:space="preserve"> </w:t>
      </w:r>
      <w:r>
        <w:rPr>
          <w:rStyle w:val="VerbatimChar"/>
        </w:rPr>
        <w:t xml:space="preserve">analyzemodel</w:t>
      </w:r>
      <w:r>
        <w:t xml:space="preserve"> </w:t>
      </w:r>
      <w:r>
        <w:t xml:space="preserve">to real WHOQOL-BREF data and assessing how reliably the collected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would have rejected meaningful misspecification.</w:t>
      </w:r>
    </w:p>
    <w:bookmarkStart w:id="171" w:name="with-simulation"/>
    <w:p>
      <w:pPr>
        <w:pStyle w:val="Heading3"/>
      </w:pPr>
      <w:r>
        <w:t xml:space="preserve">6.1 With Simulation</w:t>
      </w:r>
    </w:p>
    <w:p>
      <w:pPr>
        <w:pStyle w:val="FirstParagraph"/>
      </w:pPr>
      <w:r>
        <w:t xml:space="preserve">The simulation-based strategy first fits the analysis model to the</w:t>
      </w:r>
      <w:r>
        <w:t xml:space="preserve"> </w:t>
      </w:r>
      <w:r>
        <w:t xml:space="preserve">real data to obtain an empirically grounded reference structure. It</w:t>
      </w:r>
      <w:r>
        <w:t xml:space="preserve"> </w:t>
      </w:r>
      <w:r>
        <w:t xml:space="preserve">then generates data from both the null model and the alternative model</w:t>
      </w:r>
      <w:r>
        <w:t xml:space="preserve"> </w:t>
      </w:r>
      <w:r>
        <w:t xml:space="preserve">at the observed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quantifies how well the fit indices separate</w:t>
      </w:r>
      <w:r>
        <w:t xml:space="preserve"> </w:t>
      </w:r>
      <w:r>
        <w:t xml:space="preserve">the two conditions. This approach is particularly informative when the</w:t>
      </w:r>
      <w:r>
        <w:t xml:space="preserve"> </w:t>
      </w:r>
      <w:r>
        <w:t xml:space="preserve">effect of interest is defined in model terms, because the full</w:t>
      </w:r>
      <w:r>
        <w:t xml:space="preserve"> </w:t>
      </w:r>
      <w:r>
        <w:t xml:space="preserve">parameterization — loadings, residual structure, latent correlations —</w:t>
      </w:r>
      <w:r>
        <w:t xml:space="preserve"> </w:t>
      </w:r>
      <w:r>
        <w:t xml:space="preserve">shapes the discrepancy and therefore the power estimate</w:t>
      </w:r>
      <w:r>
        <w:t xml:space="preserve"> </w:t>
      </w:r>
      <w:r>
        <w:t xml:space="preserve">(Feng &amp; Hancock, 2023; Wang &amp; Rhemtulla, 2021)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posthoc-plotpower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6_posthoc-fig-posthoc-plotpower-output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Power curve for post hoc analysis based on simulation.</w:t>
            </w:r>
          </w:p>
          <w:bookmarkEnd w:id="16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68">
        <w:r>
          <w:rPr>
            <w:rStyle w:val="Hyperlink"/>
            <w:vertAlign w:val="subscript"/>
          </w:rPr>
          <w:t xml:space="preserve">Post Hoc Power Analysis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posthoc-pow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Power for post hoc analysis based on simulation.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RMSEA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SRMR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TLI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169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70">
        <w:r>
          <w:rPr>
            <w:rStyle w:val="Hyperlink"/>
            <w:vertAlign w:val="subscript"/>
          </w:rPr>
          <w:t xml:space="preserve">Post Hoc Power Analysis</w:t>
        </w:r>
      </w:hyperlink>
    </w:p>
    <w:p>
      <w:pPr>
        <w:pStyle w:val="BodyText"/>
      </w:pPr>
      <w:r>
        <w:t xml:space="preserve">All four fit indices reached power equal to</w:t>
      </w:r>
      <w:r>
        <w:t xml:space="preserve"> </w:t>
      </w:r>
      <m:oMath>
        <m:r>
          <m:t>1.00</m:t>
        </m:r>
      </m:oMath>
      <w:r>
        <w:t xml:space="preserve">. In the figure,</w:t>
      </w:r>
      <w:r>
        <w:t xml:space="preserve"> </w:t>
      </w:r>
      <w:r>
        <w:t xml:space="preserve">every panel shows complete separation between the null and alternative</w:t>
      </w:r>
      <w:r>
        <w:t xml:space="preserve"> </w:t>
      </w:r>
      <w:r>
        <w:t xml:space="preserve">distributions, with the red cutoff line falling cleanly between them</w:t>
      </w:r>
      <w:r>
        <w:t xml:space="preserve"> </w:t>
      </w:r>
      <w:r>
        <w:t xml:space="preserve">and no visible overlap. For RMSEA, the null distribution concentrates</w:t>
      </w:r>
      <w:r>
        <w:t xml:space="preserve"> </w:t>
      </w:r>
      <w:r>
        <w:t xml:space="preserve">near zero while the alternative is centered around</w:t>
      </w:r>
      <w:r>
        <w:t xml:space="preserve"> </w:t>
      </w:r>
      <m:oMath>
        <m:r>
          <m:t>0.05</m:t>
        </m:r>
      </m:oMath>
      <w:r>
        <w:t xml:space="preserve">. For SRMR,</w:t>
      </w:r>
      <w:r>
        <w:t xml:space="preserve"> </w:t>
      </w:r>
      <w:r>
        <w:t xml:space="preserve">the null clusters near</w:t>
      </w:r>
      <w:r>
        <w:t xml:space="preserve"> </w:t>
      </w:r>
      <m:oMath>
        <m:r>
          <m:t>0.01</m:t>
        </m:r>
      </m:oMath>
      <w:r>
        <w:t xml:space="preserve">–</w:t>
      </w:r>
      <m:oMath>
        <m:r>
          <m:t>0.02</m:t>
        </m:r>
      </m:oMath>
      <w:r>
        <w:t xml:space="preserve"> </w:t>
      </w:r>
      <w:r>
        <w:t xml:space="preserve">and the alternative near</w:t>
      </w:r>
      <w:r>
        <w:t xml:space="preserve"> </w:t>
      </w:r>
      <m:oMath>
        <m:r>
          <m:t>0.06</m:t>
        </m:r>
      </m:oMath>
      <w:r>
        <w:t xml:space="preserve">–</w:t>
      </w:r>
      <m:oMath>
        <m:r>
          <m:t>0.08</m:t>
        </m:r>
      </m:oMath>
      <w:r>
        <w:t xml:space="preserve">. For CFI and TLI, the null is close to</w:t>
      </w:r>
      <w:r>
        <w:t xml:space="preserve"> </w:t>
      </w:r>
      <m:oMath>
        <m:r>
          <m:t>1.00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alternative centers around</w:t>
      </w:r>
      <w:r>
        <w:t xml:space="preserve"> </w:t>
      </w:r>
      <m:oMath>
        <m:r>
          <m:t>0.95</m:t>
        </m:r>
      </m:oMath>
      <w:r>
        <w:t xml:space="preserve">–</w:t>
      </w:r>
      <m:oMath>
        <m:r>
          <m:t>0.97</m:t>
        </m:r>
      </m:oMath>
      <w:r>
        <w:t xml:space="preserve">. The complete discrimination</w:t>
      </w:r>
      <w:r>
        <w:t xml:space="preserve"> </w:t>
      </w:r>
      <w:r>
        <w:t xml:space="preserve">in every panel confirms that the observed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would have been fully</w:t>
      </w:r>
      <w:r>
        <w:t xml:space="preserve"> </w:t>
      </w:r>
      <w:r>
        <w:t xml:space="preserve">adequate to detect the target misspecification</w:t>
      </w:r>
      <w:r>
        <w:t xml:space="preserve"> </w:t>
      </w:r>
      <w:r>
        <w:t xml:space="preserve">(Pornprasertmanit et al., 2021)</w:t>
      </w:r>
      <w:r>
        <w:t xml:space="preserve">. Note</w:t>
      </w:r>
      <w:r>
        <w:t xml:space="preserve"> </w:t>
      </w:r>
      <w:r>
        <w:t xml:space="preserve">that some indices are operating below their conventional thresholds,</w:t>
      </w:r>
      <w:r>
        <w:t xml:space="preserve"> </w:t>
      </w:r>
      <w:r>
        <w:t xml:space="preserve">which is a consequence of the empirical cutoffs derived from the</w:t>
      </w:r>
      <w:r>
        <w:t xml:space="preserve"> </w:t>
      </w:r>
      <w:r>
        <w:t xml:space="preserve">null distribution in this specific setting — not an indication that</w:t>
      </w:r>
      <w:r>
        <w:t xml:space="preserve"> </w:t>
      </w:r>
      <w:r>
        <w:t xml:space="preserve">model fit is poor.</w:t>
      </w:r>
    </w:p>
    <w:bookmarkEnd w:id="171"/>
    <w:bookmarkStart w:id="188" w:name="with-analytical-solutions"/>
    <w:p>
      <w:pPr>
        <w:pStyle w:val="Heading3"/>
      </w:pPr>
      <w:r>
        <w:t xml:space="preserve">6.2 With Analytical Solutions</w:t>
      </w:r>
    </w:p>
    <w:p>
      <w:pPr>
        <w:pStyle w:val="FirstParagraph"/>
      </w:pPr>
      <w:r>
        <w:t xml:space="preserve">Analytical post hoc power expresses the effect through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 RMSEA</w:t>
      </w:r>
      <w:r>
        <w:t xml:space="preserve"> </w:t>
      </w:r>
      <w:r>
        <w:t xml:space="preserve">and links it to the noncentrality-based framework of the likelihood-ratio</w:t>
      </w:r>
      <w:r>
        <w:t xml:space="preserve"> </w:t>
      </w:r>
      <w:r>
        <w:t xml:space="preserve">test. This is computationally immediate and free from Monte Carlo</w:t>
      </w:r>
      <w:r>
        <w:t xml:space="preserve"> </w:t>
      </w:r>
      <w:r>
        <w:t xml:space="preserve">sampling error, making it the preferred first-pass approach when the</w:t>
      </w:r>
      <w:r>
        <w:t xml:space="preserve"> </w:t>
      </w:r>
      <w:r>
        <w:t xml:space="preserve">asymptotic assumptions underlying the chi-square test are credible</w:t>
      </w:r>
      <w:r>
        <w:t xml:space="preserve"> </w:t>
      </w:r>
      <w:r>
        <w:t xml:space="preserve">(Jak et al., 2021; Moshagen &amp; Bader, 2024)</w:t>
      </w:r>
      <w:r>
        <w:t xml:space="preserve">. Two specifications are compared here,</w:t>
      </w:r>
      <w:r>
        <w:t xml:space="preserve"> </w:t>
      </w:r>
      <w:r>
        <w:t xml:space="preserve">illustrating a spectrum from the most generic to the most</w:t>
      </w:r>
      <w:r>
        <w:t xml:space="preserve"> </w:t>
      </w:r>
      <w:r>
        <w:t xml:space="preserve">substantively specific formulation.</w:t>
      </w:r>
    </w:p>
    <w:bookmarkStart w:id="179" w:name="model-free-specification"/>
    <w:p>
      <w:pPr>
        <w:pStyle w:val="Heading4"/>
      </w:pPr>
      <w:r>
        <w:t xml:space="preserve">6.2.1 Model-free specification</w:t>
      </w:r>
    </w:p>
    <w:p>
      <w:pPr>
        <w:pStyle w:val="FirstParagraph"/>
      </w:pPr>
      <w:r>
        <w:t xml:space="preserve">The first specification supplies</w:t>
      </w:r>
      <w:r>
        <w:t xml:space="preserve"> </w:t>
      </w:r>
      <m:oMath>
        <m:r>
          <m:rPr>
            <m:nor/>
            <m:sty m:val="p"/>
          </m:rPr>
          <m:t>RMSEA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treating misspecification as a generic level of global misfit per</w:t>
      </w:r>
      <w:r>
        <w:t xml:space="preserve"> </w:t>
      </w:r>
      <w:r>
        <w:t xml:space="preserve">degree of freedom. This makes the analysis comparable across SEM</w:t>
      </w:r>
      <w:r>
        <w:t xml:space="preserve"> </w:t>
      </w:r>
      <w:r>
        <w:t xml:space="preserve">families sharing the same</w:t>
      </w:r>
      <w:r>
        <w:t xml:space="preserve"> </w:t>
      </w:r>
      <m:oMath>
        <m:r>
          <m:t>d</m:t>
        </m:r>
        <m:r>
          <m:t>f</m:t>
        </m:r>
      </m:oMath>
      <w:r>
        <w:t xml:space="preserve">, but it abstracts away from the</w:t>
      </w:r>
      <w:r>
        <w:t xml:space="preserve"> </w:t>
      </w:r>
      <w:r>
        <w:t xml:space="preserve">particular covariance structure of the WHOQOL-BREF model</w:t>
      </w:r>
      <w:r>
        <w:t xml:space="preserve"> </w:t>
      </w:r>
      <w:r>
        <w:t xml:space="preserve">(Jak et al., 2021; MacCallum et al., 1996)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posthoc-rmse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Analytical post hoc power parameters for RMSEA = 0.05</w:t>
            </w:r>
          </w:p>
          <w:tbl>
            <w:tblPr>
              <w:tblStyle w:val="Table"/>
              <w:tblW w:type="pct" w:w="4870"/>
              <w:tblLayout w:type="fixed"/>
              <w:tblLook w:firstRow="1" w:lastRow="0" w:firstColumn="0" w:lastColumn="0" w:noHBand="0" w:noVBand="0" w:val="0020"/>
            </w:tblPr>
            <w:tblGrid>
              <w:gridCol w:w="4011"/>
              <w:gridCol w:w="257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 discrepancy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 mean square error of</w:t>
                  </w:r>
                  <w:r>
                    <w:t xml:space="preserve"> </w:t>
                  </w:r>
                  <w:r>
                    <w:t xml:space="preserve">approximation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RMSEA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McDonald centrality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Goodness-of-fit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GFI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Adjusted goodness-of-fit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AGFI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Degrees of freedom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d</m:t>
                    </m:r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sample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 chi-square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crit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282.511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Noncentrality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640.675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Significance level (alpha)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 II error rate (beta)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3.07e-47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&gt; 0.9999</w:t>
                  </w:r>
                </w:p>
              </w:tc>
            </w:tr>
          </w:tbl>
          <w:bookmarkEnd w:id="172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73">
        <w:r>
          <w:rPr>
            <w:rStyle w:val="Hyperlink"/>
            <w:vertAlign w:val="subscript"/>
          </w:rPr>
          <w:t xml:space="preserve">Post Hoc Power Analysis</w:t>
        </w:r>
      </w:hyperlink>
    </w:p>
    <w:p>
      <w:pPr>
        <w:pStyle w:val="BodyText"/>
      </w:pPr>
      <w:r>
        <w:t xml:space="preserve">The post hoc power parameters in</w:t>
      </w:r>
      <w:r>
        <w:t xml:space="preserve"> </w:t>
      </w:r>
      <w:hyperlink w:anchor="tbl-posthoc-rmsea">
        <w:r>
          <w:rPr>
            <w:rStyle w:val="Hyperlink"/>
          </w:rPr>
          <w:t xml:space="preserve">Table 17</w:t>
        </w:r>
      </w:hyperlink>
      <w:r>
        <w:t xml:space="preserve"> </w:t>
      </w:r>
      <w:r>
        <w:t xml:space="preserve">demonstrate that with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0.613,</w:t>
      </w:r>
      <w:r>
        <w:t xml:space="preserve"> </w:t>
      </w:r>
      <m:oMath>
        <m:r>
          <m:rPr>
            <m:nor/>
            <m:sty m:val="p"/>
          </m:rPr>
          <m:t>RMSEA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0.05,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= 245,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1047, the noncentrality parameter reached</w:t>
      </w:r>
      <w:r>
        <w:t xml:space="preserve"> </w:t>
      </w:r>
      <m:oMath>
        <m:r>
          <m:rPr>
            <m:nor/>
            <m:sty m:val="p"/>
          </m:rPr>
          <m:t>NCP</m:t>
        </m:r>
      </m:oMath>
      <w:r>
        <w:t xml:space="preserve"> </w:t>
      </w:r>
      <w:r>
        <w:t xml:space="preserve">= 640.675, far exceeding the critical</w:t>
      </w:r>
      <w:r>
        <w:t xml:space="preserve"> </w:t>
      </w:r>
      <w:r>
        <w:t xml:space="preserve">value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nor/>
                <m:sty m:val="p"/>
              </m:rPr>
              <m:t>crit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282.511. Power</w:t>
      </w:r>
      <w:r>
        <w:t xml:space="preserve"> </w:t>
      </w:r>
      <w:r>
        <w:t xml:space="preserve">was effectively 1. As illustrated in</w:t>
      </w:r>
      <w:r>
        <w:t xml:space="preserve"> </w:t>
      </w:r>
      <w:hyperlink w:anchor="fig-posthoc-rmsea">
        <w:r>
          <w:rPr>
            <w:rStyle w:val="Hyperlink"/>
          </w:rPr>
          <w:t xml:space="preserve">Figure 20</w:t>
        </w:r>
      </w:hyperlink>
      <w:r>
        <w:t xml:space="preserve">,</w:t>
      </w:r>
      <w:r>
        <w:t xml:space="preserve"> </w:t>
      </w:r>
      <w:r>
        <w:t xml:space="preserve">the noncentral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curve lies far to the right of the critical value, and</w:t>
      </w:r>
      <w:r>
        <w:t xml:space="preserve"> </w:t>
      </w:r>
      <w:r>
        <w:t xml:space="preserve">the shaded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region is negligible</w:t>
      </w:r>
      <w:r>
        <w:t xml:space="preserve"> </w:t>
      </w:r>
      <w:r>
        <w:t xml:space="preserve">(Jobst et al., 2023; MacCallum et al., 1996)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posthoc-rmsea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6_posthoc-fig-posthoc-rmsea-output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Post hoc power analysis for RMSEA = 0.05.</w:t>
            </w:r>
          </w:p>
          <w:bookmarkEnd w:id="17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78">
        <w:r>
          <w:rPr>
            <w:rStyle w:val="Hyperlink"/>
            <w:vertAlign w:val="subscript"/>
          </w:rPr>
          <w:t xml:space="preserve">Post Hoc Power Analysis</w:t>
        </w:r>
      </w:hyperlink>
    </w:p>
    <w:bookmarkEnd w:id="179"/>
    <w:bookmarkStart w:id="187" w:name="model-based-specification-global-fit"/>
    <w:p>
      <w:pPr>
        <w:pStyle w:val="Heading4"/>
      </w:pPr>
      <w:r>
        <w:t xml:space="preserve">6.2.2 Model-based specification: global fit</w:t>
      </w:r>
    </w:p>
    <w:p>
      <w:pPr>
        <w:pStyle w:val="FirstParagraph"/>
      </w:pPr>
      <w:r>
        <w:t xml:space="preserve">The second specification derives the effect from the discrepancy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h1model</w:t>
      </w:r>
      <w:r>
        <w:t xml:space="preserve"> </w:t>
      </w:r>
      <w:r>
        <w:t xml:space="preserve">(incorporating the cross-loadings) and the fitted analysis model, evaluating the null</w:t>
      </w:r>
      <w:r>
        <w:t xml:space="preserve"> </w:t>
      </w:r>
      <w:r>
        <w:t xml:space="preserve">model against the saturated model. This tests global fit rather than</w:t>
      </w:r>
      <w:r>
        <w:t xml:space="preserve"> </w:t>
      </w:r>
      <w:r>
        <w:t xml:space="preserve">an isolated restriction, so it is sensitive to any source of</w:t>
      </w:r>
      <w:r>
        <w:t xml:space="preserve"> </w:t>
      </w:r>
      <w:r>
        <w:t xml:space="preserve">misspecification in the analysis model, not only the cross-loadings</w:t>
      </w:r>
      <w:r>
        <w:t xml:space="preserve"> </w:t>
      </w:r>
      <w:r>
        <w:t xml:space="preserve">(Moshagen &amp; Bader, 2024; Wang, 2023)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posthoc-realmod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Analytical post hoc power parameters for empirical fitted model</w:t>
            </w:r>
          </w:p>
          <w:tbl>
            <w:tblPr>
              <w:tblStyle w:val="Table"/>
              <w:tblW w:type="pct" w:w="4870"/>
              <w:tblLayout w:type="fixed"/>
              <w:tblLook w:firstRow="1" w:lastRow="0" w:firstColumn="0" w:lastColumn="0" w:noHBand="0" w:noVBand="0" w:val="0020"/>
            </w:tblPr>
            <w:tblGrid>
              <w:gridCol w:w="4011"/>
              <w:gridCol w:w="257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 discrepancy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 mean square error of</w:t>
                  </w:r>
                  <w:r>
                    <w:t xml:space="preserve"> </w:t>
                  </w:r>
                  <w:r>
                    <w:t xml:space="preserve">approximation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RMSEA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McDonald centrality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Goodness-of-fit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GFI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Adjusted goodness-of-fit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AGFI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Standardized root mean square residual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SRMR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Comparative fit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CFI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Degrees of freedom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d</m:t>
                    </m:r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sample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 chi-square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crit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282.511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Noncentrality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605.611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Significance level (alpha)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 II error rate (beta)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1.87e-43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&gt; 0.9999</w:t>
                  </w:r>
                </w:p>
              </w:tc>
            </w:tr>
          </w:tbl>
          <w:bookmarkEnd w:id="180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1">
        <w:r>
          <w:rPr>
            <w:rStyle w:val="Hyperlink"/>
            <w:vertAlign w:val="subscript"/>
          </w:rPr>
          <w:t xml:space="preserve">Post Hoc Power Analysis</w:t>
        </w:r>
      </w:hyperlink>
    </w:p>
    <w:p>
      <w:pPr>
        <w:pStyle w:val="BodyText"/>
      </w:pPr>
      <w:r>
        <w:t xml:space="preserve">With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0.579,</w:t>
      </w:r>
      <w:r>
        <w:t xml:space="preserve"> </w:t>
      </w:r>
      <m:oMath>
        <m:r>
          <m:rPr>
            <m:nor/>
            <m:sty m:val="p"/>
          </m:rPr>
          <m:t>RMSEA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0.049,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= 245,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1047, the noncentrality reached</w:t>
      </w:r>
      <w:r>
        <w:t xml:space="preserve"> </w:t>
      </w:r>
      <m:oMath>
        <m:r>
          <m:rPr>
            <m:nor/>
            <m:sty m:val="p"/>
          </m:rPr>
          <m:t>NCP</m:t>
        </m:r>
      </m:oMath>
      <w:r>
        <w:t xml:space="preserve"> </w:t>
      </w:r>
      <w:r>
        <w:t xml:space="preserve">= 605.611 against a critical value</w:t>
      </w:r>
      <w:r>
        <w:t xml:space="preserve"> </w:t>
      </w:r>
      <w:r>
        <w:t xml:space="preserve">of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nor/>
                <m:sty m:val="p"/>
              </m:rPr>
              <m:t>crit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282.511. Power</w:t>
      </w:r>
      <w:r>
        <w:t xml:space="preserve"> </w:t>
      </w:r>
      <w:r>
        <w:t xml:space="preserve">was 1, confirming that the observed</w:t>
      </w:r>
      <w:r>
        <w:t xml:space="preserve"> </w:t>
      </w:r>
      <w:r>
        <w:t xml:space="preserve">sample size provides complete statistical power to detect the misspecification (</w:t>
      </w:r>
      <w:hyperlink w:anchor="tbl-posthoc-realmodel">
        <w:r>
          <w:rPr>
            <w:rStyle w:val="Hyperlink"/>
          </w:rPr>
          <w:t xml:space="preserve">Table 18</w:t>
        </w:r>
      </w:hyperlink>
      <w:r>
        <w:t xml:space="preserve">;</w:t>
      </w:r>
      <w:r>
        <w:t xml:space="preserve"> </w:t>
      </w:r>
      <w:hyperlink w:anchor="fig-posthoc-realmodel">
        <w:r>
          <w:rPr>
            <w:rStyle w:val="Hyperlink"/>
          </w:rPr>
          <w:t xml:space="preserve">Figure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posthoc-realmodel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Scripts-AnalysisScripts-06_posthoc-fig-posthoc-realmodel-output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Post hoc power analysis for the real model.</w:t>
            </w:r>
          </w:p>
          <w:bookmarkEnd w:id="18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6">
        <w:r>
          <w:rPr>
            <w:rStyle w:val="Hyperlink"/>
            <w:vertAlign w:val="subscript"/>
          </w:rPr>
          <w:t xml:space="preserve">Post Hoc Power Analysis</w:t>
        </w:r>
      </w:hyperlink>
    </w:p>
    <w:p>
      <w:pPr>
        <w:pStyle w:val="BodyText"/>
      </w:pPr>
      <w:r>
        <w:t xml:space="preserve">However, post hoc power must always be interpreted with methodological caution.</w:t>
      </w:r>
      <w:r>
        <w:t xml:space="preserve"> </w:t>
      </w:r>
      <w:r>
        <w:t xml:space="preserve">Calculating power retrospectively from observed sample statistics after finding</w:t>
      </w:r>
      <w:r>
        <w:t xml:space="preserve"> </w:t>
      </w:r>
      <w:r>
        <w:t xml:space="preserve">a non-significant result constitutes the well-known</w:t>
      </w:r>
      <w:r>
        <w:t xml:space="preserve"> </w:t>
      </w:r>
      <w:r>
        <w:t xml:space="preserve">“observed power fallacy”</w:t>
      </w:r>
      <w:r>
        <w:t xml:space="preserve"> </w:t>
      </w:r>
      <w:r>
        <w:t xml:space="preserve">(Jobst et al., 2023; MacCallum et al., 1996; Zhang &amp; Yuan, 2018)</w:t>
      </w:r>
      <w:r>
        <w:t xml:space="preserve">, where low power is simply a tautological</w:t>
      </w:r>
      <w:r>
        <w:t xml:space="preserve"> </w:t>
      </w:r>
      <w:r>
        <w:t xml:space="preserve">re-expression of an unremarkable</w:t>
      </w:r>
      <w:r>
        <w:t xml:space="preserve"> </w:t>
      </w:r>
      <m:oMath>
        <m:r>
          <m:t>p</m:t>
        </m:r>
      </m:oMath>
      <w:r>
        <w:t xml:space="preserve">-value. Post hoc power analysis remains legitimate</w:t>
      </w:r>
      <w:r>
        <w:t xml:space="preserve"> </w:t>
      </w:r>
      <w:r>
        <w:t xml:space="preserve">only when framed prospective-retrospectively: asking whether the collected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possessed adequate sensitivity to reject a pre-specified, theoretically grounded</w:t>
      </w:r>
      <w:r>
        <w:t xml:space="preserve"> </w:t>
      </w:r>
      <w:r>
        <w:t xml:space="preserve">alternative 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) that was determined prior to inspecting data-derived effects</w:t>
      </w:r>
      <w:r>
        <w:t xml:space="preserve"> </w:t>
      </w:r>
      <w:r>
        <w:t xml:space="preserve">(Moshagen &amp; Bader, 2024; Wang, 2023)</w:t>
      </w:r>
      <w:r>
        <w:t xml:space="preserve">.</w:t>
      </w:r>
    </w:p>
    <w:bookmarkEnd w:id="187"/>
    <w:bookmarkEnd w:id="188"/>
    <w:bookmarkEnd w:id="189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1" w:name="ref-aguirre-urreta2024"/>
    <w:p>
      <w:pPr>
        <w:pStyle w:val="Bibliography"/>
      </w:pPr>
      <w:r>
        <w:t xml:space="preserve">Aguirre-Urreta, M. I., Rönkkö, M., &amp; McIntosh, C. N. (2024). Too</w:t>
      </w:r>
      <w:r>
        <w:t xml:space="preserve"> </w:t>
      </w:r>
      <w:r>
        <w:t xml:space="preserve">Small</w:t>
      </w:r>
      <w:r>
        <w:t xml:space="preserve"> </w:t>
      </w:r>
      <w:r>
        <w:t xml:space="preserve">to</w:t>
      </w:r>
      <w:r>
        <w:t xml:space="preserve"> </w:t>
      </w:r>
      <w:r>
        <w:t xml:space="preserve">Succeed</w:t>
      </w:r>
      <w:r>
        <w:t xml:space="preserve">:</w:t>
      </w:r>
      <w:r>
        <w:t xml:space="preserve"> </w:t>
      </w:r>
      <w:r>
        <w:t xml:space="preserve">Small Samples</w:t>
      </w:r>
      <w:r>
        <w:t xml:space="preserve"> </w:t>
      </w:r>
      <w:r>
        <w:t xml:space="preserve">and the p-</w:t>
      </w:r>
      <w:r>
        <w:t xml:space="preserve">Value Problem</w:t>
      </w:r>
      <w:r>
        <w:t xml:space="preserve">.</w:t>
      </w:r>
      <w:r>
        <w:t xml:space="preserve"> </w:t>
      </w:r>
      <w:r>
        <w:rPr>
          <w:i/>
          <w:iCs/>
        </w:rPr>
        <w:t xml:space="preserve">SIGMIS Database</w:t>
      </w:r>
      <w:r>
        <w:t xml:space="preserve">,</w:t>
      </w:r>
      <w:r>
        <w:t xml:space="preserve"> </w:t>
      </w:r>
      <w:r>
        <w:rPr>
          <w:i/>
          <w:iCs/>
        </w:rPr>
        <w:t xml:space="preserve">55</w:t>
      </w:r>
      <w:r>
        <w:t xml:space="preserve">(3), 12–49.</w:t>
      </w:r>
      <w:r>
        <w:t xml:space="preserve"> </w:t>
      </w:r>
      <w:hyperlink r:id="rId190">
        <w:r>
          <w:rPr>
            <w:rStyle w:val="Hyperlink"/>
          </w:rPr>
          <w:t xml:space="preserve">https://doi.org/10.1145/3685235.3685238</w:t>
        </w:r>
      </w:hyperlink>
    </w:p>
    <w:bookmarkEnd w:id="191"/>
    <w:bookmarkStart w:id="193" w:name="ref-buchberger2024"/>
    <w:p>
      <w:pPr>
        <w:pStyle w:val="Bibliography"/>
      </w:pPr>
      <w:r>
        <w:t xml:space="preserve">Buchberger, E. S., Ngo, C. T., Peikert, A., Brandmaier, A. M., &amp; Werkle-Bergner, M. (2024). Estimating statistical power for structural equation models in developmental cognitive science:</w:t>
      </w:r>
      <w:r>
        <w:t xml:space="preserve"> </w:t>
      </w:r>
      <w:r>
        <w:t xml:space="preserve">A</w:t>
      </w:r>
      <w:r>
        <w:t xml:space="preserve"> </w:t>
      </w:r>
      <w:r>
        <w:t xml:space="preserve">tutorial in</w:t>
      </w:r>
      <w:r>
        <w:t xml:space="preserve"> </w:t>
      </w:r>
      <w:r>
        <w:t xml:space="preserve">R</w:t>
      </w:r>
      <w:r>
        <w:t xml:space="preserve">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56</w:t>
      </w:r>
      <w:r>
        <w:t xml:space="preserve">(7), 1–18.</w:t>
      </w:r>
      <w:r>
        <w:t xml:space="preserve"> </w:t>
      </w:r>
      <w:hyperlink r:id="rId192">
        <w:r>
          <w:rPr>
            <w:rStyle w:val="Hyperlink"/>
          </w:rPr>
          <w:t xml:space="preserve">https://doi.org/10.3758/s13428-024-02396-2</w:t>
        </w:r>
      </w:hyperlink>
    </w:p>
    <w:bookmarkEnd w:id="193"/>
    <w:bookmarkStart w:id="194" w:name="ref-feng2023"/>
    <w:p>
      <w:pPr>
        <w:pStyle w:val="Bibliography"/>
      </w:pPr>
      <w:r>
        <w:t xml:space="preserve">Feng, Y., &amp; Hancock, G. R. (2023). Power</w:t>
      </w:r>
      <w:r>
        <w:t xml:space="preserve"> </w:t>
      </w:r>
      <w:r>
        <w:t xml:space="preserve">Analysis</w:t>
      </w:r>
      <w:r>
        <w:t xml:space="preserve"> </w:t>
      </w:r>
      <w:r>
        <w:t xml:space="preserve">within a</w:t>
      </w:r>
      <w:r>
        <w:t xml:space="preserve"> </w:t>
      </w:r>
      <w:r>
        <w:t xml:space="preserve">Structural Equation Modeling Framework</w:t>
      </w:r>
      <w:r>
        <w:t xml:space="preserve">. In R. H. Hoyle (Ed.),</w:t>
      </w:r>
      <w:r>
        <w:t xml:space="preserve"> </w:t>
      </w:r>
      <w:r>
        <w:rPr>
          <w:i/>
          <w:iCs/>
        </w:rPr>
        <w:t xml:space="preserve">Handbook of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 Equation Modeling</w:t>
      </w:r>
      <w:r>
        <w:t xml:space="preserve">. The Guilford Press.</w:t>
      </w:r>
    </w:p>
    <w:bookmarkEnd w:id="194"/>
    <w:bookmarkStart w:id="196" w:name="ref-irmer2024"/>
    <w:p>
      <w:pPr>
        <w:pStyle w:val="Bibliography"/>
      </w:pPr>
      <w:r>
        <w:t xml:space="preserve">Irmer, J. P., Klein, A. G., &amp; Schermelleh-Engel, K. (2024). Model-implied simulation-based power estimation for correctly specified and distributionally misspecified models: Applications to nonlinear and linear structural equation models.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56</w:t>
      </w:r>
      <w:r>
        <w:t xml:space="preserve">(8), 8955–8991.</w:t>
      </w:r>
      <w:r>
        <w:t xml:space="preserve"> </w:t>
      </w:r>
      <w:hyperlink r:id="rId195">
        <w:r>
          <w:rPr>
            <w:rStyle w:val="Hyperlink"/>
          </w:rPr>
          <w:t xml:space="preserve">https://doi.org/10.3758/s13428-024-02507-z</w:t>
        </w:r>
      </w:hyperlink>
    </w:p>
    <w:bookmarkEnd w:id="196"/>
    <w:bookmarkStart w:id="198" w:name="ref-jak2021"/>
    <w:p>
      <w:pPr>
        <w:pStyle w:val="Bibliography"/>
      </w:pPr>
      <w:r>
        <w:t xml:space="preserve">Jak, S., Jorgensen, T. D., Verdam, M. G. E., Oort, F. J., &amp; Elffers, L. (2021). Analytical power calculations for structural equation modeling:</w:t>
      </w:r>
      <w:r>
        <w:t xml:space="preserve"> </w:t>
      </w:r>
      <w:r>
        <w:t xml:space="preserve">A</w:t>
      </w:r>
      <w:r>
        <w:t xml:space="preserve"> </w:t>
      </w:r>
      <w:r>
        <w:t xml:space="preserve">tutorial and</w:t>
      </w:r>
      <w:r>
        <w:t xml:space="preserve"> </w:t>
      </w:r>
      <w:r>
        <w:t xml:space="preserve">Shiny</w:t>
      </w:r>
      <w:r>
        <w:t xml:space="preserve"> </w:t>
      </w:r>
      <w:r>
        <w:t xml:space="preserve">app.</w:t>
      </w:r>
      <w:r>
        <w:t xml:space="preserve"> </w:t>
      </w:r>
      <w:r>
        <w:rPr>
          <w:i/>
          <w:iCs/>
        </w:rPr>
        <w:t xml:space="preserve">Behavior Research Mehods</w:t>
      </w:r>
      <w:r>
        <w:t xml:space="preserve">,</w:t>
      </w:r>
      <w:r>
        <w:t xml:space="preserve"> </w:t>
      </w:r>
      <w:r>
        <w:rPr>
          <w:i/>
          <w:iCs/>
        </w:rPr>
        <w:t xml:space="preserve">53</w:t>
      </w:r>
      <w:r>
        <w:t xml:space="preserve">, 1385–1406.</w:t>
      </w:r>
      <w:r>
        <w:t xml:space="preserve"> </w:t>
      </w:r>
      <w:hyperlink r:id="rId197">
        <w:r>
          <w:rPr>
            <w:rStyle w:val="Hyperlink"/>
          </w:rPr>
          <w:t xml:space="preserve">https://doi.org/10.3758/s13428-020-01479-0/Published</w:t>
        </w:r>
      </w:hyperlink>
    </w:p>
    <w:bookmarkEnd w:id="198"/>
    <w:bookmarkStart w:id="200" w:name="ref-jobst2023"/>
    <w:p>
      <w:pPr>
        <w:pStyle w:val="Bibliography"/>
      </w:pPr>
      <w:r>
        <w:t xml:space="preserve">Jobst, L. J., Bader, M., &amp; Moshagen, M. (2023). A tutorial on assessing statistical power and determining sample size for structural equation models.</w:t>
      </w:r>
      <w:r>
        <w:t xml:space="preserve"> </w:t>
      </w:r>
      <w:r>
        <w:rPr>
          <w:i/>
          <w:iCs/>
        </w:rPr>
        <w:t xml:space="preserve">Psychological Methods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(1), 207–221.</w:t>
      </w:r>
      <w:r>
        <w:t xml:space="preserve"> </w:t>
      </w:r>
      <w:hyperlink r:id="rId199">
        <w:r>
          <w:rPr>
            <w:rStyle w:val="Hyperlink"/>
          </w:rPr>
          <w:t xml:space="preserve">https://doi.org/10.1037/met0000423</w:t>
        </w:r>
      </w:hyperlink>
    </w:p>
    <w:bookmarkEnd w:id="200"/>
    <w:bookmarkStart w:id="202" w:name="ref-kyriazos2018"/>
    <w:p>
      <w:pPr>
        <w:pStyle w:val="Bibliography"/>
      </w:pPr>
      <w:r>
        <w:t xml:space="preserve">Kyriazos, T. A. (2018). Applied</w:t>
      </w:r>
      <w:r>
        <w:t xml:space="preserve"> </w:t>
      </w:r>
      <w:r>
        <w:t xml:space="preserve">Psychometrics</w:t>
      </w:r>
      <w:r>
        <w:t xml:space="preserve">:</w:t>
      </w:r>
      <w:r>
        <w:t xml:space="preserve"> </w:t>
      </w:r>
      <w:r>
        <w:t xml:space="preserve">Sample Size</w:t>
      </w:r>
      <w:r>
        <w:t xml:space="preserve"> </w:t>
      </w:r>
      <w:r>
        <w:t xml:space="preserve">and</w:t>
      </w:r>
      <w:r>
        <w:t xml:space="preserve"> </w:t>
      </w:r>
      <w:r>
        <w:t xml:space="preserve">Sample Power Considerations</w:t>
      </w:r>
      <w:r>
        <w:t xml:space="preserve"> </w:t>
      </w:r>
      <w:r>
        <w:t xml:space="preserve">in</w:t>
      </w:r>
      <w:r>
        <w:t xml:space="preserve"> </w:t>
      </w:r>
      <w:r>
        <w:t xml:space="preserve">Factor Analysis</w:t>
      </w:r>
      <w:r>
        <w:t xml:space="preserve"> </w:t>
      </w:r>
      <w:r>
        <w:t xml:space="preserve">(</w:t>
      </w:r>
      <w:r>
        <w:t xml:space="preserve">EFA</w:t>
      </w:r>
      <w:r>
        <w:t xml:space="preserve">,</w:t>
      </w:r>
      <w:r>
        <w:t xml:space="preserve"> </w:t>
      </w:r>
      <w:r>
        <w:t xml:space="preserve">CFA</w:t>
      </w:r>
      <w:r>
        <w:t xml:space="preserve">) and</w:t>
      </w:r>
      <w:r>
        <w:t xml:space="preserve"> </w:t>
      </w:r>
      <w:r>
        <w:t xml:space="preserve">SEM</w:t>
      </w:r>
      <w:r>
        <w:t xml:space="preserve"> </w:t>
      </w:r>
      <w:r>
        <w:t xml:space="preserve">in</w:t>
      </w:r>
      <w:r>
        <w:t xml:space="preserve"> </w:t>
      </w:r>
      <w:r>
        <w:t xml:space="preserve">General</w:t>
      </w:r>
      <w:r>
        <w:t xml:space="preserve">.</w:t>
      </w:r>
      <w:r>
        <w:t xml:space="preserve"> </w:t>
      </w:r>
      <w:r>
        <w:rPr>
          <w:i/>
          <w:iCs/>
        </w:rPr>
        <w:t xml:space="preserve">Psychology</w:t>
      </w:r>
      <w:r>
        <w:t xml:space="preserve">,</w:t>
      </w:r>
      <w:r>
        <w:t xml:space="preserve"> </w:t>
      </w:r>
      <w:r>
        <w:rPr>
          <w:i/>
          <w:iCs/>
        </w:rPr>
        <w:t xml:space="preserve">09</w:t>
      </w:r>
      <w:r>
        <w:t xml:space="preserve">(08), 2207–2230.</w:t>
      </w:r>
      <w:r>
        <w:t xml:space="preserve"> </w:t>
      </w:r>
      <w:hyperlink r:id="rId201">
        <w:r>
          <w:rPr>
            <w:rStyle w:val="Hyperlink"/>
          </w:rPr>
          <w:t xml:space="preserve">https://doi.org/10.4236/psych.2018.98126</w:t>
        </w:r>
      </w:hyperlink>
    </w:p>
    <w:bookmarkEnd w:id="202"/>
    <w:bookmarkStart w:id="204" w:name="ref-liang2024"/>
    <w:p>
      <w:pPr>
        <w:pStyle w:val="Bibliography"/>
      </w:pPr>
      <w:r>
        <w:t xml:space="preserve">Liang, A., &amp; Sterba, S. K. (2024). Power analysis to detect misfit in</w:t>
      </w:r>
      <w:r>
        <w:t xml:space="preserve"> </w:t>
      </w:r>
      <w:r>
        <w:t xml:space="preserve">SEMs</w:t>
      </w:r>
      <w:r>
        <w:t xml:space="preserve"> </w:t>
      </w:r>
      <w:r>
        <w:t xml:space="preserve">with many items: Resolving unrecognized problems, relating old and new approaches, and</w:t>
      </w:r>
      <w:r>
        <w:t xml:space="preserve"> </w:t>
      </w:r>
      <w:r>
        <w:t xml:space="preserve">“matching”</w:t>
      </w:r>
      <w:r>
        <w:t xml:space="preserve"> </w:t>
      </w:r>
      <w:r>
        <w:t xml:space="preserve">power analysis approach to data analysis approach.</w:t>
      </w:r>
      <w:r>
        <w:t xml:space="preserve"> </w:t>
      </w:r>
      <w:r>
        <w:rPr>
          <w:i/>
          <w:iCs/>
        </w:rPr>
        <w:t xml:space="preserve">Psychological Methods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https://doi.org/10.1037/met0000684</w:t>
        </w:r>
      </w:hyperlink>
    </w:p>
    <w:bookmarkEnd w:id="204"/>
    <w:bookmarkStart w:id="206" w:name="ref-lin2022"/>
    <w:p>
      <w:pPr>
        <w:pStyle w:val="Bibliography"/>
      </w:pPr>
      <w:r>
        <w:t xml:space="preserve">Lin, L.-C., &amp; Yao, G. (2022). Validation of the factor structure of the</w:t>
      </w:r>
      <w:r>
        <w:t xml:space="preserve"> </w:t>
      </w:r>
      <w:r>
        <w:t xml:space="preserve">WHOQOL-BREF</w:t>
      </w:r>
      <w:r>
        <w:t xml:space="preserve"> </w:t>
      </w:r>
      <w:r>
        <w:t xml:space="preserve">using meta-analysis of exploratory factor analysis and social network analysis.</w:t>
      </w:r>
      <w:r>
        <w:t xml:space="preserve"> </w:t>
      </w:r>
      <w:r>
        <w:rPr>
          <w:i/>
          <w:iCs/>
        </w:rPr>
        <w:t xml:space="preserve">Psychological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(7), 660–670.</w:t>
      </w:r>
      <w:r>
        <w:t xml:space="preserve"> </w:t>
      </w:r>
      <w:hyperlink r:id="rId205">
        <w:r>
          <w:rPr>
            <w:rStyle w:val="Hyperlink"/>
          </w:rPr>
          <w:t xml:space="preserve">https://doi.org/10.1037/pas0001122</w:t>
        </w:r>
      </w:hyperlink>
    </w:p>
    <w:bookmarkEnd w:id="206"/>
    <w:bookmarkStart w:id="208" w:name="ref-maccallum1996"/>
    <w:p>
      <w:pPr>
        <w:pStyle w:val="Bibliography"/>
      </w:pPr>
      <w:r>
        <w:t xml:space="preserve">MacCallum, R. C., Browne, M. W., &amp; Sugawara, H. M. (1996). Power analysis and determination of sample size for covariance structure modeling.</w:t>
      </w:r>
      <w:r>
        <w:t xml:space="preserve"> </w:t>
      </w:r>
      <w:r>
        <w:rPr>
          <w:i/>
          <w:iCs/>
        </w:rPr>
        <w:t xml:space="preserve">Psychological Methods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(2), 130–149.</w:t>
      </w:r>
      <w:r>
        <w:t xml:space="preserve"> </w:t>
      </w:r>
      <w:hyperlink r:id="rId207">
        <w:r>
          <w:rPr>
            <w:rStyle w:val="Hyperlink"/>
          </w:rPr>
          <w:t xml:space="preserve">https://doi.org/10.1037/1082-989X.1.2.130</w:t>
        </w:r>
      </w:hyperlink>
    </w:p>
    <w:bookmarkEnd w:id="208"/>
    <w:bookmarkStart w:id="210" w:name="ref-mcneish2021"/>
    <w:p>
      <w:pPr>
        <w:pStyle w:val="Bibliography"/>
      </w:pPr>
      <w:r>
        <w:t xml:space="preserve">McNeish, D., &amp; Wolf, M. G. (2021). Dynamic fit index cutoffs for confirmatory factor analysis models.</w:t>
      </w:r>
      <w:r>
        <w:t xml:space="preserve"> </w:t>
      </w:r>
      <w:r>
        <w:rPr>
          <w:i/>
          <w:iCs/>
        </w:rPr>
        <w:t xml:space="preserve">Psychological Methods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(1), 61–88.</w:t>
      </w:r>
      <w:r>
        <w:t xml:space="preserve"> </w:t>
      </w:r>
      <w:hyperlink r:id="rId209">
        <w:r>
          <w:rPr>
            <w:rStyle w:val="Hyperlink"/>
          </w:rPr>
          <w:t xml:space="preserve">https://doi.org/10.1037/met0000425</w:t>
        </w:r>
      </w:hyperlink>
    </w:p>
    <w:bookmarkEnd w:id="210"/>
    <w:bookmarkStart w:id="212" w:name="ref-moshagen2024"/>
    <w:p>
      <w:pPr>
        <w:pStyle w:val="Bibliography"/>
      </w:pPr>
      <w:r>
        <w:t xml:space="preserve">Moshagen, M., &amp; Bader, M. (2024).</w:t>
      </w:r>
      <w:r>
        <w:t xml:space="preserve"> </w:t>
      </w:r>
      <w:r>
        <w:t xml:space="preserve">semPower</w:t>
      </w:r>
      <w:r>
        <w:t xml:space="preserve">:</w:t>
      </w:r>
      <w:r>
        <w:t xml:space="preserve"> </w:t>
      </w:r>
      <w:r>
        <w:t xml:space="preserve">General</w:t>
      </w:r>
      <w:r>
        <w:t xml:space="preserve"> </w:t>
      </w:r>
      <w:r>
        <w:t xml:space="preserve">power analysis for structural equation models.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56</w:t>
      </w:r>
      <w:r>
        <w:t xml:space="preserve">(4), 2901–2922.</w:t>
      </w:r>
      <w:r>
        <w:t xml:space="preserve"> </w:t>
      </w:r>
      <w:hyperlink r:id="rId211">
        <w:r>
          <w:rPr>
            <w:rStyle w:val="Hyperlink"/>
          </w:rPr>
          <w:t xml:space="preserve">https://doi.org/10.3758/s13428-023-02254-7</w:t>
        </w:r>
      </w:hyperlink>
    </w:p>
    <w:bookmarkEnd w:id="212"/>
    <w:bookmarkStart w:id="214" w:name="ref-mosqueirataipe2026"/>
    <w:p>
      <w:pPr>
        <w:pStyle w:val="Bibliography"/>
      </w:pPr>
      <w:r>
        <w:t xml:space="preserve">Mosqueira Taipe, C. M., Amador Campos, J. A., Krieger, V., Miasso, A. I., Molina, N. P. F. M., &amp; dos Santos, P. L.</w:t>
      </w:r>
      <w:r>
        <w:t xml:space="preserve"> (2026). Systematic review of the factor structure of</w:t>
      </w:r>
      <w:r>
        <w:t xml:space="preserve"> </w:t>
      </w:r>
      <w:r>
        <w:t xml:space="preserve">WHOQOL-bref</w:t>
      </w:r>
      <w:r>
        <w:t xml:space="preserve"> </w:t>
      </w:r>
      <w:r>
        <w:t xml:space="preserve">in adult population.</w:t>
      </w:r>
      <w:r>
        <w:t xml:space="preserve"> </w:t>
      </w:r>
      <w:r>
        <w:rPr>
          <w:i/>
          <w:iCs/>
        </w:rPr>
        <w:t xml:space="preserve">Quality of Life Research</w:t>
      </w:r>
      <w:r>
        <w:t xml:space="preserve">,</w:t>
      </w:r>
      <w:r>
        <w:t xml:space="preserve"> </w:t>
      </w:r>
      <w:r>
        <w:rPr>
          <w:i/>
          <w:iCs/>
        </w:rPr>
        <w:t xml:space="preserve">35</w:t>
      </w:r>
      <w:r>
        <w:t xml:space="preserve">(17), 1–18.</w:t>
      </w:r>
      <w:r>
        <w:t xml:space="preserve"> </w:t>
      </w:r>
      <w:hyperlink r:id="rId213">
        <w:r>
          <w:rPr>
            <w:rStyle w:val="Hyperlink"/>
          </w:rPr>
          <w:t xml:space="preserve">https://doi.org/10.1007/s11136-025-04115-6</w:t>
        </w:r>
      </w:hyperlink>
    </w:p>
    <w:bookmarkEnd w:id="214"/>
    <w:bookmarkStart w:id="216" w:name="ref-muthen2002a"/>
    <w:p>
      <w:pPr>
        <w:pStyle w:val="Bibliography"/>
      </w:pPr>
      <w:r>
        <w:t xml:space="preserve">Muthén, L. K., &amp; Muthén, B. O. (2002). How 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Monte Carlo Study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t xml:space="preserve">on</w:t>
      </w:r>
      <w:r>
        <w:t xml:space="preserve"> </w:t>
      </w:r>
      <w:r>
        <w:t xml:space="preserve">Sample Size</w:t>
      </w:r>
      <w:r>
        <w:t xml:space="preserve"> </w:t>
      </w:r>
      <w:r>
        <w:t xml:space="preserve">and</w:t>
      </w:r>
      <w:r>
        <w:t xml:space="preserve"> </w:t>
      </w:r>
      <w:r>
        <w:t xml:space="preserve">Determine Power</w:t>
      </w:r>
      <w:r>
        <w:t xml:space="preserve">.</w:t>
      </w:r>
      <w:r>
        <w:t xml:space="preserve"> </w:t>
      </w:r>
      <w:r>
        <w:rPr>
          <w:i/>
          <w:iCs/>
        </w:rPr>
        <w:t xml:space="preserve">Structural Equation Modeling: A Multidisciplinary Journal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(4), 599–620.</w:t>
      </w:r>
      <w:r>
        <w:t xml:space="preserve"> </w:t>
      </w:r>
      <w:hyperlink r:id="rId215">
        <w:r>
          <w:rPr>
            <w:rStyle w:val="Hyperlink"/>
          </w:rPr>
          <w:t xml:space="preserve">https://doi.org/10.1207/S15328007SEM0904_8</w:t>
        </w:r>
      </w:hyperlink>
    </w:p>
    <w:bookmarkEnd w:id="216"/>
    <w:bookmarkStart w:id="218" w:name="ref-simsem2021"/>
    <w:p>
      <w:pPr>
        <w:pStyle w:val="Bibliography"/>
      </w:pPr>
      <w:r>
        <w:t xml:space="preserve">Pornprasertmanit, S., Miller, P., Schoemann, A., &amp; Jorgensen, T. D. (2021).</w:t>
      </w:r>
      <w:r>
        <w:t xml:space="preserve"> </w:t>
      </w:r>
      <w:r>
        <w:rPr>
          <w:i/>
          <w:iCs/>
        </w:rPr>
        <w:t xml:space="preserve">Simsem:</w:t>
      </w:r>
      <w:r>
        <w:rPr>
          <w:i/>
          <w:iCs/>
        </w:rPr>
        <w:t xml:space="preserve"> </w:t>
      </w:r>
      <w:r>
        <w:rPr>
          <w:i/>
          <w:iCs/>
        </w:rPr>
        <w:t xml:space="preserve">SIMulated Structural Equation Modeling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https://CRAN.R-project.org/package=simsem</w:t>
        </w:r>
      </w:hyperlink>
    </w:p>
    <w:bookmarkEnd w:id="218"/>
    <w:bookmarkStart w:id="220" w:name="ref-rogers2022"/>
    <w:p>
      <w:pPr>
        <w:pStyle w:val="Bibliography"/>
      </w:pPr>
      <w:r>
        <w:t xml:space="preserve">Rogers, P. (2022). Best</w:t>
      </w:r>
      <w:r>
        <w:t xml:space="preserve"> </w:t>
      </w:r>
      <w:r>
        <w:t xml:space="preserve">Practices</w:t>
      </w:r>
      <w:r>
        <w:t xml:space="preserve"> </w:t>
      </w:r>
      <w:r>
        <w:t xml:space="preserve">for</w:t>
      </w:r>
      <w:r>
        <w:t xml:space="preserve"> </w:t>
      </w:r>
      <w:r>
        <w:t xml:space="preserve">Your Exploratory Factor Analysis</w:t>
      </w:r>
      <w:r>
        <w:t xml:space="preserve">:</w:t>
      </w:r>
      <w:r>
        <w:t xml:space="preserve"> </w:t>
      </w:r>
      <w:r>
        <w:t xml:space="preserve">A Factor Tutorial</w:t>
      </w:r>
      <w:r>
        <w:t xml:space="preserve">.</w:t>
      </w:r>
      <w:r>
        <w:t xml:space="preserve"> </w:t>
      </w:r>
      <w:r>
        <w:rPr>
          <w:i/>
          <w:iCs/>
        </w:rPr>
        <w:t xml:space="preserve">Revista de Administração Contemporânea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(6).</w:t>
      </w:r>
      <w:r>
        <w:t xml:space="preserve"> </w:t>
      </w:r>
      <w:hyperlink r:id="rId219">
        <w:r>
          <w:rPr>
            <w:rStyle w:val="Hyperlink"/>
          </w:rPr>
          <w:t xml:space="preserve">https://doi.org/10.1590/1982-7849rac2022210085.en</w:t>
        </w:r>
      </w:hyperlink>
    </w:p>
    <w:bookmarkEnd w:id="220"/>
    <w:bookmarkStart w:id="222" w:name="ref-schoemann2014"/>
    <w:p>
      <w:pPr>
        <w:pStyle w:val="Bibliography"/>
      </w:pPr>
      <w:r>
        <w:t xml:space="preserve">Schoemann, A. M., Miller, P., Pornprasertmanit, S., &amp; Wu, W. (2014). Using</w:t>
      </w:r>
      <w:r>
        <w:t xml:space="preserve"> </w:t>
      </w:r>
      <w:r>
        <w:t xml:space="preserve">Monte Carlo</w:t>
      </w:r>
      <w:r>
        <w:t xml:space="preserve"> </w:t>
      </w:r>
      <w:r>
        <w:t xml:space="preserve">simulations to determine power and sample size for planned missing designs.</w:t>
      </w:r>
      <w:r>
        <w:t xml:space="preserve"> </w:t>
      </w:r>
      <w:r>
        <w:rPr>
          <w:i/>
          <w:iCs/>
        </w:rPr>
        <w:t xml:space="preserve">International Journal of Behavioral Development</w:t>
      </w:r>
      <w:r>
        <w:t xml:space="preserve">,</w:t>
      </w:r>
      <w:r>
        <w:t xml:space="preserve"> </w:t>
      </w:r>
      <w:r>
        <w:rPr>
          <w:i/>
          <w:iCs/>
        </w:rPr>
        <w:t xml:space="preserve">38</w:t>
      </w:r>
      <w:r>
        <w:t xml:space="preserve">(5), 471–479.</w:t>
      </w:r>
      <w:r>
        <w:t xml:space="preserve"> </w:t>
      </w:r>
      <w:hyperlink r:id="rId221">
        <w:r>
          <w:rPr>
            <w:rStyle w:val="Hyperlink"/>
          </w:rPr>
          <w:t xml:space="preserve">https://doi.org/10.1177/0165025413515169</w:t>
        </w:r>
      </w:hyperlink>
    </w:p>
    <w:bookmarkEnd w:id="222"/>
    <w:bookmarkStart w:id="224" w:name="ref-wang2023"/>
    <w:p>
      <w:pPr>
        <w:pStyle w:val="Bibliography"/>
      </w:pPr>
      <w:r>
        <w:t xml:space="preserve">Wang, Y. A. (2023).</w:t>
      </w:r>
      <w:r>
        <w:t xml:space="preserve"> </w:t>
      </w:r>
      <w:r>
        <w:rPr>
          <w:i/>
          <w:iCs/>
        </w:rPr>
        <w:t xml:space="preserve">How to</w:t>
      </w:r>
      <w:r>
        <w:rPr>
          <w:i/>
          <w:iCs/>
        </w:rPr>
        <w:t xml:space="preserve"> </w:t>
      </w:r>
      <w:r>
        <w:rPr>
          <w:i/>
          <w:iCs/>
        </w:rPr>
        <w:t xml:space="preserve">Conduct Power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 Equation Models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 Practical Primer</w:t>
      </w:r>
      <w:r>
        <w:t xml:space="preserve"> </w:t>
      </w:r>
      <w:r>
        <w:t xml:space="preserve">[Preprint]. PsyArXiv.</w:t>
      </w:r>
      <w:r>
        <w:t xml:space="preserve"> </w:t>
      </w:r>
      <w:hyperlink r:id="rId223">
        <w:r>
          <w:rPr>
            <w:rStyle w:val="Hyperlink"/>
          </w:rPr>
          <w:t xml:space="preserve">https://doi.org/10.31234/osf.io/4n3uk</w:t>
        </w:r>
      </w:hyperlink>
    </w:p>
    <w:bookmarkEnd w:id="224"/>
    <w:bookmarkStart w:id="226" w:name="ref-wang2021"/>
    <w:p>
      <w:pPr>
        <w:pStyle w:val="Bibliography"/>
      </w:pPr>
      <w:r>
        <w:t xml:space="preserve">Wang, Y. A., &amp; Rhemtulla, M. (2021). Power</w:t>
      </w:r>
      <w:r>
        <w:t xml:space="preserve"> </w:t>
      </w: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Parameter Estimation</w:t>
      </w:r>
      <w:r>
        <w:t xml:space="preserve"> </w:t>
      </w:r>
      <w:r>
        <w:t xml:space="preserve">in</w:t>
      </w:r>
      <w:r>
        <w:t xml:space="preserve"> </w:t>
      </w:r>
      <w:r>
        <w:t xml:space="preserve">Structural Equation Modeling</w:t>
      </w:r>
      <w:r>
        <w:t xml:space="preserve">:</w:t>
      </w:r>
      <w:r>
        <w:t xml:space="preserve"> </w:t>
      </w:r>
      <w:r>
        <w:t xml:space="preserve">A Discussion</w:t>
      </w:r>
      <w:r>
        <w:t xml:space="preserve"> </w:t>
      </w:r>
      <w:r>
        <w:t xml:space="preserve">and</w:t>
      </w:r>
      <w:r>
        <w:t xml:space="preserve"> </w:t>
      </w:r>
      <w:r>
        <w:t xml:space="preserve">Tutorial</w:t>
      </w:r>
      <w:r>
        <w:t xml:space="preserve">.</w:t>
      </w:r>
      <w:r>
        <w:t xml:space="preserve"> </w:t>
      </w:r>
      <w:r>
        <w:rPr>
          <w:i/>
          <w:iCs/>
        </w:rPr>
        <w:t xml:space="preserve">Advances in Methods and Practices in Psychological Science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(1), 1–17.</w:t>
      </w:r>
      <w:r>
        <w:t xml:space="preserve"> </w:t>
      </w:r>
      <w:hyperlink r:id="rId225">
        <w:r>
          <w:rPr>
            <w:rStyle w:val="Hyperlink"/>
          </w:rPr>
          <w:t xml:space="preserve">https://doi.org/10.1177/2515245920918253</w:t>
        </w:r>
      </w:hyperlink>
    </w:p>
    <w:bookmarkEnd w:id="226"/>
    <w:bookmarkStart w:id="228" w:name="ref-wolf2013"/>
    <w:p>
      <w:pPr>
        <w:pStyle w:val="Bibliography"/>
      </w:pPr>
      <w:r>
        <w:t xml:space="preserve">Wolf, E. J., Harrington, K. M., Clark, S. L., &amp; Miller, M. W. (2013). Sample</w:t>
      </w:r>
      <w:r>
        <w:t xml:space="preserve"> </w:t>
      </w:r>
      <w:r>
        <w:t xml:space="preserve">Size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Structural Equation Models</w:t>
      </w:r>
      <w:r>
        <w:t xml:space="preserve">:</w:t>
      </w:r>
      <w:r>
        <w:t xml:space="preserve"> </w:t>
      </w:r>
      <w:r>
        <w:t xml:space="preserve">An Evaluation</w:t>
      </w:r>
      <w:r>
        <w:t xml:space="preserve"> </w:t>
      </w:r>
      <w:r>
        <w:t xml:space="preserve">of</w:t>
      </w:r>
      <w:r>
        <w:t xml:space="preserve"> </w:t>
      </w:r>
      <w:r>
        <w:t xml:space="preserve">Power</w:t>
      </w:r>
      <w:r>
        <w:t xml:space="preserve">,</w:t>
      </w:r>
      <w:r>
        <w:t xml:space="preserve"> </w:t>
      </w:r>
      <w:r>
        <w:t xml:space="preserve">Bias</w:t>
      </w:r>
      <w:r>
        <w:t xml:space="preserve">, and</w:t>
      </w:r>
      <w:r>
        <w:t xml:space="preserve"> </w:t>
      </w:r>
      <w:r>
        <w:t xml:space="preserve">Solution Propriety</w:t>
      </w:r>
      <w:r>
        <w:t xml:space="preserve">.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</w:t>
      </w:r>
      <w:r>
        <w:t xml:space="preserve"> </w:t>
      </w:r>
      <w:r>
        <w:rPr>
          <w:i/>
          <w:iCs/>
        </w:rPr>
        <w:t xml:space="preserve">76</w:t>
      </w:r>
      <w:r>
        <w:t xml:space="preserve">(6), 913–934.</w:t>
      </w:r>
      <w:r>
        <w:t xml:space="preserve"> </w:t>
      </w:r>
      <w:hyperlink r:id="rId227">
        <w:r>
          <w:rPr>
            <w:rStyle w:val="Hyperlink"/>
          </w:rPr>
          <w:t xml:space="preserve">https://doi.org/10.1177/0013164413495237</w:t>
        </w:r>
      </w:hyperlink>
    </w:p>
    <w:bookmarkEnd w:id="228"/>
    <w:bookmarkStart w:id="229" w:name="ref-zhang2018"/>
    <w:p>
      <w:pPr>
        <w:pStyle w:val="Bibliography"/>
      </w:pPr>
      <w:r>
        <w:t xml:space="preserve">Zhang, Z., &amp; Yuan, K.-H. (2018).</w:t>
      </w:r>
      <w:r>
        <w:t xml:space="preserve"> </w:t>
      </w:r>
      <w:r>
        <w:rPr>
          <w:i/>
          <w:iCs/>
        </w:rPr>
        <w:t xml:space="preserve">Practical statistical power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Webpower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ISDSA Press.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image" Id="rId9" Target="media/rId9.png" /><Relationship Type="http://schemas.openxmlformats.org/officeDocument/2006/relationships/image" Id="rId42" Target="media/rId42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73" Target="media/rId73.png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87" Target="media/rId87.png" /><Relationship Type="http://schemas.openxmlformats.org/officeDocument/2006/relationships/image" Id="rId126" Target="media/rId126.png" /><Relationship Type="http://schemas.openxmlformats.org/officeDocument/2006/relationships/image" Id="rId139" Target="media/rId139.png" /><Relationship Type="http://schemas.openxmlformats.org/officeDocument/2006/relationships/image" Id="rId121" Target="media/rId121.png" /><Relationship Type="http://schemas.openxmlformats.org/officeDocument/2006/relationships/image" Id="rId134" Target="media/rId134.png" /><Relationship Type="http://schemas.openxmlformats.org/officeDocument/2006/relationships/image" Id="rId154" Target="media/rId154.png" /><Relationship Type="http://schemas.openxmlformats.org/officeDocument/2006/relationships/image" Id="rId147" Target="media/rId147.png" /><Relationship Type="http://schemas.openxmlformats.org/officeDocument/2006/relationships/image" Id="rId164" Target="media/rId164.png" /><Relationship Type="http://schemas.openxmlformats.org/officeDocument/2006/relationships/image" Id="rId182" Target="media/rId182.png" /><Relationship Type="http://schemas.openxmlformats.org/officeDocument/2006/relationships/image" Id="rId174" Target="media/rId174.png" /><Relationship Type="http://schemas.openxmlformats.org/officeDocument/2006/relationships/hyperlink" Id="rId217" Target="https://CRAN.R-project.org/package=simsem" TargetMode="External" /><Relationship Type="http://schemas.openxmlformats.org/officeDocument/2006/relationships/hyperlink" Id="rId213" Target="https://doi.org/10.1007/s11136-025-04115-6" TargetMode="External" /><Relationship Type="http://schemas.openxmlformats.org/officeDocument/2006/relationships/hyperlink" Id="rId207" Target="https://doi.org/10.1037/1082-989X.1.2.130" TargetMode="External" /><Relationship Type="http://schemas.openxmlformats.org/officeDocument/2006/relationships/hyperlink" Id="rId199" Target="https://doi.org/10.1037/met0000423" TargetMode="External" /><Relationship Type="http://schemas.openxmlformats.org/officeDocument/2006/relationships/hyperlink" Id="rId209" Target="https://doi.org/10.1037/met0000425" TargetMode="External" /><Relationship Type="http://schemas.openxmlformats.org/officeDocument/2006/relationships/hyperlink" Id="rId203" Target="https://doi.org/10.1037/met0000684" TargetMode="External" /><Relationship Type="http://schemas.openxmlformats.org/officeDocument/2006/relationships/hyperlink" Id="rId205" Target="https://doi.org/10.1037/pas0001122" TargetMode="External" /><Relationship Type="http://schemas.openxmlformats.org/officeDocument/2006/relationships/hyperlink" Id="rId190" Target="https://doi.org/10.1145/3685235.3685238" TargetMode="External" /><Relationship Type="http://schemas.openxmlformats.org/officeDocument/2006/relationships/hyperlink" Id="rId227" Target="https://doi.org/10.1177/0013164413495237" TargetMode="External" /><Relationship Type="http://schemas.openxmlformats.org/officeDocument/2006/relationships/hyperlink" Id="rId221" Target="https://doi.org/10.1177/0165025413515169" TargetMode="External" /><Relationship Type="http://schemas.openxmlformats.org/officeDocument/2006/relationships/hyperlink" Id="rId225" Target="https://doi.org/10.1177/2515245920918253" TargetMode="External" /><Relationship Type="http://schemas.openxmlformats.org/officeDocument/2006/relationships/hyperlink" Id="rId215" Target="https://doi.org/10.1207/S15328007SEM0904_8" TargetMode="External" /><Relationship Type="http://schemas.openxmlformats.org/officeDocument/2006/relationships/hyperlink" Id="rId219" Target="https://doi.org/10.1590/1982-7849rac2022210085.en" TargetMode="External" /><Relationship Type="http://schemas.openxmlformats.org/officeDocument/2006/relationships/hyperlink" Id="rId223" Target="https://doi.org/10.31234/osf.io/4n3uk" TargetMode="External" /><Relationship Type="http://schemas.openxmlformats.org/officeDocument/2006/relationships/hyperlink" Id="rId197" Target="https://doi.org/10.3758/s13428-020-01479-0/Published" TargetMode="External" /><Relationship Type="http://schemas.openxmlformats.org/officeDocument/2006/relationships/hyperlink" Id="rId211" Target="https://doi.org/10.3758/s13428-023-02254-7" TargetMode="External" /><Relationship Type="http://schemas.openxmlformats.org/officeDocument/2006/relationships/hyperlink" Id="rId192" Target="https://doi.org/10.3758/s13428-024-02396-2" TargetMode="External" /><Relationship Type="http://schemas.openxmlformats.org/officeDocument/2006/relationships/hyperlink" Id="rId195" Target="https://doi.org/10.3758/s13428-024-02507-z" TargetMode="External" /><Relationship Type="http://schemas.openxmlformats.org/officeDocument/2006/relationships/hyperlink" Id="rId201" Target="https://doi.org/10.4236/psych.2018.98126" TargetMode="External" /><Relationship Type="http://schemas.openxmlformats.org/officeDocument/2006/relationships/hyperlink" Id="rId46" Target="https://phdpablo.github.io/cfa-power/Scripts\AnalysisScripts\01_population_models-preview.html#cell-fig-diagram-analyzemodel" TargetMode="External" /><Relationship Type="http://schemas.openxmlformats.org/officeDocument/2006/relationships/hyperlink" Id="rId35" Target="https://phdpablo.github.io/cfa-power/Scripts\AnalysisScripts\01_population_models-preview.html#cell-fig-diagram-h1model" TargetMode="External" /><Relationship Type="http://schemas.openxmlformats.org/officeDocument/2006/relationships/hyperlink" Id="rId23" Target="https://phdpablo.github.io/cfa-power/Scripts\AnalysisScripts\01_population_models-preview.html#cell-fig-diagram-naivemodel" TargetMode="External" /><Relationship Type="http://schemas.openxmlformats.org/officeDocument/2006/relationships/hyperlink" Id="rId29" Target="https://phdpablo.github.io/cfa-power/Scripts\AnalysisScripts\01_population_models-preview.html#cell-fig-diagram-optmodel" TargetMode="External" /><Relationship Type="http://schemas.openxmlformats.org/officeDocument/2006/relationships/hyperlink" Id="rId17" Target="https://phdpablo.github.io/cfa-power/Scripts\AnalysisScripts\01_population_models-preview.html#cell-fig-diagram-popmodel" TargetMode="External" /><Relationship Type="http://schemas.openxmlformats.org/officeDocument/2006/relationships/hyperlink" Id="rId40" Target="https://phdpablo.github.io/cfa-power/Scripts\AnalysisScripts\01_population_models-preview.html#cell-tbl-pop-comparison" TargetMode="External" /><Relationship Type="http://schemas.openxmlformats.org/officeDocument/2006/relationships/hyperlink" Id="rId38" Target="https://phdpablo.github.io/cfa-power/Scripts\AnalysisScripts\01_population_models-preview.html#cell-tbl-pop-summary" TargetMode="External" /><Relationship Type="http://schemas.openxmlformats.org/officeDocument/2006/relationships/hyperlink" Id="rId64" Target="https://phdpablo.github.io/cfa-power/Scripts\AnalysisScripts\02_analytical_power-preview.html#cell-fig-apriori-popmodel" TargetMode="External" /><Relationship Type="http://schemas.openxmlformats.org/officeDocument/2006/relationships/hyperlink" Id="rId56" Target="https://phdpablo.github.io/cfa-power/Scripts\AnalysisScripts\02_analytical_power-preview.html#cell-fig-apriori-rmsea" TargetMode="External" /><Relationship Type="http://schemas.openxmlformats.org/officeDocument/2006/relationships/hyperlink" Id="rId77" Target="https://phdpablo.github.io/cfa-power/Scripts\AnalysisScripts\02_analytical_power-preview.html#cell-fig-power-popmodel" TargetMode="External" /><Relationship Type="http://schemas.openxmlformats.org/officeDocument/2006/relationships/hyperlink" Id="rId71" Target="https://phdpablo.github.io/cfa-power/Scripts\AnalysisScripts\02_analytical_power-preview.html#cell-fig-power-rmsea" TargetMode="External" /><Relationship Type="http://schemas.openxmlformats.org/officeDocument/2006/relationships/hyperlink" Id="rId81" Target="https://phdpablo.github.io/cfa-power/Scripts\AnalysisScripts\02_analytical_power-preview.html#cell-tbl-analytical-summary" TargetMode="External" /><Relationship Type="http://schemas.openxmlformats.org/officeDocument/2006/relationships/hyperlink" Id="rId59" Target="https://phdpablo.github.io/cfa-power/Scripts\AnalysisScripts\02_analytical_power-preview.html#cell-tbl-apriori-popmodel" TargetMode="External" /><Relationship Type="http://schemas.openxmlformats.org/officeDocument/2006/relationships/hyperlink" Id="rId51" Target="https://phdpablo.github.io/cfa-power/Scripts\AnalysisScripts\02_analytical_power-preview.html#cell-tbl-apriori-rmsea" TargetMode="External" /><Relationship Type="http://schemas.openxmlformats.org/officeDocument/2006/relationships/hyperlink" Id="rId96" Target="https://phdpablo.github.io/cfa-power/Scripts\AnalysisScripts\03_simulation_ideal-preview.html#cell-fig-fit-curve-ideal" TargetMode="External" /><Relationship Type="http://schemas.openxmlformats.org/officeDocument/2006/relationships/hyperlink" Id="rId104" Target="https://phdpablo.github.io/cfa-power/Scripts\AnalysisScripts\03_simulation_ideal-preview.html#cell-fig-fit-curve-traditional" TargetMode="External" /><Relationship Type="http://schemas.openxmlformats.org/officeDocument/2006/relationships/hyperlink" Id="rId91" Target="https://phdpablo.github.io/cfa-power/Scripts\AnalysisScripts\03_simulation_ideal-preview.html#cell-fig-power-curve-ideal" TargetMode="External" /><Relationship Type="http://schemas.openxmlformats.org/officeDocument/2006/relationships/hyperlink" Id="rId109" Target="https://phdpablo.github.io/cfa-power/Scripts\AnalysisScripts\03_simulation_ideal-preview.html#cell-tbl-param-estimate-ideal" TargetMode="External" /><Relationship Type="http://schemas.openxmlformats.org/officeDocument/2006/relationships/hyperlink" Id="rId98" Target="https://phdpablo.github.io/cfa-power/Scripts\AnalysisScripts\03_simulation_ideal-preview.html#cell-tbl-power-cutoff-ideal" TargetMode="External" /><Relationship Type="http://schemas.openxmlformats.org/officeDocument/2006/relationships/hyperlink" Id="rId106" Target="https://phdpablo.github.io/cfa-power/Scripts\AnalysisScripts\03_simulation_ideal-preview.html#cell-tbl-power-cutoff-traditional-ideal" TargetMode="External" /><Relationship Type="http://schemas.openxmlformats.org/officeDocument/2006/relationships/hyperlink" Id="rId111" Target="https://phdpablo.github.io/cfa-power/Scripts\AnalysisScripts\03_simulation_ideal-preview.html#cell-tbl-power-n-ideal" TargetMode="External" /><Relationship Type="http://schemas.openxmlformats.org/officeDocument/2006/relationships/hyperlink" Id="rId114" Target="https://phdpablo.github.io/cfa-power/Scripts\AnalysisScripts\03_simulation_ideal-preview.html#cell-tbl-power-n-naive" TargetMode="External" /><Relationship Type="http://schemas.openxmlformats.org/officeDocument/2006/relationships/hyperlink" Id="rId117" Target="https://phdpablo.github.io/cfa-power/Scripts\AnalysisScripts\03_simulation_ideal-preview.html#cell-tbl-power-n-opt" TargetMode="External" /><Relationship Type="http://schemas.openxmlformats.org/officeDocument/2006/relationships/hyperlink" Id="rId130" Target="https://phdpablo.github.io/cfa-power/Scripts\AnalysisScripts\04_simulation_robust-preview.html#cell-fig-fit-curve-missing" TargetMode="External" /><Relationship Type="http://schemas.openxmlformats.org/officeDocument/2006/relationships/hyperlink" Id="rId143" Target="https://phdpablo.github.io/cfa-power/Scripts\AnalysisScripts\04_simulation_robust-preview.html#cell-fig-fit-curve-nnorm" TargetMode="External" /><Relationship Type="http://schemas.openxmlformats.org/officeDocument/2006/relationships/hyperlink" Id="rId125" Target="https://phdpablo.github.io/cfa-power/Scripts\AnalysisScripts\04_simulation_robust-preview.html#cell-fig-power-curve-missing" TargetMode="External" /><Relationship Type="http://schemas.openxmlformats.org/officeDocument/2006/relationships/hyperlink" Id="rId138" Target="https://phdpablo.github.io/cfa-power/Scripts\AnalysisScripts\04_simulation_robust-preview.html#cell-fig-power-curve-nnorm" TargetMode="External" /><Relationship Type="http://schemas.openxmlformats.org/officeDocument/2006/relationships/hyperlink" Id="rId132" Target="https://phdpablo.github.io/cfa-power/Scripts\AnalysisScripts\04_simulation_robust-preview.html#cell-tbl-power-cutoff-missing" TargetMode="External" /><Relationship Type="http://schemas.openxmlformats.org/officeDocument/2006/relationships/hyperlink" Id="rId145" Target="https://phdpablo.github.io/cfa-power/Scripts\AnalysisScripts\04_simulation_robust-preview.html#cell-tbl-power-cutoff-nnorm" TargetMode="External" /><Relationship Type="http://schemas.openxmlformats.org/officeDocument/2006/relationships/hyperlink" Id="rId158" Target="https://phdpablo.github.io/cfa-power/Scripts\AnalysisScripts\05_model_comparison-preview.html#cell-fig-curve-fixed-traditional" TargetMode="External" /><Relationship Type="http://schemas.openxmlformats.org/officeDocument/2006/relationships/hyperlink" Id="rId151" Target="https://phdpablo.github.io/cfa-power/Scripts\AnalysisScripts\05_model_comparison-preview.html#cell-fig-power-curve-fixed" TargetMode="External" /><Relationship Type="http://schemas.openxmlformats.org/officeDocument/2006/relationships/hyperlink" Id="rId153" Target="https://phdpablo.github.io/cfa-power/Scripts\AnalysisScripts\05_model_comparison-preview.html#cell-tbl-power-cutoff-fixed" TargetMode="External" /><Relationship Type="http://schemas.openxmlformats.org/officeDocument/2006/relationships/hyperlink" Id="rId160" Target="https://phdpablo.github.io/cfa-power/Scripts\AnalysisScripts\05_model_comparison-preview.html#cell-tbl-power-cutoff-traditional-fixed" TargetMode="External" /><Relationship Type="http://schemas.openxmlformats.org/officeDocument/2006/relationships/hyperlink" Id="rId168" Target="https://phdpablo.github.io/cfa-power/Scripts\AnalysisScripts\06_posthoc-preview.html#cell-fig-posthoc-plotpower" TargetMode="External" /><Relationship Type="http://schemas.openxmlformats.org/officeDocument/2006/relationships/hyperlink" Id="rId186" Target="https://phdpablo.github.io/cfa-power/Scripts\AnalysisScripts\06_posthoc-preview.html#cell-fig-posthoc-realmodel" TargetMode="External" /><Relationship Type="http://schemas.openxmlformats.org/officeDocument/2006/relationships/hyperlink" Id="rId178" Target="https://phdpablo.github.io/cfa-power/Scripts\AnalysisScripts\06_posthoc-preview.html#cell-fig-posthoc-rmsea" TargetMode="External" /><Relationship Type="http://schemas.openxmlformats.org/officeDocument/2006/relationships/hyperlink" Id="rId170" Target="https://phdpablo.github.io/cfa-power/Scripts\AnalysisScripts\06_posthoc-preview.html#cell-tbl-posthoc-power" TargetMode="External" /><Relationship Type="http://schemas.openxmlformats.org/officeDocument/2006/relationships/hyperlink" Id="rId181" Target="https://phdpablo.github.io/cfa-power/Scripts\AnalysisScripts\06_posthoc-preview.html#cell-tbl-posthoc-realmodel" TargetMode="External" /><Relationship Type="http://schemas.openxmlformats.org/officeDocument/2006/relationships/hyperlink" Id="rId173" Target="https://phdpablo.github.io/cfa-power/Scripts\AnalysisScripts\06_posthoc-preview.html#cell-tbl-posthoc-rmse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https://CRAN.R-project.org/package=simsem" TargetMode="External" /><Relationship Type="http://schemas.openxmlformats.org/officeDocument/2006/relationships/hyperlink" Id="rId213" Target="https://doi.org/10.1007/s11136-025-04115-6" TargetMode="External" /><Relationship Type="http://schemas.openxmlformats.org/officeDocument/2006/relationships/hyperlink" Id="rId207" Target="https://doi.org/10.1037/1082-989X.1.2.130" TargetMode="External" /><Relationship Type="http://schemas.openxmlformats.org/officeDocument/2006/relationships/hyperlink" Id="rId199" Target="https://doi.org/10.1037/met0000423" TargetMode="External" /><Relationship Type="http://schemas.openxmlformats.org/officeDocument/2006/relationships/hyperlink" Id="rId209" Target="https://doi.org/10.1037/met0000425" TargetMode="External" /><Relationship Type="http://schemas.openxmlformats.org/officeDocument/2006/relationships/hyperlink" Id="rId203" Target="https://doi.org/10.1037/met0000684" TargetMode="External" /><Relationship Type="http://schemas.openxmlformats.org/officeDocument/2006/relationships/hyperlink" Id="rId205" Target="https://doi.org/10.1037/pas0001122" TargetMode="External" /><Relationship Type="http://schemas.openxmlformats.org/officeDocument/2006/relationships/hyperlink" Id="rId190" Target="https://doi.org/10.1145/3685235.3685238" TargetMode="External" /><Relationship Type="http://schemas.openxmlformats.org/officeDocument/2006/relationships/hyperlink" Id="rId227" Target="https://doi.org/10.1177/0013164413495237" TargetMode="External" /><Relationship Type="http://schemas.openxmlformats.org/officeDocument/2006/relationships/hyperlink" Id="rId221" Target="https://doi.org/10.1177/0165025413515169" TargetMode="External" /><Relationship Type="http://schemas.openxmlformats.org/officeDocument/2006/relationships/hyperlink" Id="rId225" Target="https://doi.org/10.1177/2515245920918253" TargetMode="External" /><Relationship Type="http://schemas.openxmlformats.org/officeDocument/2006/relationships/hyperlink" Id="rId215" Target="https://doi.org/10.1207/S15328007SEM0904_8" TargetMode="External" /><Relationship Type="http://schemas.openxmlformats.org/officeDocument/2006/relationships/hyperlink" Id="rId219" Target="https://doi.org/10.1590/1982-7849rac2022210085.en" TargetMode="External" /><Relationship Type="http://schemas.openxmlformats.org/officeDocument/2006/relationships/hyperlink" Id="rId223" Target="https://doi.org/10.31234/osf.io/4n3uk" TargetMode="External" /><Relationship Type="http://schemas.openxmlformats.org/officeDocument/2006/relationships/hyperlink" Id="rId197" Target="https://doi.org/10.3758/s13428-020-01479-0/Published" TargetMode="External" /><Relationship Type="http://schemas.openxmlformats.org/officeDocument/2006/relationships/hyperlink" Id="rId211" Target="https://doi.org/10.3758/s13428-023-02254-7" TargetMode="External" /><Relationship Type="http://schemas.openxmlformats.org/officeDocument/2006/relationships/hyperlink" Id="rId192" Target="https://doi.org/10.3758/s13428-024-02396-2" TargetMode="External" /><Relationship Type="http://schemas.openxmlformats.org/officeDocument/2006/relationships/hyperlink" Id="rId195" Target="https://doi.org/10.3758/s13428-024-02507-z" TargetMode="External" /><Relationship Type="http://schemas.openxmlformats.org/officeDocument/2006/relationships/hyperlink" Id="rId201" Target="https://doi.org/10.4236/psych.2018.98126" TargetMode="External" /><Relationship Type="http://schemas.openxmlformats.org/officeDocument/2006/relationships/hyperlink" Id="rId46" Target="https://phdpablo.github.io/cfa-power/Scripts\AnalysisScripts\01_population_models-preview.html#cell-fig-diagram-analyzemodel" TargetMode="External" /><Relationship Type="http://schemas.openxmlformats.org/officeDocument/2006/relationships/hyperlink" Id="rId35" Target="https://phdpablo.github.io/cfa-power/Scripts\AnalysisScripts\01_population_models-preview.html#cell-fig-diagram-h1model" TargetMode="External" /><Relationship Type="http://schemas.openxmlformats.org/officeDocument/2006/relationships/hyperlink" Id="rId23" Target="https://phdpablo.github.io/cfa-power/Scripts\AnalysisScripts\01_population_models-preview.html#cell-fig-diagram-naivemodel" TargetMode="External" /><Relationship Type="http://schemas.openxmlformats.org/officeDocument/2006/relationships/hyperlink" Id="rId29" Target="https://phdpablo.github.io/cfa-power/Scripts\AnalysisScripts\01_population_models-preview.html#cell-fig-diagram-optmodel" TargetMode="External" /><Relationship Type="http://schemas.openxmlformats.org/officeDocument/2006/relationships/hyperlink" Id="rId17" Target="https://phdpablo.github.io/cfa-power/Scripts\AnalysisScripts\01_population_models-preview.html#cell-fig-diagram-popmodel" TargetMode="External" /><Relationship Type="http://schemas.openxmlformats.org/officeDocument/2006/relationships/hyperlink" Id="rId40" Target="https://phdpablo.github.io/cfa-power/Scripts\AnalysisScripts\01_population_models-preview.html#cell-tbl-pop-comparison" TargetMode="External" /><Relationship Type="http://schemas.openxmlformats.org/officeDocument/2006/relationships/hyperlink" Id="rId38" Target="https://phdpablo.github.io/cfa-power/Scripts\AnalysisScripts\01_population_models-preview.html#cell-tbl-pop-summary" TargetMode="External" /><Relationship Type="http://schemas.openxmlformats.org/officeDocument/2006/relationships/hyperlink" Id="rId64" Target="https://phdpablo.github.io/cfa-power/Scripts\AnalysisScripts\02_analytical_power-preview.html#cell-fig-apriori-popmodel" TargetMode="External" /><Relationship Type="http://schemas.openxmlformats.org/officeDocument/2006/relationships/hyperlink" Id="rId56" Target="https://phdpablo.github.io/cfa-power/Scripts\AnalysisScripts\02_analytical_power-preview.html#cell-fig-apriori-rmsea" TargetMode="External" /><Relationship Type="http://schemas.openxmlformats.org/officeDocument/2006/relationships/hyperlink" Id="rId77" Target="https://phdpablo.github.io/cfa-power/Scripts\AnalysisScripts\02_analytical_power-preview.html#cell-fig-power-popmodel" TargetMode="External" /><Relationship Type="http://schemas.openxmlformats.org/officeDocument/2006/relationships/hyperlink" Id="rId71" Target="https://phdpablo.github.io/cfa-power/Scripts\AnalysisScripts\02_analytical_power-preview.html#cell-fig-power-rmsea" TargetMode="External" /><Relationship Type="http://schemas.openxmlformats.org/officeDocument/2006/relationships/hyperlink" Id="rId81" Target="https://phdpablo.github.io/cfa-power/Scripts\AnalysisScripts\02_analytical_power-preview.html#cell-tbl-analytical-summary" TargetMode="External" /><Relationship Type="http://schemas.openxmlformats.org/officeDocument/2006/relationships/hyperlink" Id="rId59" Target="https://phdpablo.github.io/cfa-power/Scripts\AnalysisScripts\02_analytical_power-preview.html#cell-tbl-apriori-popmodel" TargetMode="External" /><Relationship Type="http://schemas.openxmlformats.org/officeDocument/2006/relationships/hyperlink" Id="rId51" Target="https://phdpablo.github.io/cfa-power/Scripts\AnalysisScripts\02_analytical_power-preview.html#cell-tbl-apriori-rmsea" TargetMode="External" /><Relationship Type="http://schemas.openxmlformats.org/officeDocument/2006/relationships/hyperlink" Id="rId96" Target="https://phdpablo.github.io/cfa-power/Scripts\AnalysisScripts\03_simulation_ideal-preview.html#cell-fig-fit-curve-ideal" TargetMode="External" /><Relationship Type="http://schemas.openxmlformats.org/officeDocument/2006/relationships/hyperlink" Id="rId104" Target="https://phdpablo.github.io/cfa-power/Scripts\AnalysisScripts\03_simulation_ideal-preview.html#cell-fig-fit-curve-traditional" TargetMode="External" /><Relationship Type="http://schemas.openxmlformats.org/officeDocument/2006/relationships/hyperlink" Id="rId91" Target="https://phdpablo.github.io/cfa-power/Scripts\AnalysisScripts\03_simulation_ideal-preview.html#cell-fig-power-curve-ideal" TargetMode="External" /><Relationship Type="http://schemas.openxmlformats.org/officeDocument/2006/relationships/hyperlink" Id="rId109" Target="https://phdpablo.github.io/cfa-power/Scripts\AnalysisScripts\03_simulation_ideal-preview.html#cell-tbl-param-estimate-ideal" TargetMode="External" /><Relationship Type="http://schemas.openxmlformats.org/officeDocument/2006/relationships/hyperlink" Id="rId98" Target="https://phdpablo.github.io/cfa-power/Scripts\AnalysisScripts\03_simulation_ideal-preview.html#cell-tbl-power-cutoff-ideal" TargetMode="External" /><Relationship Type="http://schemas.openxmlformats.org/officeDocument/2006/relationships/hyperlink" Id="rId106" Target="https://phdpablo.github.io/cfa-power/Scripts\AnalysisScripts\03_simulation_ideal-preview.html#cell-tbl-power-cutoff-traditional-ideal" TargetMode="External" /><Relationship Type="http://schemas.openxmlformats.org/officeDocument/2006/relationships/hyperlink" Id="rId111" Target="https://phdpablo.github.io/cfa-power/Scripts\AnalysisScripts\03_simulation_ideal-preview.html#cell-tbl-power-n-ideal" TargetMode="External" /><Relationship Type="http://schemas.openxmlformats.org/officeDocument/2006/relationships/hyperlink" Id="rId114" Target="https://phdpablo.github.io/cfa-power/Scripts\AnalysisScripts\03_simulation_ideal-preview.html#cell-tbl-power-n-naive" TargetMode="External" /><Relationship Type="http://schemas.openxmlformats.org/officeDocument/2006/relationships/hyperlink" Id="rId117" Target="https://phdpablo.github.io/cfa-power/Scripts\AnalysisScripts\03_simulation_ideal-preview.html#cell-tbl-power-n-opt" TargetMode="External" /><Relationship Type="http://schemas.openxmlformats.org/officeDocument/2006/relationships/hyperlink" Id="rId130" Target="https://phdpablo.github.io/cfa-power/Scripts\AnalysisScripts\04_simulation_robust-preview.html#cell-fig-fit-curve-missing" TargetMode="External" /><Relationship Type="http://schemas.openxmlformats.org/officeDocument/2006/relationships/hyperlink" Id="rId143" Target="https://phdpablo.github.io/cfa-power/Scripts\AnalysisScripts\04_simulation_robust-preview.html#cell-fig-fit-curve-nnorm" TargetMode="External" /><Relationship Type="http://schemas.openxmlformats.org/officeDocument/2006/relationships/hyperlink" Id="rId125" Target="https://phdpablo.github.io/cfa-power/Scripts\AnalysisScripts\04_simulation_robust-preview.html#cell-fig-power-curve-missing" TargetMode="External" /><Relationship Type="http://schemas.openxmlformats.org/officeDocument/2006/relationships/hyperlink" Id="rId138" Target="https://phdpablo.github.io/cfa-power/Scripts\AnalysisScripts\04_simulation_robust-preview.html#cell-fig-power-curve-nnorm" TargetMode="External" /><Relationship Type="http://schemas.openxmlformats.org/officeDocument/2006/relationships/hyperlink" Id="rId132" Target="https://phdpablo.github.io/cfa-power/Scripts\AnalysisScripts\04_simulation_robust-preview.html#cell-tbl-power-cutoff-missing" TargetMode="External" /><Relationship Type="http://schemas.openxmlformats.org/officeDocument/2006/relationships/hyperlink" Id="rId145" Target="https://phdpablo.github.io/cfa-power/Scripts\AnalysisScripts\04_simulation_robust-preview.html#cell-tbl-power-cutoff-nnorm" TargetMode="External" /><Relationship Type="http://schemas.openxmlformats.org/officeDocument/2006/relationships/hyperlink" Id="rId158" Target="https://phdpablo.github.io/cfa-power/Scripts\AnalysisScripts\05_model_comparison-preview.html#cell-fig-curve-fixed-traditional" TargetMode="External" /><Relationship Type="http://schemas.openxmlformats.org/officeDocument/2006/relationships/hyperlink" Id="rId151" Target="https://phdpablo.github.io/cfa-power/Scripts\AnalysisScripts\05_model_comparison-preview.html#cell-fig-power-curve-fixed" TargetMode="External" /><Relationship Type="http://schemas.openxmlformats.org/officeDocument/2006/relationships/hyperlink" Id="rId153" Target="https://phdpablo.github.io/cfa-power/Scripts\AnalysisScripts\05_model_comparison-preview.html#cell-tbl-power-cutoff-fixed" TargetMode="External" /><Relationship Type="http://schemas.openxmlformats.org/officeDocument/2006/relationships/hyperlink" Id="rId160" Target="https://phdpablo.github.io/cfa-power/Scripts\AnalysisScripts\05_model_comparison-preview.html#cell-tbl-power-cutoff-traditional-fixed" TargetMode="External" /><Relationship Type="http://schemas.openxmlformats.org/officeDocument/2006/relationships/hyperlink" Id="rId168" Target="https://phdpablo.github.io/cfa-power/Scripts\AnalysisScripts\06_posthoc-preview.html#cell-fig-posthoc-plotpower" TargetMode="External" /><Relationship Type="http://schemas.openxmlformats.org/officeDocument/2006/relationships/hyperlink" Id="rId186" Target="https://phdpablo.github.io/cfa-power/Scripts\AnalysisScripts\06_posthoc-preview.html#cell-fig-posthoc-realmodel" TargetMode="External" /><Relationship Type="http://schemas.openxmlformats.org/officeDocument/2006/relationships/hyperlink" Id="rId178" Target="https://phdpablo.github.io/cfa-power/Scripts\AnalysisScripts\06_posthoc-preview.html#cell-fig-posthoc-rmsea" TargetMode="External" /><Relationship Type="http://schemas.openxmlformats.org/officeDocument/2006/relationships/hyperlink" Id="rId170" Target="https://phdpablo.github.io/cfa-power/Scripts\AnalysisScripts\06_posthoc-preview.html#cell-tbl-posthoc-power" TargetMode="External" /><Relationship Type="http://schemas.openxmlformats.org/officeDocument/2006/relationships/hyperlink" Id="rId181" Target="https://phdpablo.github.io/cfa-power/Scripts\AnalysisScripts\06_posthoc-preview.html#cell-tbl-posthoc-realmodel" TargetMode="External" /><Relationship Type="http://schemas.openxmlformats.org/officeDocument/2006/relationships/hyperlink" Id="rId173" Target="https://phdpablo.github.io/cfa-power/Scripts\AnalysisScripts\06_posthoc-preview.html#cell-tbl-posthoc-rmse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Analysis for Confirmatory Factor Analysis: A Practical Tutorial</dc:title>
  <dc:creator>Pablo Rogers</dc:creator>
  <cp:keywords>Power Analysis, Confirmatory Factor Analysis, Structural Equation Modeling, Monte Carlo Simulation, semPower, simsem</cp:keywords>
  <dcterms:created xsi:type="dcterms:W3CDTF">2026-09-24T11:13:10Z</dcterms:created>
  <dcterms:modified xsi:type="dcterms:W3CDTF">2026-09-24T11:13:10Z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tutorial presents a pedagogical introduction to statistical power analysis in Confirmatory Factor Analysis (CFA). Proper sample size planning requires assessing the probability of detecting overall model misfit, either through analytical methods or simulation-based approaches. Standard analytical tools rely on asymptotic normal theory, which can break down under non-normality or missing data. This tutorial demonstrates both strategies — analytical (using semPower with lavaan syntax) and Monte Carlo simulation (using simsem) — side by side, using the WHOQOL-BREF four-factor model as a unifying case study. We illustrate how simulation complements analytical calculations by enabling researchers to evaluate parameter-level power, coverage, and relative bias under realistic scenarios involving model misspecification, missing data, and non-normal continuous indicators. We argue that analytical methods provide a fast and theoretically grounded starting point for sample size planning, while simulation-based approaches allow those conclusions to be stress-tested against the specific population structure, misspecification form, and data conditions of the study at hand.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csl">
    <vt:lpwstr>apa7ed.csl</vt:lpwstr>
  </property>
  <property fmtid="{D5CDD505-2E9C-101B-9397-08002B2CF9AE}" pid="11" name="date">
    <vt:lpwstr>2026-09-24</vt:lpwstr>
  </property>
  <property fmtid="{D5CDD505-2E9C-101B-9397-08002B2CF9AE}" pid="12" name="editor">
    <vt:lpwstr>source</vt:lpwstr>
  </property>
  <property fmtid="{D5CDD505-2E9C-101B-9397-08002B2CF9AE}" pid="13" name="engines">
    <vt:lpwstr/>
  </property>
  <property fmtid="{D5CDD505-2E9C-101B-9397-08002B2CF9AE}" pid="14" name="google-scholar">
    <vt:lpwstr>True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subtitle">
    <vt:lpwstr>Analytical and Simulation-Based Approaches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