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9.png" ContentType="image/png"/>
  <Override PartName="/word/media/rId47.png" ContentType="image/png"/>
  <Override PartName="/word/media/rId35.png" ContentType="image/png"/>
  <Override PartName="/word/media/rId21.png" ContentType="image/png"/>
  <Override PartName="/word/media/rId28.png" ContentType="image/png"/>
  <Override PartName="/word/media/rId14.png" ContentType="image/png"/>
  <Override PartName="/word/media/rId56.png" ContentType="image/png"/>
  <Override PartName="/word/media/rId72.png" ContentType="image/png"/>
  <Override PartName="/word/media/rId66.png" ContentType="image/png"/>
  <Override PartName="/word/media/rId91.png" ContentType="image/png"/>
  <Override PartName="/word/media/rId124.png" ContentType="image/png"/>
  <Override PartName="/word/media/rId137.png" ContentType="image/png"/>
  <Override PartName="/word/media/rId98.png" ContentType="image/png"/>
  <Override PartName="/word/media/rId86.png" ContentType="image/png"/>
  <Override PartName="/word/media/rId119.png" ContentType="image/png"/>
  <Override PartName="/word/media/rId132.png" ContentType="image/png"/>
  <Override PartName="/word/media/rId152.png" ContentType="image/png"/>
  <Override PartName="/word/media/rId165.png" ContentType="image/png"/>
  <Override PartName="/word/media/rId147.png" ContentType="image/png"/>
  <Override PartName="/word/media/rId160.png" ContentType="image/png"/>
  <Override PartName="/word/media/rId180.png" ContentType="image/png"/>
  <Override PartName="/word/media/rId173.png" ContentType="image/png"/>
  <Override PartName="/word/media/rId206.png" ContentType="image/png"/>
  <Override PartName="/word/media/rId190.png" ContentType="image/png"/>
  <Override PartName="/word/media/rId201.png" ContentType="image/png"/>
  <Override PartName="/word/media/rId1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Analysis for Confirmatory Factor Analysis: A Practical Tutorial</w:t>
      </w:r>
    </w:p>
    <w:p>
      <w:pPr>
        <w:pStyle w:val="Subtitle"/>
      </w:pPr>
      <w:r>
        <w:t xml:space="preserve">Analytical and Simulation-Based Approaches</w:t>
      </w:r>
    </w:p>
    <w:p>
      <w:pPr>
        <w:pStyle w:val="Author"/>
      </w:pPr>
      <w:r>
        <w:t xml:space="preserve">Pablo Rogers</w:t>
      </w:r>
    </w:p>
    <w:p>
      <w:pPr>
        <w:pStyle w:val="Date"/>
      </w:pPr>
      <w:r>
        <w:t xml:space="preserve">2026-04-21</w:t>
      </w:r>
    </w:p>
    <w:p>
      <w:pPr>
        <w:pStyle w:val="AbstractTitle"/>
      </w:pPr>
      <w:r>
        <w:t xml:space="preserve">Abstract</w:t>
      </w:r>
    </w:p>
    <w:p>
      <w:pPr>
        <w:pStyle w:val="Abstract"/>
      </w:pPr>
      <w:r>
        <w:t xml:space="preserve">This notebook presents a pedagogical tutorial on statistical power analysis in Confirmatory Factor Analysis (CFA). Proper planning of sample sizes requires assessing the power to detect overall model misfit by analytical approach or simulation-based approach. Standard analytical tools typically rely on asymptotic normal theory, which may break down when confronted with non-normality or missing data. This tutorial demonstrates both analytical strategies (using semPower and semTools) and Monte Carlo simulations (using simsem) side-by-side using the WHOQOL-BREF 4-factor model as a unifying case study. We illustrate how simulation can complement analytical calculations, allowing researchers to evaluate parameter-level power, coverage, and relative bias under realistic scenarios involving varying degrees of model misspecification, missing data, and continuous non-normal indicators. Ultimately, we argue that analytical methods are ideal for initial planning, while simulations constitute the gold standard for robust confirmation.</w:t>
      </w:r>
    </w:p>
    <w:bookmarkStart w:id="12" w:name="sec-intro"/>
    <w:p>
      <w:pPr>
        <w:pStyle w:val="Heading2"/>
      </w:pPr>
      <w:r>
        <w:t xml:space="preserve">1 Introduction</w:t>
      </w:r>
    </w:p>
    <w:p>
      <w:pPr>
        <w:pStyle w:val="FirstParagraph"/>
      </w:pPr>
      <w:r>
        <w:t xml:space="preserve">Statistical power in Confirmatory Factor Analysis (CFA) reflects the probability of correctly rejecting an incorrectly specified model, or detecting a parameter of interest when it is truly non-zero in the population</w:t>
      </w:r>
      <w:r>
        <w:t xml:space="preserve"> </w:t>
      </w:r>
      <w:r>
        <w:t xml:space="preserve">(MacCallum et al., 1996)</w:t>
      </w:r>
      <w:r>
        <w:t xml:space="preserve">. Power analysis is critical when planning a CFA study; however, researchers often rely on arbitrary rules of thumb mapping required sample sizes to the number of measured variables or parameters, rather than formal prospective calculations.</w:t>
      </w:r>
    </w:p>
    <w:p>
      <w:pPr>
        <w:pStyle w:val="BodyText"/>
      </w:pPr>
      <w:r>
        <w:t xml:space="preserve">There are two main paradigms to power analysis in CFA:</w:t>
      </w:r>
    </w:p>
    <w:p>
      <w:pPr>
        <w:pStyle w:val="Compact"/>
        <w:numPr>
          <w:ilvl w:val="0"/>
          <w:numId w:val="1001"/>
        </w:numPr>
      </w:pPr>
      <w:r>
        <w:rPr>
          <w:b/>
          <w:bCs/>
        </w:rPr>
        <w:t xml:space="preserve">Analytical methods</w:t>
      </w:r>
      <w:r>
        <w:t xml:space="preserve">: Rely on asymptotic statistical theory (e.g., the non-central</w:t>
      </w:r>
      <w:r>
        <w:t xml:space="preserve"> </w:t>
      </w:r>
      <m:oMath>
        <m:sSup>
          <m:e>
            <m:r>
              <m:t>χ</m:t>
            </m:r>
          </m:e>
          <m:sup>
            <m:r>
              <m:t>2</m:t>
            </m:r>
          </m:sup>
        </m:sSup>
      </m:oMath>
      <w:r>
        <w:t xml:space="preserve"> </w:t>
      </w:r>
      <w:r>
        <w:t xml:space="preserve">distribution) to calculate the required sample size for detecting global/local model misfit based on established fit indices like the RMSEA</w:t>
      </w:r>
      <w:r>
        <w:t xml:space="preserve"> </w:t>
      </w:r>
      <w:r>
        <w:t xml:space="preserve">(Moshagen &amp; Bader, 2024)</w:t>
      </w:r>
      <w:r>
        <w:t xml:space="preserve">.</w:t>
      </w:r>
    </w:p>
    <w:p>
      <w:pPr>
        <w:pStyle w:val="Compact"/>
        <w:numPr>
          <w:ilvl w:val="0"/>
          <w:numId w:val="1001"/>
        </w:numPr>
      </w:pPr>
      <w:r>
        <w:rPr>
          <w:b/>
          <w:bCs/>
        </w:rPr>
        <w:t xml:space="preserve">Simulation-based methods</w:t>
      </w:r>
      <w:r>
        <w:t xml:space="preserve">: Use Monte Carlo data generation to repeatedly establish how the model behaves under assumed population models, allowing the estimation of power, bias, and coverage for specific parameters or overall fit indices across varying sample sizes</w:t>
      </w:r>
      <w:r>
        <w:t xml:space="preserve"> </w:t>
      </w:r>
      <w:r>
        <w:t xml:space="preserve">(Pornprasertmanit et al., 2021)</w:t>
      </w:r>
      <w:r>
        <w:t xml:space="preserve">.</w:t>
      </w:r>
    </w:p>
    <w:p>
      <w:pPr>
        <w:pStyle w:val="FirstParagraph"/>
      </w:pPr>
      <w:r>
        <w:t xml:space="preserve">This document provides a comprehensive tutorial covering analytical methods using the</w:t>
      </w:r>
      <w:r>
        <w:t xml:space="preserve"> </w:t>
      </w:r>
      <w:r>
        <w:rPr>
          <w:rStyle w:val="VerbatimChar"/>
        </w:rPr>
        <w:t xml:space="preserve">semPower</w:t>
      </w:r>
      <w:r>
        <w:t xml:space="preserve"> </w:t>
      </w:r>
      <w:r>
        <w:t xml:space="preserve">package, and Monte Carlo methods using the</w:t>
      </w:r>
      <w:r>
        <w:t xml:space="preserve"> </w:t>
      </w:r>
      <w:r>
        <w:rPr>
          <w:rStyle w:val="VerbatimChar"/>
        </w:rPr>
        <w:t xml:space="preserve">simsem</w:t>
      </w:r>
      <w:r>
        <w:t xml:space="preserve"> </w:t>
      </w:r>
      <w:r>
        <w:t xml:space="preserve">package.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Reproducibility Note</w:t>
            </w:r>
          </w:p>
        </w:tc>
      </w:tr>
      <w:tr>
        <w:trPr>
          <w:cantSplit/>
        </w:trPr>
        <w:tc>
          <w:tcPr>
            <w:tcMar>
              <w:top w:w="108" w:type="dxa"/>
              <w:bottom w:w="108" w:type="dxa"/>
            </w:tcMar>
          </w:tcPr>
          <w:p>
            <w:pPr>
              <w:pStyle w:val="BodyText"/>
            </w:pPr>
            <w:pPr>
              <w:spacing w:before="16" w:after="16"/>
            </w:pPr>
            <w:r>
              <w:t xml:space="preserve">For local development and computational convenience across this pedagogical document, simulations use 1,500 replications. For production-quality applied research, you must increase this to 5,000 or more replications. The results throughout this tutorial will thus show more sampling variability than you would expect in a final study. All analytical and simulation parameters are centrally defined in</w:t>
            </w:r>
            <w:r>
              <w:t xml:space="preserve"> </w:t>
            </w:r>
            <w:r>
              <w:rPr>
                <w:rStyle w:val="VerbatimChar"/>
              </w:rPr>
              <w:t xml:space="preserve">helpers.R</w:t>
            </w:r>
            <w:r>
              <w:t xml:space="preserve"> </w:t>
            </w:r>
            <w:r>
              <w:t xml:space="preserve">and</w:t>
            </w:r>
            <w:r>
              <w:t xml:space="preserve"> </w:t>
            </w:r>
            <w:r>
              <w:rPr>
                <w:rStyle w:val="VerbatimChar"/>
              </w:rPr>
              <w:t xml:space="preserve">models.R</w:t>
            </w:r>
            <w:r>
              <w:t xml:space="preserve"> </w:t>
            </w:r>
            <w:r>
              <w:t xml:space="preserve">in</w:t>
            </w:r>
            <w:r>
              <w:t xml:space="preserve"> </w:t>
            </w:r>
            <w:r>
              <w:rPr>
                <w:rStyle w:val="VerbatimChar"/>
              </w:rPr>
              <w:t xml:space="preserve">Scripts/DataAppendixScripts</w:t>
            </w:r>
            <w:r>
              <w:t xml:space="preserve">.</w:t>
            </w:r>
          </w:p>
          <w:p/>
        </w:tc>
      </w:tr>
    </w:tbl>
    <w:bookmarkEnd w:id="12"/>
    <w:bookmarkStart w:id="53" w:name="sec-popmodel"/>
    <w:p>
      <w:pPr>
        <w:pStyle w:val="Heading2"/>
      </w:pPr>
      <w:r>
        <w:t xml:space="preserve">2 The Running Example: WHOQOL-BREF Population CFA Model</w:t>
      </w:r>
    </w:p>
    <w:p>
      <w:pPr>
        <w:pStyle w:val="FirstParagraph"/>
      </w:pPr>
      <w:r>
        <w:t xml:space="preserve">To anchor our power analyses, we use the World Health Organization Quality of Life-BREF (WHOQOL-BREF) 4-factor measurement instrument. Meaningful power analysis requires the definition of a population model—the</w:t>
      </w:r>
      <w:r>
        <w:t xml:space="preserve"> </w:t>
      </w:r>
      <w:r>
        <w:t xml:space="preserve">“true”</w:t>
      </w:r>
      <w:r>
        <w:t xml:space="preserve"> </w:t>
      </w:r>
      <w:r>
        <w:t xml:space="preserve">state of the world from which we believe our data are generated. By simulating from a meta-analytically derived population model rather than a purely arbitrary one, researchers can ensure that tests reflect realistic boundaries</w:t>
      </w:r>
      <w:r>
        <w:t xml:space="preserve"> </w:t>
      </w:r>
      <w:r>
        <w:t xml:space="preserve">(Lin &amp; Yao, 2022;</w:t>
      </w:r>
      <w:r>
        <w:t xml:space="preserve"> </w:t>
      </w:r>
      <w:r>
        <w:t xml:space="preserve">Mosqueira Taipe et al.</w:t>
      </w:r>
      <w:r>
        <w:t xml:space="preserve">, 2026)</w:t>
      </w:r>
      <w:r>
        <w:t xml:space="preserve">.</w:t>
      </w:r>
    </w:p>
    <w:p>
      <w:pPr>
        <w:pStyle w:val="BodyText"/>
      </w:pPr>
      <w:r>
        <w:t xml:space="preserve">We specify four population variations to perform sensitivity analyses:</w:t>
      </w:r>
    </w:p>
    <w:p>
      <w:pPr>
        <w:pStyle w:val="Compact"/>
        <w:numPr>
          <w:ilvl w:val="0"/>
          <w:numId w:val="1002"/>
        </w:numPr>
      </w:pPr>
      <w:r>
        <w:rPr>
          <w:b/>
          <w:bCs/>
        </w:rPr>
        <w:t xml:space="preserve">Meta-analytic</w:t>
      </w:r>
      <w:r>
        <w:t xml:space="preserve">: Loadings and residual variances closely matching</w:t>
      </w:r>
      <w:r>
        <w:t xml:space="preserve"> </w:t>
      </w:r>
      <w:r>
        <w:t xml:space="preserve">Lin &amp; Yao (2022)</w:t>
      </w:r>
      <w:r>
        <w:t xml:space="preserve">.</w:t>
      </w:r>
    </w:p>
    <w:p>
      <w:pPr>
        <w:pStyle w:val="Compact"/>
        <w:numPr>
          <w:ilvl w:val="0"/>
          <w:numId w:val="1002"/>
        </w:numPr>
      </w:pPr>
      <w:r>
        <w:rPr>
          <w:b/>
          <w:bCs/>
        </w:rPr>
        <w:t xml:space="preserve">Naive</w:t>
      </w:r>
      <w:r>
        <w:t xml:space="preserve">: A pessimistic baseline where factor loadings are based on the lowest reported reliability values per domain</w:t>
      </w:r>
      <w:r>
        <w:t xml:space="preserve"> </w:t>
      </w:r>
      <w:r>
        <w:t xml:space="preserve">(</w:t>
      </w:r>
      <w:r>
        <w:t xml:space="preserve">Mosqueira Taipe et al.</w:t>
      </w:r>
      <w:r>
        <w:t xml:space="preserve">, 2026)</w:t>
      </w:r>
      <w:r>
        <w:t xml:space="preserve">.</w:t>
      </w:r>
    </w:p>
    <w:p>
      <w:pPr>
        <w:pStyle w:val="Compact"/>
        <w:numPr>
          <w:ilvl w:val="0"/>
          <w:numId w:val="1002"/>
        </w:numPr>
      </w:pPr>
      <w:r>
        <w:rPr>
          <w:b/>
          <w:bCs/>
        </w:rPr>
        <w:t xml:space="preserve">Optimistic</w:t>
      </w:r>
      <w:r>
        <w:t xml:space="preserve">: A best-case scenario where factor loadings are based on the highest reported reliability values per domain</w:t>
      </w:r>
      <w:r>
        <w:t xml:space="preserve"> </w:t>
      </w:r>
      <w:r>
        <w:t xml:space="preserve">(</w:t>
      </w:r>
      <w:r>
        <w:t xml:space="preserve">Mosqueira Taipe et al.</w:t>
      </w:r>
      <w:r>
        <w:t xml:space="preserve">, 2026)</w:t>
      </w:r>
      <w:r>
        <w:t xml:space="preserve">.</w:t>
      </w:r>
    </w:p>
    <w:p>
      <w:pPr>
        <w:pStyle w:val="Compact"/>
        <w:numPr>
          <w:ilvl w:val="0"/>
          <w:numId w:val="1002"/>
        </w:numPr>
      </w:pPr>
      <w:r>
        <w:rPr>
          <w:b/>
          <w:bCs/>
        </w:rPr>
        <w:t xml:space="preserve">H1</w:t>
      </w:r>
      <w:r>
        <w:t xml:space="preserve">: A misspecified model with three cross-loadings based on the meta-EFA results from</w:t>
      </w:r>
      <w:r>
        <w:t xml:space="preserve"> </w:t>
      </w:r>
      <w:r>
        <w:t xml:space="preserve">Lin &amp; Yao (2022)</w:t>
      </w:r>
      <w:r>
        <w:t xml:space="preserve">.</w:t>
      </w:r>
    </w:p>
    <w:bookmarkStart w:id="19" w:name="population-model"/>
    <w:p>
      <w:pPr>
        <w:pStyle w:val="Heading3"/>
      </w:pPr>
      <w:r>
        <w:t xml:space="preserve">2.1 Population model</w:t>
      </w:r>
    </w:p>
    <w:p>
      <w:pPr>
        <w:pStyle w:val="FirstParagraph"/>
      </w:pPr>
      <w:r>
        <w:t xml:space="preserve">The primary population model represents a meta-analytic scenario based on</w:t>
      </w:r>
      <w:r>
        <w:t xml:space="preserve"> </w:t>
      </w:r>
      <w:r>
        <w:t xml:space="preserve">Lin &amp; Yao (2022)</w:t>
      </w:r>
      <w:r>
        <w:t xml:space="preserve">. Factor loadings (</w:t>
      </w:r>
      <m:oMath>
        <m:r>
          <m:t>λ</m:t>
        </m:r>
      </m:oMath>
      <w:r>
        <w:t xml:space="preserve">) match the pooled empirical Exploratory Factor Analysis (EFA) estimates across 16 international studies. Characteristics:</w:t>
      </w:r>
    </w:p>
    <w:p>
      <w:pPr>
        <w:pStyle w:val="Compact"/>
        <w:numPr>
          <w:ilvl w:val="0"/>
          <w:numId w:val="1003"/>
        </w:numPr>
      </w:pPr>
      <w:r>
        <w:rPr>
          <w:b/>
          <w:bCs/>
        </w:rPr>
        <w:t xml:space="preserve">Interfactor correlations (</w:t>
      </w:r>
      <m:oMath>
        <m:r>
          <m:t>ϕ</m:t>
        </m:r>
      </m:oMath>
      <w:r>
        <w:rPr>
          <w:b/>
          <w:bCs/>
        </w:rPr>
        <w:t xml:space="preserve">)</w:t>
      </w:r>
      <w:r>
        <w:t xml:space="preserve">: Set to</w:t>
      </w:r>
      <w:r>
        <w:t xml:space="preserve"> </w:t>
      </w:r>
      <m:oMath>
        <m:r>
          <m:t>0.20</m:t>
        </m:r>
      </m:oMath>
      <w:r>
        <w:t xml:space="preserve"> </w:t>
      </w:r>
      <w:r>
        <w:t xml:space="preserve">(conservative midpoint of the reported range</w:t>
      </w:r>
      <w:r>
        <w:t xml:space="preserve"> </w:t>
      </w:r>
      <m:oMath>
        <m:r>
          <m:t>0.08</m:t>
        </m:r>
      </m:oMath>
      <w:r>
        <w:t xml:space="preserve">–</w:t>
      </w:r>
      <m:oMath>
        <m:r>
          <m:t>0.31</m:t>
        </m:r>
      </m:oMath>
      <w:r>
        <w:t xml:space="preserve">).</w:t>
      </w:r>
    </w:p>
    <w:p>
      <w:pPr>
        <w:pStyle w:val="Compact"/>
        <w:numPr>
          <w:ilvl w:val="0"/>
          <w:numId w:val="1003"/>
        </w:numPr>
      </w:pPr>
      <w:r>
        <w:rPr>
          <w:b/>
          <w:bCs/>
        </w:rPr>
        <w:t xml:space="preserve">Residual covariance</w:t>
      </w:r>
      <w:r>
        <w:t xml:space="preserve">:</w:t>
      </w:r>
      <w:r>
        <w:t xml:space="preserve"> </w:t>
      </w:r>
      <m:oMath>
        <m:r>
          <m:t>Q</m:t>
        </m:r>
        <m:r>
          <m:t>3</m:t>
        </m:r>
      </m:oMath>
      <w:r>
        <w:t xml:space="preserve"> </w:t>
      </w:r>
      <w:r>
        <w:t xml:space="preserve">and</w:t>
      </w:r>
      <w:r>
        <w:t xml:space="preserve"> </w:t>
      </w:r>
      <m:oMath>
        <m:r>
          <m:t>Q</m:t>
        </m:r>
        <m:r>
          <m:t>4</m:t>
        </m:r>
      </m:oMath>
      <w:r>
        <w:t xml:space="preserve"> </w:t>
      </w:r>
      <w:r>
        <w:t xml:space="preserve">share a residual covariance (</w:t>
      </w:r>
      <m:oMath>
        <m:r>
          <m:rPr>
            <m:nor/>
            <m:sty m:val="p"/>
          </m:rPr>
          <m:t>r</m:t>
        </m:r>
        <m:r>
          <m:rPr>
            <m:sty m:val="p"/>
          </m:rPr>
          <m:t>(</m:t>
        </m:r>
        <m:r>
          <m:t>Q</m:t>
        </m:r>
        <m:r>
          <m:t>3</m:t>
        </m:r>
        <m:r>
          <m:rPr>
            <m:sty m:val="p"/>
          </m:rPr>
          <m:t>,</m:t>
        </m:r>
        <m:r>
          <m:t>Q</m:t>
        </m:r>
        <m:r>
          <m:t>4</m:t>
        </m:r>
        <m:r>
          <m:rPr>
            <m:sty m:val="p"/>
          </m:rPr>
          <m:t>|</m:t>
        </m:r>
        <m:r>
          <m:rPr>
            <m:nor/>
            <m:sty m:val="p"/>
          </m:rPr>
          <m:t>physical</m:t>
        </m:r>
        <m:r>
          <m:rPr>
            <m:sty m:val="p"/>
          </m:rPr>
          <m:t>)</m:t>
        </m:r>
        <m:r>
          <m:rPr>
            <m:sty m:val="p"/>
          </m:rPr>
          <m:t>=</m:t>
        </m:r>
        <m:r>
          <m:t>0.30</m:t>
        </m:r>
      </m:oMath>
      <w:r>
        <w:t xml:space="preserve">), maintaining the subfactor signal observed in the EFA 5-factor solution</w:t>
      </w:r>
      <w:r>
        <w:t xml:space="preserve"> </w:t>
      </w:r>
      <w:r>
        <w:t xml:space="preserve">(Lin &amp; Yao, 2022)</w:t>
      </w:r>
      <w:r>
        <w:t xml:space="preserve">.</w:t>
      </w:r>
    </w:p>
    <w:p>
      <w:pPr>
        <w:pStyle w:val="Compact"/>
        <w:numPr>
          <w:ilvl w:val="0"/>
          <w:numId w:val="1003"/>
        </w:numPr>
      </w:pPr>
      <w:r>
        <w:rPr>
          <w:b/>
          <w:bCs/>
        </w:rPr>
        <w:t xml:space="preserve">Factor structure</w:t>
      </w:r>
      <w:r>
        <w:t xml:space="preserve">: Item</w:t>
      </w:r>
      <w:r>
        <w:t xml:space="preserve"> </w:t>
      </w:r>
      <m:oMath>
        <m:r>
          <m:t>Q</m:t>
        </m:r>
        <m:r>
          <m:t>8</m:t>
        </m:r>
      </m:oMath>
      <w:r>
        <w:t xml:space="preserve"> </w:t>
      </w:r>
      <w:r>
        <w:t xml:space="preserve">is maintained in the environment domain despite having a higher cross-loading on the psychological domain in the meta-EFA (</w:t>
      </w:r>
      <m:oMath>
        <m:sSub>
          <m:e>
            <m:r>
              <m:t>λ</m:t>
            </m:r>
          </m:e>
          <m:sub>
            <m:r>
              <m:rPr>
                <m:nor/>
                <m:sty m:val="p"/>
              </m:rPr>
              <m:t>psy</m:t>
            </m:r>
          </m:sub>
        </m:sSub>
        <m:r>
          <m:rPr>
            <m:sty m:val="p"/>
          </m:rPr>
          <m:t>&gt;</m:t>
        </m:r>
        <m:sSub>
          <m:e>
            <m:r>
              <m:t>λ</m:t>
            </m:r>
          </m:e>
          <m:sub>
            <m:r>
              <m:rPr>
                <m:nor/>
                <m:sty m:val="p"/>
              </m:rPr>
              <m:t>env</m:t>
            </m:r>
          </m:sub>
        </m:sSub>
      </m:oMath>
      <w:r>
        <w:t xml:space="preserve">). This represents the null hypothesis (</w:t>
      </w:r>
      <m:oMath>
        <m:sSub>
          <m:e>
            <m:r>
              <m:t>H</m:t>
            </m:r>
          </m:e>
          <m:sub>
            <m:r>
              <m:t>0</m:t>
            </m:r>
          </m:sub>
        </m:sSub>
      </m:oMath>
      <w:r>
        <w:t xml:space="preserve">) version of the population, strictly maintaining the original 4-factor structure without cross-loadings.</w:t>
      </w:r>
    </w:p>
    <w:p>
      <w:pPr>
        <w:pStyle w:val="FirstParagraph"/>
      </w:pPr>
      <w:r>
        <w:t xml:space="preserve">The</w:t>
      </w:r>
      <w:r>
        <w:t xml:space="preserve"> </w:t>
      </w:r>
      <w:r>
        <w:rPr>
          <w:rStyle w:val="VerbatimChar"/>
        </w:rPr>
        <w:t xml:space="preserve">lavaan</w:t>
      </w:r>
      <w:r>
        <w:t xml:space="preserve"> </w:t>
      </w:r>
      <w:r>
        <w:t xml:space="preserve">syntax for this population model is shown below, and</w:t>
      </w:r>
      <w:r>
        <w:t xml:space="preserve"> </w:t>
      </w:r>
      <w:hyperlink w:anchor="fig-diagram-popmodel">
        <w:r>
          <w:rPr>
            <w:rStyle w:val="Hyperlink"/>
          </w:rPr>
          <w:t xml:space="preserve">Figure 1</w:t>
        </w:r>
      </w:hyperlink>
      <w:r>
        <w:t xml:space="preserve"> </w:t>
      </w:r>
      <w:r>
        <w:t xml:space="preserve">provides a visual representation of the model structure.</w:t>
      </w:r>
    </w:p>
    <w:p>
      <w:pPr>
        <w:pStyle w:val="SourceCode"/>
      </w:pPr>
      <w:r>
        <w:br/>
      </w:r>
      <w:r>
        <w:rPr>
          <w:rStyle w:val="VerbatimChar"/>
        </w:rPr>
        <w:t xml:space="preserve">  # ── Factor loadings: empirical estimates from Lin &amp; Yao (2022) ────────────</w:t>
      </w:r>
      <w:r>
        <w:br/>
      </w:r>
      <w:r>
        <w:rPr>
          <w:rStyle w:val="VerbatimChar"/>
        </w:rPr>
        <w:t xml:space="preserve">  psycho      =~ 0.92*Q5  + 0.81*Q6  + 0.94*Q7  +</w:t>
      </w:r>
      <w:r>
        <w:br/>
      </w:r>
      <w:r>
        <w:rPr>
          <w:rStyle w:val="VerbatimChar"/>
        </w:rPr>
        <w:t xml:space="preserve">                 0.73*Q11 + 0.75*Q19 + 0.63*Q26</w:t>
      </w:r>
      <w:r>
        <w:br/>
      </w:r>
      <w:r>
        <w:br/>
      </w:r>
      <w:r>
        <w:rPr>
          <w:rStyle w:val="VerbatimChar"/>
        </w:rPr>
        <w:t xml:space="preserve">  physical    =~ 0.84*Q3  + 0.83*Q4  + 0.63*Q10 +</w:t>
      </w:r>
      <w:r>
        <w:br/>
      </w:r>
      <w:r>
        <w:rPr>
          <w:rStyle w:val="VerbatimChar"/>
        </w:rPr>
        <w:t xml:space="preserve">                 0.71*Q15 + 0.68*Q16 + 0.89*Q17  + 0.61*Q18</w:t>
      </w:r>
      <w:r>
        <w:br/>
      </w:r>
      <w:r>
        <w:br/>
      </w:r>
      <w:r>
        <w:rPr>
          <w:rStyle w:val="VerbatimChar"/>
        </w:rPr>
        <w:t xml:space="preserve">  social      =~ 0.94*Q20 + 0.89*Q21 + 0.78*Q22</w:t>
      </w:r>
      <w:r>
        <w:br/>
      </w:r>
      <w:r>
        <w:br/>
      </w:r>
      <w:r>
        <w:rPr>
          <w:rStyle w:val="VerbatimChar"/>
        </w:rPr>
        <w:t xml:space="preserve">  environment =~ 0.37*Q8  + 0.49*Q9  + 0.79*Q12 + 0.81*Q13 +</w:t>
      </w:r>
      <w:r>
        <w:br/>
      </w:r>
      <w:r>
        <w:rPr>
          <w:rStyle w:val="VerbatimChar"/>
        </w:rPr>
        <w:t xml:space="preserve">                 0.77*Q14 + 0.75*Q23  + 0.64*Q24 + 0.73*Q25</w:t>
      </w:r>
      <w:r>
        <w:br/>
      </w:r>
      <w:r>
        <w:br/>
      </w:r>
      <w:r>
        <w:rPr>
          <w:rStyle w:val="VerbatimChar"/>
        </w:rPr>
        <w:t xml:space="preserve">  # ── Residual covariance Q3~~Q4 ────────────────────────────────────────────</w:t>
      </w:r>
      <w:r>
        <w:br/>
      </w:r>
      <w:r>
        <w:rPr>
          <w:rStyle w:val="VerbatimChar"/>
        </w:rPr>
        <w:t xml:space="preserve">  # r(Q3,Q4|physical) = 0.30 (method bias / conceptual proximity)</w:t>
      </w:r>
      <w:r>
        <w:br/>
      </w:r>
      <w:r>
        <w:rPr>
          <w:rStyle w:val="VerbatimChar"/>
        </w:rPr>
        <w:t xml:space="preserve">  # cov = 0.30 × sqrt(1-0.84²) × sqrt(1-0.83²) = 0.0908</w:t>
      </w:r>
      <w:r>
        <w:br/>
      </w:r>
      <w:r>
        <w:rPr>
          <w:rStyle w:val="VerbatimChar"/>
        </w:rPr>
        <w:t xml:space="preserve">  Q4 ~~ 0.0908*Q3</w:t>
      </w:r>
      <w:r>
        <w:br/>
      </w:r>
      <w:r>
        <w:br/>
      </w:r>
      <w:r>
        <w:rPr>
          <w:rStyle w:val="VerbatimChar"/>
        </w:rPr>
        <w:t xml:space="preserve">  # ── Factor variances (=1) and interfactor correlations ────────────────────</w:t>
      </w:r>
      <w:r>
        <w:br/>
      </w:r>
      <w:r>
        <w:rPr>
          <w:rStyle w:val="VerbatimChar"/>
        </w:rPr>
        <w:t xml:space="preserve">  # Range reported in Lin &amp; Yao (2022): 0.08 to 0.31</w:t>
      </w:r>
      <w:r>
        <w:br/>
      </w:r>
      <w:r>
        <w:rPr>
          <w:rStyle w:val="VerbatimChar"/>
        </w:rPr>
        <w:t xml:space="preserve">  # Conservative midpoint = 0.20 for all pairs</w:t>
      </w:r>
      <w:r>
        <w:br/>
      </w:r>
      <w:r>
        <w:rPr>
          <w:rStyle w:val="VerbatimChar"/>
        </w:rPr>
        <w:t xml:space="preserve">  psycho      ~~ 1*psycho      + 0.2*physical + 0.2*social + 0.2*environment</w:t>
      </w:r>
      <w:r>
        <w:br/>
      </w:r>
      <w:r>
        <w:rPr>
          <w:rStyle w:val="VerbatimChar"/>
        </w:rPr>
        <w:t xml:space="preserve">  physical    ~~ 1*physical    + 0.2*social   + 0.2*environment</w:t>
      </w:r>
      <w:r>
        <w:br/>
      </w:r>
      <w:r>
        <w:rPr>
          <w:rStyle w:val="VerbatimChar"/>
        </w:rPr>
        <w:t xml:space="preserve">  social      ~~ 1*social      + 0.2*environment</w:t>
      </w:r>
      <w:r>
        <w:br/>
      </w:r>
      <w:r>
        <w:rPr>
          <w:rStyle w:val="VerbatimChar"/>
        </w:rPr>
        <w:t xml:space="preserve">  environment ~~ 1*environment</w:t>
      </w:r>
      <w:r>
        <w:br/>
      </w:r>
      <w:r>
        <w:br/>
      </w:r>
      <w:r>
        <w:rPr>
          <w:rStyle w:val="VerbatimChar"/>
        </w:rPr>
        <w:t xml:space="preserve">  # ── Residual variances: θ = 1 − λ² (standardised indicators) ─────────────</w:t>
      </w:r>
      <w:r>
        <w:br/>
      </w:r>
      <w:r>
        <w:rPr>
          <w:rStyle w:val="VerbatimChar"/>
        </w:rPr>
        <w:t xml:space="preserve">  Q5  ~~ 0.1536*Q5    # 1 − 0.92²</w:t>
      </w:r>
      <w:r>
        <w:br/>
      </w:r>
      <w:r>
        <w:rPr>
          <w:rStyle w:val="VerbatimChar"/>
        </w:rPr>
        <w:t xml:space="preserve">  Q6  ~~ 0.3439*Q6    # 1 − 0.81²</w:t>
      </w:r>
      <w:r>
        <w:br/>
      </w:r>
      <w:r>
        <w:rPr>
          <w:rStyle w:val="VerbatimChar"/>
        </w:rPr>
        <w:t xml:space="preserve">  Q7  ~~ 0.1164*Q7    # 1 − 0.94²</w:t>
      </w:r>
      <w:r>
        <w:br/>
      </w:r>
      <w:r>
        <w:rPr>
          <w:rStyle w:val="VerbatimChar"/>
        </w:rPr>
        <w:t xml:space="preserve">  Q11 ~~ 0.4671*Q11   # 1 − 0.73²</w:t>
      </w:r>
      <w:r>
        <w:br/>
      </w:r>
      <w:r>
        <w:rPr>
          <w:rStyle w:val="VerbatimChar"/>
        </w:rPr>
        <w:t xml:space="preserve">  Q19 ~~ 0.4375*Q19   # 1 − 0.75²</w:t>
      </w:r>
      <w:r>
        <w:br/>
      </w:r>
      <w:r>
        <w:rPr>
          <w:rStyle w:val="VerbatimChar"/>
        </w:rPr>
        <w:t xml:space="preserve">  Q26 ~~ 0.6031*Q26   # 1 − 0.63²</w:t>
      </w:r>
      <w:r>
        <w:br/>
      </w:r>
      <w:r>
        <w:rPr>
          <w:rStyle w:val="VerbatimChar"/>
        </w:rPr>
        <w:t xml:space="preserve">  Q3  ~~ 0.2944*Q3    # 1 − 0.84²</w:t>
      </w:r>
      <w:r>
        <w:br/>
      </w:r>
      <w:r>
        <w:rPr>
          <w:rStyle w:val="VerbatimChar"/>
        </w:rPr>
        <w:t xml:space="preserve">  Q4  ~~ 0.3111*Q4    # 1 − 0.83²</w:t>
      </w:r>
      <w:r>
        <w:br/>
      </w:r>
      <w:r>
        <w:rPr>
          <w:rStyle w:val="VerbatimChar"/>
        </w:rPr>
        <w:t xml:space="preserve">  Q10 ~~ 0.6031*Q10   # 1 − 0.63²</w:t>
      </w:r>
      <w:r>
        <w:br/>
      </w:r>
      <w:r>
        <w:rPr>
          <w:rStyle w:val="VerbatimChar"/>
        </w:rPr>
        <w:t xml:space="preserve">  Q15 ~~ 0.4959*Q15   # 1 − 0.71²</w:t>
      </w:r>
      <w:r>
        <w:br/>
      </w:r>
      <w:r>
        <w:rPr>
          <w:rStyle w:val="VerbatimChar"/>
        </w:rPr>
        <w:t xml:space="preserve">  Q16 ~~ 0.5376*Q16   # 1 − 0.68²</w:t>
      </w:r>
      <w:r>
        <w:br/>
      </w:r>
      <w:r>
        <w:rPr>
          <w:rStyle w:val="VerbatimChar"/>
        </w:rPr>
        <w:t xml:space="preserve">  Q17 ~~ 0.2079*Q17   # 1 − 0.89²</w:t>
      </w:r>
      <w:r>
        <w:br/>
      </w:r>
      <w:r>
        <w:rPr>
          <w:rStyle w:val="VerbatimChar"/>
        </w:rPr>
        <w:t xml:space="preserve">  Q18 ~~ 0.6279*Q18   # 1 − 0.61²</w:t>
      </w:r>
      <w:r>
        <w:br/>
      </w:r>
      <w:r>
        <w:rPr>
          <w:rStyle w:val="VerbatimChar"/>
        </w:rPr>
        <w:t xml:space="preserve">  Q20 ~~ 0.1164*Q20   # 1 − 0.94²</w:t>
      </w:r>
      <w:r>
        <w:br/>
      </w:r>
      <w:r>
        <w:rPr>
          <w:rStyle w:val="VerbatimChar"/>
        </w:rPr>
        <w:t xml:space="preserve">  Q21 ~~ 0.2079*Q21   # 1 − 0.89²</w:t>
      </w:r>
      <w:r>
        <w:br/>
      </w:r>
      <w:r>
        <w:rPr>
          <w:rStyle w:val="VerbatimChar"/>
        </w:rPr>
        <w:t xml:space="preserve">  Q22 ~~ 0.3916*Q22   # 1 − 0.78²</w:t>
      </w:r>
      <w:r>
        <w:br/>
      </w:r>
      <w:r>
        <w:rPr>
          <w:rStyle w:val="VerbatimChar"/>
        </w:rPr>
        <w:t xml:space="preserve">  Q8  ~~ 0.8631*Q8    # 1 − 0.37² — lowest loading; bridge item (betweenness=40.5)</w:t>
      </w:r>
      <w:r>
        <w:br/>
      </w:r>
      <w:r>
        <w:rPr>
          <w:rStyle w:val="VerbatimChar"/>
        </w:rPr>
        <w:t xml:space="preserve">  Q9  ~~ 0.7599*Q9    # 1 − 0.49²</w:t>
      </w:r>
      <w:r>
        <w:br/>
      </w:r>
      <w:r>
        <w:rPr>
          <w:rStyle w:val="VerbatimChar"/>
        </w:rPr>
        <w:t xml:space="preserve">  Q12 ~~ 0.3759*Q12   # 1 − 0.79²</w:t>
      </w:r>
      <w:r>
        <w:br/>
      </w:r>
      <w:r>
        <w:rPr>
          <w:rStyle w:val="VerbatimChar"/>
        </w:rPr>
        <w:t xml:space="preserve">  Q13 ~~ 0.3439*Q13   # 1 − 0.81²</w:t>
      </w:r>
      <w:r>
        <w:br/>
      </w:r>
      <w:r>
        <w:rPr>
          <w:rStyle w:val="VerbatimChar"/>
        </w:rPr>
        <w:t xml:space="preserve">  Q14 ~~ 0.4071*Q14   # 1 − 0.77²</w:t>
      </w:r>
      <w:r>
        <w:br/>
      </w:r>
      <w:r>
        <w:rPr>
          <w:rStyle w:val="VerbatimChar"/>
        </w:rPr>
        <w:t xml:space="preserve">  Q23 ~~ 0.4375*Q23   # 1 − 0.75²</w:t>
      </w:r>
      <w:r>
        <w:br/>
      </w:r>
      <w:r>
        <w:rPr>
          <w:rStyle w:val="VerbatimChar"/>
        </w:rPr>
        <w:t xml:space="preserve">  Q24 ~~ 0.5904*Q24   # 1 − 0.64²</w:t>
      </w:r>
      <w:r>
        <w:br/>
      </w:r>
      <w:r>
        <w:rPr>
          <w:rStyle w:val="VerbatimChar"/>
        </w:rPr>
        <w:t xml:space="preserve">  Q25 ~~ 0.4671*Q25   # 1 − 0.73²</w:t>
      </w:r>
    </w:p>
    <w:p>
      <w:pPr>
        <w:pStyle w:val="FirstParagraph"/>
      </w:pPr>
      <w:r>
        <w:rPr>
          <w:vertAlign w:val="subscript"/>
        </w:rPr>
        <w:t xml:space="preserve">Source:</w:t>
      </w:r>
      <w:r>
        <w:rPr>
          <w:vertAlign w:val="subscript"/>
        </w:rPr>
        <w:t xml:space="preserve"> </w:t>
      </w:r>
      <w:hyperlink r:id="rId13">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17" w:name="fig-diagram-popmodel"/>
          <w:p>
            <w:pPr>
              <w:pStyle w:val="Compact"/>
              <w:jc w:val="center"/>
            </w:pPr>
            <w:r>
              <w:drawing>
                <wp:inline>
                  <wp:extent cx="5334000" cy="4667249"/>
                  <wp:effectExtent b="0" l="0" r="0" t="0"/>
                  <wp:docPr descr="" title="" id="15" name="Picture"/>
                  <a:graphic>
                    <a:graphicData uri="http://schemas.openxmlformats.org/drawingml/2006/picture">
                      <pic:pic>
                        <pic:nvPicPr>
                          <pic:cNvPr descr="index_files/figure-docx/Scripts-AnalysisScripts-01_population_models-fig-diagram-popmodel-output-1.png" id="16" name="Picture"/>
                          <pic:cNvPicPr>
                            <a:picLocks noChangeArrowheads="1" noChangeAspect="1"/>
                          </pic:cNvPicPr>
                        </pic:nvPicPr>
                        <pic:blipFill>
                          <a:blip r:embed="rId14"/>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Path diagram of the popmodel</w:t>
            </w:r>
          </w:p>
          <w:bookmarkEnd w:id="17"/>
        </w:tc>
      </w:tr>
    </w:tbl>
    <w:p>
      <w:pPr>
        <w:pStyle w:val="BodyText"/>
      </w:pPr>
      <w:r>
        <w:rPr>
          <w:vertAlign w:val="subscript"/>
        </w:rPr>
        <w:t xml:space="preserve">Source:</w:t>
      </w:r>
      <w:r>
        <w:rPr>
          <w:vertAlign w:val="subscript"/>
        </w:rPr>
        <w:t xml:space="preserve"> </w:t>
      </w:r>
      <w:hyperlink r:id="rId18">
        <w:r>
          <w:rPr>
            <w:rStyle w:val="Hyperlink"/>
            <w:vertAlign w:val="subscript"/>
          </w:rPr>
          <w:t xml:space="preserve">Population Models</w:t>
        </w:r>
      </w:hyperlink>
    </w:p>
    <w:bookmarkEnd w:id="19"/>
    <w:bookmarkStart w:id="26" w:name="naive-model"/>
    <w:p>
      <w:pPr>
        <w:pStyle w:val="Heading3"/>
      </w:pPr>
      <w:r>
        <w:t xml:space="preserve">2.2 Naive model</w:t>
      </w:r>
    </w:p>
    <w:p>
      <w:pPr>
        <w:pStyle w:val="FirstParagraph"/>
      </w:pPr>
      <w:r>
        <w:t xml:space="preserve">This model defines a pessimistic, empirically grounded scenario. We apply the Spearman-Brown prediction formula to derive tau-equivalent factor loadings based on the lowest reported Cronbach’s alpha (</w:t>
      </w:r>
      <m:oMath>
        <m:r>
          <m:t>α</m:t>
        </m:r>
      </m:oMath>
      <w:r>
        <w:t xml:space="preserve">) values.</w:t>
      </w:r>
    </w:p>
    <w:p>
      <w:pPr>
        <w:pStyle w:val="Compact"/>
        <w:numPr>
          <w:ilvl w:val="0"/>
          <w:numId w:val="1004"/>
        </w:numPr>
      </w:pPr>
      <w:r>
        <w:rPr>
          <w:b/>
          <w:bCs/>
        </w:rPr>
        <w:t xml:space="preserve">Approach</w:t>
      </w:r>
      <w:r>
        <w:t xml:space="preserve">: Assuming equal loadings within each domain, we estimate the loadings as</w:t>
      </w:r>
      <w:r>
        <w:t xml:space="preserve"> </w:t>
      </w:r>
      <m:oMath>
        <m:r>
          <m:t>λ</m:t>
        </m:r>
        <m:r>
          <m:rPr>
            <m:sty m:val="p"/>
          </m:rPr>
          <m:t>=</m:t>
        </m:r>
        <m:rad>
          <m:radPr>
            <m:degHide m:val="on"/>
          </m:radPr>
          <m:deg/>
          <m:e>
            <m:r>
              <m:t>α</m:t>
            </m:r>
            <m:r>
              <m:rPr>
                <m:sty m:val="p"/>
              </m:rPr>
              <m:t>/</m:t>
            </m:r>
            <m:r>
              <m:rPr>
                <m:sty m:val="p"/>
              </m:rPr>
              <m:t>(</m:t>
            </m:r>
            <m:r>
              <m:t>k</m:t>
            </m:r>
            <m:r>
              <m:rPr>
                <m:sty m:val="p"/>
              </m:rPr>
              <m:t>−</m:t>
            </m:r>
            <m:r>
              <m:t>α</m:t>
            </m:r>
            <m:r>
              <m:rPr>
                <m:sty m:val="p"/>
              </m:rPr>
              <m:t>(</m:t>
            </m:r>
            <m:r>
              <m:t>k</m:t>
            </m:r>
            <m:r>
              <m:rPr>
                <m:sty m:val="p"/>
              </m:rPr>
              <m:t>−</m:t>
            </m:r>
            <m:r>
              <m:t>1</m:t>
            </m:r>
            <m:r>
              <m:rPr>
                <m:sty m:val="p"/>
              </m:rPr>
              <m:t>)</m:t>
            </m:r>
            <m:r>
              <m:rPr>
                <m:sty m:val="p"/>
              </m:rPr>
              <m:t>)</m:t>
            </m:r>
          </m:e>
        </m:rad>
      </m:oMath>
      <w:r>
        <w:t xml:space="preserve"> </w:t>
      </w:r>
      <w:r>
        <w:t xml:space="preserve">and residual variances as</w:t>
      </w:r>
      <w:r>
        <w:t xml:space="preserve"> </w:t>
      </w:r>
      <m:oMath>
        <m:r>
          <m:t>θ</m:t>
        </m:r>
        <m:r>
          <m:rPr>
            <m:sty m:val="p"/>
          </m:rPr>
          <m:t>=</m:t>
        </m:r>
        <m:r>
          <m:t>1</m:t>
        </m:r>
        <m:r>
          <m:rPr>
            <m:sty m:val="p"/>
          </m:rPr>
          <m:t>−</m:t>
        </m:r>
        <m:sSup>
          <m:e>
            <m:r>
              <m:t>λ</m:t>
            </m:r>
          </m:e>
          <m:sup>
            <m:r>
              <m:t>2</m:t>
            </m:r>
          </m:sup>
        </m:sSup>
      </m:oMath>
      <w:r>
        <w:t xml:space="preserve">.</w:t>
      </w:r>
    </w:p>
    <w:p>
      <w:pPr>
        <w:pStyle w:val="Compact"/>
        <w:numPr>
          <w:ilvl w:val="0"/>
          <w:numId w:val="1004"/>
        </w:numPr>
      </w:pPr>
      <w:r>
        <w:rPr>
          <w:b/>
          <w:bCs/>
        </w:rPr>
        <w:t xml:space="preserve">Alpha sources</w:t>
      </w:r>
      <w:r>
        <w:t xml:space="preserve">: Based on the lowest alphas for the original 4-factor structure reported by a single study identified in the systematic review by</w:t>
      </w:r>
      <w:r>
        <w:t xml:space="preserve"> </w:t>
      </w:r>
      <w:r>
        <w:t xml:space="preserve">Mosqueira Taipe et al.</w:t>
      </w:r>
      <w:r>
        <w:t xml:space="preserve"> </w:t>
      </w:r>
      <w:r>
        <w:t xml:space="preserve">(2026)</w:t>
      </w:r>
      <w:r>
        <w:t xml:space="preserve"> </w:t>
      </w:r>
      <w:r>
        <w:t xml:space="preserve">(Physical</w:t>
      </w:r>
      <w:r>
        <w:t xml:space="preserve"> </w:t>
      </w:r>
      <m:oMath>
        <m:r>
          <m:t>α</m:t>
        </m:r>
        <m:r>
          <m:rPr>
            <m:sty m:val="p"/>
          </m:rPr>
          <m:t>=</m:t>
        </m:r>
        <m:r>
          <m:t>0.672</m:t>
        </m:r>
      </m:oMath>
      <w:r>
        <w:t xml:space="preserve">; Psychological</w:t>
      </w:r>
      <w:r>
        <w:t xml:space="preserve"> </w:t>
      </w:r>
      <m:oMath>
        <m:r>
          <m:t>α</m:t>
        </m:r>
        <m:r>
          <m:rPr>
            <m:sty m:val="p"/>
          </m:rPr>
          <m:t>=</m:t>
        </m:r>
        <m:r>
          <m:t>0.704</m:t>
        </m:r>
      </m:oMath>
      <w:r>
        <w:t xml:space="preserve">; Social</w:t>
      </w:r>
      <w:r>
        <w:t xml:space="preserve"> </w:t>
      </w:r>
      <m:oMath>
        <m:r>
          <m:t>α</m:t>
        </m:r>
        <m:r>
          <m:rPr>
            <m:sty m:val="p"/>
          </m:rPr>
          <m:t>=</m:t>
        </m:r>
        <m:r>
          <m:t>0.630</m:t>
        </m:r>
      </m:oMath>
      <w:r>
        <w:t xml:space="preserve">; Environmental</w:t>
      </w:r>
      <w:r>
        <w:t xml:space="preserve"> </w:t>
      </w:r>
      <m:oMath>
        <m:r>
          <m:t>α</m:t>
        </m:r>
        <m:r>
          <m:rPr>
            <m:sty m:val="p"/>
          </m:rPr>
          <m:t>=</m:t>
        </m:r>
        <m:r>
          <m:t>0.709</m:t>
        </m:r>
      </m:oMath>
      <w:r>
        <w:t xml:space="preserve">). All values reside within the</w:t>
      </w:r>
      <w:r>
        <w:t xml:space="preserve"> </w:t>
      </w:r>
      <m:oMath>
        <m:r>
          <m:t>M</m:t>
        </m:r>
        <m:r>
          <m:rPr>
            <m:sty m:val="p"/>
          </m:rPr>
          <m:t>−</m:t>
        </m:r>
        <m:r>
          <m:t>1</m:t>
        </m:r>
        <m:r>
          <m:t>S</m:t>
        </m:r>
        <m:r>
          <m:t>D</m:t>
        </m:r>
      </m:oMath>
      <w:r>
        <w:t xml:space="preserve"> </w:t>
      </w:r>
      <w:r>
        <w:t xml:space="preserve">range reported by</w:t>
      </w:r>
      <w:r>
        <w:t xml:space="preserve"> </w:t>
      </w:r>
      <w:r>
        <w:t xml:space="preserve">Lin &amp; Yao (2022)</w:t>
      </w:r>
      <w:r>
        <w:t xml:space="preserve">.</w:t>
      </w:r>
    </w:p>
    <w:p>
      <w:pPr>
        <w:pStyle w:val="Compact"/>
        <w:numPr>
          <w:ilvl w:val="0"/>
          <w:numId w:val="1004"/>
        </w:numPr>
      </w:pPr>
      <w:r>
        <w:rPr>
          <w:b/>
          <w:bCs/>
        </w:rPr>
        <w:t xml:space="preserve">Interfactor correlations (</w:t>
      </w:r>
      <m:oMath>
        <m:r>
          <m:t>ϕ</m:t>
        </m:r>
      </m:oMath>
      <w:r>
        <w:rPr>
          <w:b/>
          <w:bCs/>
        </w:rPr>
        <w:t xml:space="preserve">)</w:t>
      </w:r>
      <w:r>
        <w:t xml:space="preserve">: Fixed at</w:t>
      </w:r>
      <w:r>
        <w:t xml:space="preserve"> </w:t>
      </w:r>
      <m:oMath>
        <m:r>
          <m:t>0.30</m:t>
        </m:r>
      </m:oMath>
      <w:r>
        <w:t xml:space="preserve"> </w:t>
      </w:r>
      <w:r>
        <w:t xml:space="preserve">(the upper bound from</w:t>
      </w:r>
      <w:r>
        <w:t xml:space="preserve"> </w:t>
      </w:r>
      <w:r>
        <w:t xml:space="preserve">Lin &amp; Yao (2022)</w:t>
      </w:r>
      <w:r>
        <w:t xml:space="preserve">), which makes factors harder to distinguish and yields a conservative power estimate.</w:t>
      </w:r>
    </w:p>
    <w:p>
      <w:pPr>
        <w:pStyle w:val="Compact"/>
        <w:numPr>
          <w:ilvl w:val="0"/>
          <w:numId w:val="1004"/>
        </w:numPr>
      </w:pPr>
      <w:r>
        <w:rPr>
          <w:b/>
          <w:bCs/>
        </w:rPr>
        <w:t xml:space="preserve">Derived parameters</w:t>
      </w:r>
      <w:r>
        <w:t xml:space="preserve">: E.g., Physical (</w:t>
      </w:r>
      <m:oMath>
        <m:r>
          <m:t>λ</m:t>
        </m:r>
        <m:r>
          <m:rPr>
            <m:sty m:val="p"/>
          </m:rPr>
          <m:t>=</m:t>
        </m:r>
        <m:r>
          <m:t>0.4758</m:t>
        </m:r>
        <m:r>
          <m:rPr>
            <m:sty m:val="p"/>
          </m:rPr>
          <m:t>,</m:t>
        </m:r>
        <m:r>
          <m:t>θ</m:t>
        </m:r>
        <m:r>
          <m:rPr>
            <m:sty m:val="p"/>
          </m:rPr>
          <m:t>=</m:t>
        </m:r>
        <m:r>
          <m:t>0.7736</m:t>
        </m:r>
      </m:oMath>
      <w:r>
        <w:t xml:space="preserve">), Psychological (</w:t>
      </w:r>
      <m:oMath>
        <m:r>
          <m:t>λ</m:t>
        </m:r>
        <m:r>
          <m:rPr>
            <m:sty m:val="p"/>
          </m:rPr>
          <m:t>=</m:t>
        </m:r>
        <m:r>
          <m:t>0.5328</m:t>
        </m:r>
        <m:r>
          <m:rPr>
            <m:sty m:val="p"/>
          </m:rPr>
          <m:t>,</m:t>
        </m:r>
        <m:r>
          <m:t>θ</m:t>
        </m:r>
        <m:r>
          <m:rPr>
            <m:sty m:val="p"/>
          </m:rPr>
          <m:t>=</m:t>
        </m:r>
        <m:r>
          <m:t>0.7161</m:t>
        </m:r>
      </m:oMath>
      <w:r>
        <w:t xml:space="preserve">), Social (</w:t>
      </w:r>
      <m:oMath>
        <m:r>
          <m:t>λ</m:t>
        </m:r>
        <m:r>
          <m:rPr>
            <m:sty m:val="p"/>
          </m:rPr>
          <m:t>=</m:t>
        </m:r>
        <m:r>
          <m:t>0.6017</m:t>
        </m:r>
        <m:r>
          <m:rPr>
            <m:sty m:val="p"/>
          </m:rPr>
          <m:t>,</m:t>
        </m:r>
        <m:r>
          <m:t>θ</m:t>
        </m:r>
        <m:r>
          <m:rPr>
            <m:sty m:val="p"/>
          </m:rPr>
          <m:t>=</m:t>
        </m:r>
        <m:r>
          <m:t>0.6379</m:t>
        </m:r>
      </m:oMath>
      <w:r>
        <w:t xml:space="preserve">), Environmental (</w:t>
      </w:r>
      <m:oMath>
        <m:r>
          <m:t>λ</m:t>
        </m:r>
        <m:r>
          <m:rPr>
            <m:sty m:val="p"/>
          </m:rPr>
          <m:t>=</m:t>
        </m:r>
        <m:r>
          <m:t>0.4832</m:t>
        </m:r>
        <m:r>
          <m:rPr>
            <m:sty m:val="p"/>
          </m:rPr>
          <m:t>,</m:t>
        </m:r>
        <m:r>
          <m:t>θ</m:t>
        </m:r>
        <m:r>
          <m:rPr>
            <m:sty m:val="p"/>
          </m:rPr>
          <m:t>=</m:t>
        </m:r>
        <m:r>
          <m:t>0.7665</m:t>
        </m:r>
      </m:oMath>
      <w:r>
        <w:t xml:space="preserve">). The residual covariance between</w:t>
      </w:r>
      <w:r>
        <w:t xml:space="preserve"> </w:t>
      </w:r>
      <m:oMath>
        <m:r>
          <m:t>Q</m:t>
        </m:r>
        <m:r>
          <m:t>3</m:t>
        </m:r>
      </m:oMath>
      <w:r>
        <w:t xml:space="preserve"> </w:t>
      </w:r>
      <w:r>
        <w:t xml:space="preserve">and</w:t>
      </w:r>
      <w:r>
        <w:t xml:space="preserve"> </w:t>
      </w:r>
      <m:oMath>
        <m:r>
          <m:t>Q</m:t>
        </m:r>
        <m:r>
          <m:t>4</m:t>
        </m:r>
      </m:oMath>
      <w:r>
        <w:t xml:space="preserve"> </w:t>
      </w:r>
      <w:r>
        <w:t xml:space="preserve">is adjusted to</w:t>
      </w:r>
      <w:r>
        <w:t xml:space="preserve"> </w:t>
      </w:r>
      <m:oMath>
        <m:r>
          <m:t>0.2321</m:t>
        </m:r>
      </m:oMath>
      <w:r>
        <w:t xml:space="preserve">.</w:t>
      </w:r>
    </w:p>
    <w:p>
      <w:pPr>
        <w:pStyle w:val="FirstParagraph"/>
      </w:pPr>
      <w:r>
        <w:t xml:space="preserve">The</w:t>
      </w:r>
      <w:r>
        <w:t xml:space="preserve"> </w:t>
      </w:r>
      <w:r>
        <w:rPr>
          <w:rStyle w:val="VerbatimChar"/>
        </w:rPr>
        <w:t xml:space="preserve">lavaan</w:t>
      </w:r>
      <w:r>
        <w:t xml:space="preserve"> </w:t>
      </w:r>
      <w:r>
        <w:t xml:space="preserve">syntax for this population model is shown below, and</w:t>
      </w:r>
      <w:r>
        <w:t xml:space="preserve"> </w:t>
      </w:r>
      <w:hyperlink w:anchor="fig-diagram-naivemodel">
        <w:r>
          <w:rPr>
            <w:rStyle w:val="Hyperlink"/>
          </w:rPr>
          <w:t xml:space="preserve">Figure 2</w:t>
        </w:r>
      </w:hyperlink>
      <w:r>
        <w:t xml:space="preserve"> </w:t>
      </w:r>
      <w:r>
        <w:t xml:space="preserve">provides a visual representation of the model structure.</w:t>
      </w:r>
    </w:p>
    <w:p>
      <w:pPr>
        <w:pStyle w:val="SourceCode"/>
      </w:pPr>
      <w:r>
        <w:br/>
      </w:r>
      <w:r>
        <w:rPr>
          <w:rStyle w:val="VerbatimChar"/>
        </w:rPr>
        <w:t xml:space="preserve">  # ── Factor loadings: tau-equivalent (uniform λ per domain) ───────────────</w:t>
      </w:r>
      <w:r>
        <w:br/>
      </w:r>
      <w:r>
        <w:rPr>
          <w:rStyle w:val="VerbatimChar"/>
        </w:rPr>
        <w:t xml:space="preserve">  psycho      =~ 0.5328*Q5  + 0.5328*Q6  + 0.5328*Q7  +</w:t>
      </w:r>
      <w:r>
        <w:br/>
      </w:r>
      <w:r>
        <w:rPr>
          <w:rStyle w:val="VerbatimChar"/>
        </w:rPr>
        <w:t xml:space="preserve">                 0.5328*Q11 + 0.5328*Q19 + 0.5328*Q26</w:t>
      </w:r>
      <w:r>
        <w:br/>
      </w:r>
      <w:r>
        <w:br/>
      </w:r>
      <w:r>
        <w:rPr>
          <w:rStyle w:val="VerbatimChar"/>
        </w:rPr>
        <w:t xml:space="preserve">  physical    =~ 0.4758*Q3  + 0.4758*Q4  + 0.4758*Q10 +</w:t>
      </w:r>
      <w:r>
        <w:br/>
      </w:r>
      <w:r>
        <w:rPr>
          <w:rStyle w:val="VerbatimChar"/>
        </w:rPr>
        <w:t xml:space="preserve">                 0.4758*Q15 + 0.4758*Q16 + 0.4758*Q17  + 0.4758*Q18</w:t>
      </w:r>
      <w:r>
        <w:br/>
      </w:r>
      <w:r>
        <w:br/>
      </w:r>
      <w:r>
        <w:rPr>
          <w:rStyle w:val="VerbatimChar"/>
        </w:rPr>
        <w:t xml:space="preserve">  social      =~ 0.6017*Q20 + 0.6017*Q21 + 0.6017*Q22</w:t>
      </w:r>
      <w:r>
        <w:br/>
      </w:r>
      <w:r>
        <w:br/>
      </w:r>
      <w:r>
        <w:rPr>
          <w:rStyle w:val="VerbatimChar"/>
        </w:rPr>
        <w:t xml:space="preserve">  environment =~ 0.4832*Q8  + 0.4832*Q9  + 0.4832*Q12 + 0.4832*Q13 +</w:t>
      </w:r>
      <w:r>
        <w:br/>
      </w:r>
      <w:r>
        <w:rPr>
          <w:rStyle w:val="VerbatimChar"/>
        </w:rPr>
        <w:t xml:space="preserve">                 0.4832*Q14 + 0.4832*Q23  + 0.4832*Q24 + 0.4832*Q25</w:t>
      </w:r>
      <w:r>
        <w:br/>
      </w:r>
      <w:r>
        <w:br/>
      </w:r>
      <w:r>
        <w:rPr>
          <w:rStyle w:val="VerbatimChar"/>
        </w:rPr>
        <w:t xml:space="preserve">  # ── Residual covariance Q3~~Q4 ────────────────────────────────────────────</w:t>
      </w:r>
      <w:r>
        <w:br/>
      </w:r>
      <w:r>
        <w:rPr>
          <w:rStyle w:val="VerbatimChar"/>
        </w:rPr>
        <w:t xml:space="preserve">  # r(Q3,Q4|physical) = 0.30; cov = 0.30 × (1 − 0.4758²) = 0.2321</w:t>
      </w:r>
      <w:r>
        <w:br/>
      </w:r>
      <w:r>
        <w:rPr>
          <w:rStyle w:val="VerbatimChar"/>
        </w:rPr>
        <w:t xml:space="preserve">  Q4 ~~ 0.2321*Q3</w:t>
      </w:r>
      <w:r>
        <w:br/>
      </w:r>
      <w:r>
        <w:br/>
      </w:r>
      <w:r>
        <w:rPr>
          <w:rStyle w:val="VerbatimChar"/>
        </w:rPr>
        <w:t xml:space="preserve">  # ── Factor variances (=1) and interfactor correlations ────────────────────</w:t>
      </w:r>
      <w:r>
        <w:br/>
      </w:r>
      <w:r>
        <w:rPr>
          <w:rStyle w:val="VerbatimChar"/>
        </w:rPr>
        <w:t xml:space="preserve">  # φ = 0.30: upper bound of Lin &amp; Yao (2022) range — pessimistic scenario</w:t>
      </w:r>
      <w:r>
        <w:br/>
      </w:r>
      <w:r>
        <w:rPr>
          <w:rStyle w:val="VerbatimChar"/>
        </w:rPr>
        <w:t xml:space="preserve">  psycho      ~~ 1*psycho      + 0.3*physical + 0.3*social + 0.3*environment</w:t>
      </w:r>
      <w:r>
        <w:br/>
      </w:r>
      <w:r>
        <w:rPr>
          <w:rStyle w:val="VerbatimChar"/>
        </w:rPr>
        <w:t xml:space="preserve">  physical    ~~ 1*physical    + 0.3*social   + 0.3*environment</w:t>
      </w:r>
      <w:r>
        <w:br/>
      </w:r>
      <w:r>
        <w:rPr>
          <w:rStyle w:val="VerbatimChar"/>
        </w:rPr>
        <w:t xml:space="preserve">  social      ~~ 1*social      + 0.3*environment</w:t>
      </w:r>
      <w:r>
        <w:br/>
      </w:r>
      <w:r>
        <w:rPr>
          <w:rStyle w:val="VerbatimChar"/>
        </w:rPr>
        <w:t xml:space="preserve">  environment ~~ 1*environment</w:t>
      </w:r>
      <w:r>
        <w:br/>
      </w:r>
      <w:r>
        <w:br/>
      </w:r>
      <w:r>
        <w:rPr>
          <w:rStyle w:val="VerbatimChar"/>
        </w:rPr>
        <w:t xml:space="preserve">  # ── Residual variances: θ = 1 − λ² per domain ────────────────────────────</w:t>
      </w:r>
      <w:r>
        <w:br/>
      </w:r>
      <w:r>
        <w:rPr>
          <w:rStyle w:val="VerbatimChar"/>
        </w:rPr>
        <w:t xml:space="preserve">  Q5  ~~ 0.7161*Q5    # Psychological: θ = 1 − 0.5328² = 0.7161</w:t>
      </w:r>
      <w:r>
        <w:br/>
      </w:r>
      <w:r>
        <w:rPr>
          <w:rStyle w:val="VerbatimChar"/>
        </w:rPr>
        <w:t xml:space="preserve">  Q6  ~~ 0.7161*Q6</w:t>
      </w:r>
      <w:r>
        <w:br/>
      </w:r>
      <w:r>
        <w:rPr>
          <w:rStyle w:val="VerbatimChar"/>
        </w:rPr>
        <w:t xml:space="preserve">  Q7  ~~ 0.7161*Q7</w:t>
      </w:r>
      <w:r>
        <w:br/>
      </w:r>
      <w:r>
        <w:rPr>
          <w:rStyle w:val="VerbatimChar"/>
        </w:rPr>
        <w:t xml:space="preserve">  Q11 ~~ 0.7161*Q11</w:t>
      </w:r>
      <w:r>
        <w:br/>
      </w:r>
      <w:r>
        <w:rPr>
          <w:rStyle w:val="VerbatimChar"/>
        </w:rPr>
        <w:t xml:space="preserve">  Q19 ~~ 0.7161*Q19</w:t>
      </w:r>
      <w:r>
        <w:br/>
      </w:r>
      <w:r>
        <w:rPr>
          <w:rStyle w:val="VerbatimChar"/>
        </w:rPr>
        <w:t xml:space="preserve">  Q26 ~~ 0.7161*Q26</w:t>
      </w:r>
      <w:r>
        <w:br/>
      </w:r>
      <w:r>
        <w:rPr>
          <w:rStyle w:val="VerbatimChar"/>
        </w:rPr>
        <w:t xml:space="preserve">  Q3  ~~ 0.7736*Q3    # Physical: θ = 1 − 0.4758² = 0.7736</w:t>
      </w:r>
      <w:r>
        <w:br/>
      </w:r>
      <w:r>
        <w:rPr>
          <w:rStyle w:val="VerbatimChar"/>
        </w:rPr>
        <w:t xml:space="preserve">  Q4  ~~ 0.7736*Q4</w:t>
      </w:r>
      <w:r>
        <w:br/>
      </w:r>
      <w:r>
        <w:rPr>
          <w:rStyle w:val="VerbatimChar"/>
        </w:rPr>
        <w:t xml:space="preserve">  Q10 ~~ 0.7736*Q10</w:t>
      </w:r>
      <w:r>
        <w:br/>
      </w:r>
      <w:r>
        <w:rPr>
          <w:rStyle w:val="VerbatimChar"/>
        </w:rPr>
        <w:t xml:space="preserve">  Q15 ~~ 0.7736*Q15</w:t>
      </w:r>
      <w:r>
        <w:br/>
      </w:r>
      <w:r>
        <w:rPr>
          <w:rStyle w:val="VerbatimChar"/>
        </w:rPr>
        <w:t xml:space="preserve">  Q16 ~~ 0.7736*Q16</w:t>
      </w:r>
      <w:r>
        <w:br/>
      </w:r>
      <w:r>
        <w:rPr>
          <w:rStyle w:val="VerbatimChar"/>
        </w:rPr>
        <w:t xml:space="preserve">  Q17 ~~ 0.7736*Q17</w:t>
      </w:r>
      <w:r>
        <w:br/>
      </w:r>
      <w:r>
        <w:rPr>
          <w:rStyle w:val="VerbatimChar"/>
        </w:rPr>
        <w:t xml:space="preserve">  Q18 ~~ 0.7736*Q18</w:t>
      </w:r>
      <w:r>
        <w:br/>
      </w:r>
      <w:r>
        <w:rPr>
          <w:rStyle w:val="VerbatimChar"/>
        </w:rPr>
        <w:t xml:space="preserve">  Q20 ~~ 0.6379*Q20   # Social: θ = 1 − 0.6017² = 0.6379</w:t>
      </w:r>
      <w:r>
        <w:br/>
      </w:r>
      <w:r>
        <w:rPr>
          <w:rStyle w:val="VerbatimChar"/>
        </w:rPr>
        <w:t xml:space="preserve">  Q21 ~~ 0.6379*Q21</w:t>
      </w:r>
      <w:r>
        <w:br/>
      </w:r>
      <w:r>
        <w:rPr>
          <w:rStyle w:val="VerbatimChar"/>
        </w:rPr>
        <w:t xml:space="preserve">  Q22 ~~ 0.6379*Q22</w:t>
      </w:r>
      <w:r>
        <w:br/>
      </w:r>
      <w:r>
        <w:rPr>
          <w:rStyle w:val="VerbatimChar"/>
        </w:rPr>
        <w:t xml:space="preserve">  Q8  ~~ 0.7665*Q8    # Environmental: θ = 1 − 0.4832² = 0.7665</w:t>
      </w:r>
      <w:r>
        <w:br/>
      </w:r>
      <w:r>
        <w:rPr>
          <w:rStyle w:val="VerbatimChar"/>
        </w:rPr>
        <w:t xml:space="preserve">  Q9  ~~ 0.7665*Q9</w:t>
      </w:r>
      <w:r>
        <w:br/>
      </w:r>
      <w:r>
        <w:rPr>
          <w:rStyle w:val="VerbatimChar"/>
        </w:rPr>
        <w:t xml:space="preserve">  Q12 ~~ 0.7665*Q12</w:t>
      </w:r>
      <w:r>
        <w:br/>
      </w:r>
      <w:r>
        <w:rPr>
          <w:rStyle w:val="VerbatimChar"/>
        </w:rPr>
        <w:t xml:space="preserve">  Q13 ~~ 0.7665*Q13</w:t>
      </w:r>
      <w:r>
        <w:br/>
      </w:r>
      <w:r>
        <w:rPr>
          <w:rStyle w:val="VerbatimChar"/>
        </w:rPr>
        <w:t xml:space="preserve">  Q14 ~~ 0.7665*Q14</w:t>
      </w:r>
      <w:r>
        <w:br/>
      </w:r>
      <w:r>
        <w:rPr>
          <w:rStyle w:val="VerbatimChar"/>
        </w:rPr>
        <w:t xml:space="preserve">  Q23 ~~ 0.7665*Q23</w:t>
      </w:r>
      <w:r>
        <w:br/>
      </w:r>
      <w:r>
        <w:rPr>
          <w:rStyle w:val="VerbatimChar"/>
        </w:rPr>
        <w:t xml:space="preserve">  Q24 ~~ 0.7665*Q24</w:t>
      </w:r>
      <w:r>
        <w:br/>
      </w:r>
      <w:r>
        <w:rPr>
          <w:rStyle w:val="VerbatimChar"/>
        </w:rPr>
        <w:t xml:space="preserve">  Q25 ~~ 0.7665*Q25</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24" w:name="fig-diagram-naivemodel"/>
          <w:p>
            <w:pPr>
              <w:pStyle w:val="Compact"/>
              <w:jc w:val="center"/>
            </w:pPr>
            <w:r>
              <w:drawing>
                <wp:inline>
                  <wp:extent cx="5334000" cy="4667249"/>
                  <wp:effectExtent b="0" l="0" r="0" t="0"/>
                  <wp:docPr descr="" title="" id="22" name="Picture"/>
                  <a:graphic>
                    <a:graphicData uri="http://schemas.openxmlformats.org/drawingml/2006/picture">
                      <pic:pic>
                        <pic:nvPicPr>
                          <pic:cNvPr descr="index_files/figure-docx/Scripts-AnalysisScripts-01_population_models-fig-diagram-naivemodel-output-1.png" id="23" name="Picture"/>
                          <pic:cNvPicPr>
                            <a:picLocks noChangeArrowheads="1" noChangeAspect="1"/>
                          </pic:cNvPicPr>
                        </pic:nvPicPr>
                        <pic:blipFill>
                          <a:blip r:embed="rId21"/>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Path diagram of the naivemodel</w:t>
            </w:r>
          </w:p>
          <w:bookmarkEnd w:id="24"/>
        </w:tc>
      </w:tr>
    </w:tbl>
    <w:p>
      <w:pPr>
        <w:pStyle w:val="BodyText"/>
      </w:pPr>
      <w:r>
        <w:rPr>
          <w:vertAlign w:val="subscript"/>
        </w:rPr>
        <w:t xml:space="preserve">Source:</w:t>
      </w:r>
      <w:r>
        <w:rPr>
          <w:vertAlign w:val="subscript"/>
        </w:rPr>
        <w:t xml:space="preserve"> </w:t>
      </w:r>
      <w:hyperlink r:id="rId25">
        <w:r>
          <w:rPr>
            <w:rStyle w:val="Hyperlink"/>
            <w:vertAlign w:val="subscript"/>
          </w:rPr>
          <w:t xml:space="preserve">Population Models</w:t>
        </w:r>
      </w:hyperlink>
    </w:p>
    <w:bookmarkEnd w:id="26"/>
    <w:bookmarkStart w:id="33" w:name="optimistic-model"/>
    <w:p>
      <w:pPr>
        <w:pStyle w:val="Heading3"/>
      </w:pPr>
      <w:r>
        <w:t xml:space="preserve">2.3 Optimistic model</w:t>
      </w:r>
    </w:p>
    <w:p>
      <w:pPr>
        <w:pStyle w:val="FirstParagraph"/>
      </w:pPr>
      <w:r>
        <w:t xml:space="preserve">This model defines an optimistic, empirically grounded scenario using the same Spearman-Brown derivation approach but leveraging the highest observed Cronbach’s alpha (</w:t>
      </w:r>
      <m:oMath>
        <m:r>
          <m:t>α</m:t>
        </m:r>
      </m:oMath>
      <w:r>
        <w:t xml:space="preserve">) values per domain.</w:t>
      </w:r>
    </w:p>
    <w:p>
      <w:pPr>
        <w:pStyle w:val="Compact"/>
        <w:numPr>
          <w:ilvl w:val="0"/>
          <w:numId w:val="1005"/>
        </w:numPr>
      </w:pPr>
      <w:r>
        <w:rPr>
          <w:b/>
          <w:bCs/>
        </w:rPr>
        <w:t xml:space="preserve">Alpha sources</w:t>
      </w:r>
      <w:r>
        <w:t xml:space="preserve">: Based on maximum alphas reported in the literature</w:t>
      </w:r>
      <w:r>
        <w:t xml:space="preserve"> </w:t>
      </w:r>
      <w:r>
        <w:t xml:space="preserve">(</w:t>
      </w:r>
      <w:r>
        <w:t xml:space="preserve">Mosqueira Taipe et al.</w:t>
      </w:r>
      <w:r>
        <w:t xml:space="preserve">, 2026)</w:t>
      </w:r>
      <w:r>
        <w:t xml:space="preserve"> </w:t>
      </w:r>
      <w:r>
        <w:t xml:space="preserve">(Physical</w:t>
      </w:r>
      <w:r>
        <w:t xml:space="preserve"> </w:t>
      </w:r>
      <m:oMath>
        <m:r>
          <m:t>α</m:t>
        </m:r>
        <m:r>
          <m:rPr>
            <m:sty m:val="p"/>
          </m:rPr>
          <m:t>=</m:t>
        </m:r>
        <m:r>
          <m:t>0.860</m:t>
        </m:r>
      </m:oMath>
      <w:r>
        <w:t xml:space="preserve">; Psychological</w:t>
      </w:r>
      <w:r>
        <w:t xml:space="preserve"> </w:t>
      </w:r>
      <m:oMath>
        <m:r>
          <m:t>α</m:t>
        </m:r>
        <m:r>
          <m:rPr>
            <m:sty m:val="p"/>
          </m:rPr>
          <m:t>=</m:t>
        </m:r>
        <m:r>
          <m:t>0.860</m:t>
        </m:r>
      </m:oMath>
      <w:r>
        <w:t xml:space="preserve">; Social</w:t>
      </w:r>
      <w:r>
        <w:t xml:space="preserve"> </w:t>
      </w:r>
      <m:oMath>
        <m:r>
          <m:t>α</m:t>
        </m:r>
        <m:r>
          <m:rPr>
            <m:sty m:val="p"/>
          </m:rPr>
          <m:t>=</m:t>
        </m:r>
        <m:r>
          <m:t>0.810</m:t>
        </m:r>
      </m:oMath>
      <w:r>
        <w:t xml:space="preserve">; Environmental</w:t>
      </w:r>
      <w:r>
        <w:t xml:space="preserve"> </w:t>
      </w:r>
      <m:oMath>
        <m:r>
          <m:t>α</m:t>
        </m:r>
        <m:r>
          <m:rPr>
            <m:sty m:val="p"/>
          </m:rPr>
          <m:t>=</m:t>
        </m:r>
        <m:r>
          <m:t>0.849</m:t>
        </m:r>
      </m:oMath>
      <w:r>
        <w:t xml:space="preserve">). All values are confirmed within the</w:t>
      </w:r>
      <w:r>
        <w:t xml:space="preserve"> </w:t>
      </w:r>
      <m:oMath>
        <m:r>
          <m:t>M</m:t>
        </m:r>
        <m:r>
          <m:rPr>
            <m:sty m:val="p"/>
          </m:rPr>
          <m:t>+</m:t>
        </m:r>
        <m:r>
          <m:t>1</m:t>
        </m:r>
        <m:r>
          <m:t>S</m:t>
        </m:r>
        <m:r>
          <m:t>D</m:t>
        </m:r>
      </m:oMath>
      <w:r>
        <w:t xml:space="preserve"> </w:t>
      </w:r>
      <w:r>
        <w:t xml:space="preserve">range from</w:t>
      </w:r>
      <w:r>
        <w:t xml:space="preserve"> </w:t>
      </w:r>
      <w:r>
        <w:t xml:space="preserve">Lin &amp; Yao (2022)</w:t>
      </w:r>
      <w:r>
        <w:t xml:space="preserve">.</w:t>
      </w:r>
    </w:p>
    <w:p>
      <w:pPr>
        <w:pStyle w:val="Compact"/>
        <w:numPr>
          <w:ilvl w:val="0"/>
          <w:numId w:val="1005"/>
        </w:numPr>
      </w:pPr>
      <w:r>
        <w:rPr>
          <w:b/>
          <w:bCs/>
        </w:rPr>
        <w:t xml:space="preserve">Interfactor correlations (</w:t>
      </w:r>
      <m:oMath>
        <m:r>
          <m:t>ϕ</m:t>
        </m:r>
      </m:oMath>
      <w:r>
        <w:rPr>
          <w:b/>
          <w:bCs/>
        </w:rPr>
        <w:t xml:space="preserve">)</w:t>
      </w:r>
      <w:r>
        <w:t xml:space="preserve">: Fixed at</w:t>
      </w:r>
      <w:r>
        <w:t xml:space="preserve"> </w:t>
      </w:r>
      <m:oMath>
        <m:r>
          <m:t>0.08</m:t>
        </m:r>
      </m:oMath>
      <w:r>
        <w:t xml:space="preserve"> </w:t>
      </w:r>
      <w:r>
        <w:t xml:space="preserve">(the lower bound from</w:t>
      </w:r>
      <w:r>
        <w:t xml:space="preserve"> </w:t>
      </w:r>
      <w:r>
        <w:t xml:space="preserve">Lin &amp; Yao (2022)</w:t>
      </w:r>
      <w:r>
        <w:t xml:space="preserve">), resulting in factors that are well-distinguished and providing an optimistic power estimate.</w:t>
      </w:r>
    </w:p>
    <w:p>
      <w:pPr>
        <w:pStyle w:val="Compact"/>
        <w:numPr>
          <w:ilvl w:val="0"/>
          <w:numId w:val="1005"/>
        </w:numPr>
      </w:pPr>
      <w:r>
        <w:rPr>
          <w:b/>
          <w:bCs/>
        </w:rPr>
        <w:t xml:space="preserve">Derived parameters</w:t>
      </w:r>
      <w:r>
        <w:t xml:space="preserve">: E.g., Physical (</w:t>
      </w:r>
      <m:oMath>
        <m:r>
          <m:t>λ</m:t>
        </m:r>
        <m:r>
          <m:rPr>
            <m:sty m:val="p"/>
          </m:rPr>
          <m:t>=</m:t>
        </m:r>
        <m:r>
          <m:t>0.6837</m:t>
        </m:r>
        <m:r>
          <m:rPr>
            <m:sty m:val="p"/>
          </m:rPr>
          <m:t>,</m:t>
        </m:r>
        <m:r>
          <m:t>θ</m:t>
        </m:r>
        <m:r>
          <m:rPr>
            <m:sty m:val="p"/>
          </m:rPr>
          <m:t>=</m:t>
        </m:r>
        <m:r>
          <m:t>0.5326</m:t>
        </m:r>
      </m:oMath>
      <w:r>
        <w:t xml:space="preserve">), Psychological (</w:t>
      </w:r>
      <m:oMath>
        <m:r>
          <m:t>λ</m:t>
        </m:r>
        <m:r>
          <m:rPr>
            <m:sty m:val="p"/>
          </m:rPr>
          <m:t>=</m:t>
        </m:r>
        <m:r>
          <m:t>0.7113</m:t>
        </m:r>
        <m:r>
          <m:rPr>
            <m:sty m:val="p"/>
          </m:rPr>
          <m:t>,</m:t>
        </m:r>
        <m:r>
          <m:t>θ</m:t>
        </m:r>
        <m:r>
          <m:rPr>
            <m:sty m:val="p"/>
          </m:rPr>
          <m:t>=</m:t>
        </m:r>
        <m:r>
          <m:t>0.4941</m:t>
        </m:r>
      </m:oMath>
      <w:r>
        <w:t xml:space="preserve">), Social (</w:t>
      </w:r>
      <m:oMath>
        <m:r>
          <m:t>λ</m:t>
        </m:r>
        <m:r>
          <m:rPr>
            <m:sty m:val="p"/>
          </m:rPr>
          <m:t>=</m:t>
        </m:r>
        <m:r>
          <m:t>0.7661</m:t>
        </m:r>
        <m:r>
          <m:rPr>
            <m:sty m:val="p"/>
          </m:rPr>
          <m:t>,</m:t>
        </m:r>
        <m:r>
          <m:t>θ</m:t>
        </m:r>
        <m:r>
          <m:rPr>
            <m:sty m:val="p"/>
          </m:rPr>
          <m:t>=</m:t>
        </m:r>
        <m:r>
          <m:t>0.4130</m:t>
        </m:r>
      </m:oMath>
      <w:r>
        <w:t xml:space="preserve">), Environmental (</w:t>
      </w:r>
      <m:oMath>
        <m:r>
          <m:t>λ</m:t>
        </m:r>
        <m:r>
          <m:rPr>
            <m:sty m:val="p"/>
          </m:rPr>
          <m:t>=</m:t>
        </m:r>
        <m:r>
          <m:t>0.6424</m:t>
        </m:r>
        <m:r>
          <m:rPr>
            <m:sty m:val="p"/>
          </m:rPr>
          <m:t>,</m:t>
        </m:r>
        <m:r>
          <m:t>θ</m:t>
        </m:r>
        <m:r>
          <m:rPr>
            <m:sty m:val="p"/>
          </m:rPr>
          <m:t>=</m:t>
        </m:r>
        <m:r>
          <m:t>0.5873</m:t>
        </m:r>
      </m:oMath>
      <w:r>
        <w:t xml:space="preserve">). The residual covariance between</w:t>
      </w:r>
      <w:r>
        <w:t xml:space="preserve"> </w:t>
      </w:r>
      <m:oMath>
        <m:r>
          <m:t>Q</m:t>
        </m:r>
        <m:r>
          <m:t>3</m:t>
        </m:r>
      </m:oMath>
      <w:r>
        <w:t xml:space="preserve"> </w:t>
      </w:r>
      <w:r>
        <w:t xml:space="preserve">and</w:t>
      </w:r>
      <w:r>
        <w:t xml:space="preserve"> </w:t>
      </w:r>
      <m:oMath>
        <m:r>
          <m:t>Q</m:t>
        </m:r>
        <m:r>
          <m:t>4</m:t>
        </m:r>
      </m:oMath>
      <w:r>
        <w:t xml:space="preserve"> </w:t>
      </w:r>
      <w:r>
        <w:t xml:space="preserve">is adjusted to</w:t>
      </w:r>
      <w:r>
        <w:t xml:space="preserve"> </w:t>
      </w:r>
      <m:oMath>
        <m:r>
          <m:t>0.1598</m:t>
        </m:r>
      </m:oMath>
      <w:r>
        <w:t xml:space="preserve">.</w:t>
      </w:r>
    </w:p>
    <w:p>
      <w:pPr>
        <w:pStyle w:val="FirstParagraph"/>
      </w:pPr>
      <w:r>
        <w:t xml:space="preserve">The</w:t>
      </w:r>
      <w:r>
        <w:t xml:space="preserve"> </w:t>
      </w:r>
      <w:r>
        <w:rPr>
          <w:rStyle w:val="VerbatimChar"/>
        </w:rPr>
        <w:t xml:space="preserve">lavaan</w:t>
      </w:r>
      <w:r>
        <w:t xml:space="preserve"> </w:t>
      </w:r>
      <w:r>
        <w:t xml:space="preserve">syntax for this population model is shown below, and</w:t>
      </w:r>
      <w:r>
        <w:t xml:space="preserve"> </w:t>
      </w:r>
      <w:hyperlink w:anchor="fig-diagram-optmodel">
        <w:r>
          <w:rPr>
            <w:rStyle w:val="Hyperlink"/>
          </w:rPr>
          <w:t xml:space="preserve">Figure 3</w:t>
        </w:r>
      </w:hyperlink>
      <w:r>
        <w:t xml:space="preserve"> </w:t>
      </w:r>
      <w:r>
        <w:t xml:space="preserve">provides a visual representation of the model structure.</w:t>
      </w:r>
    </w:p>
    <w:p>
      <w:pPr>
        <w:pStyle w:val="SourceCode"/>
      </w:pPr>
      <w:r>
        <w:br/>
      </w:r>
      <w:r>
        <w:rPr>
          <w:rStyle w:val="VerbatimChar"/>
        </w:rPr>
        <w:t xml:space="preserve">  # ── Factor loadings: tau-equivalent (uniform λ per domain) ───────────────</w:t>
      </w:r>
      <w:r>
        <w:br/>
      </w:r>
      <w:r>
        <w:rPr>
          <w:rStyle w:val="VerbatimChar"/>
        </w:rPr>
        <w:t xml:space="preserve">  psycho      =~ 0.7113*Q5  + 0.7113*Q6  + 0.7113*Q7  +</w:t>
      </w:r>
      <w:r>
        <w:br/>
      </w:r>
      <w:r>
        <w:rPr>
          <w:rStyle w:val="VerbatimChar"/>
        </w:rPr>
        <w:t xml:space="preserve">                 0.7113*Q11 + 0.7113*Q19 + 0.7113*Q26</w:t>
      </w:r>
      <w:r>
        <w:br/>
      </w:r>
      <w:r>
        <w:br/>
      </w:r>
      <w:r>
        <w:rPr>
          <w:rStyle w:val="VerbatimChar"/>
        </w:rPr>
        <w:t xml:space="preserve">  physical    =~ 0.6837*Q3  + 0.6837*Q4  + 0.6837*Q10 +</w:t>
      </w:r>
      <w:r>
        <w:br/>
      </w:r>
      <w:r>
        <w:rPr>
          <w:rStyle w:val="VerbatimChar"/>
        </w:rPr>
        <w:t xml:space="preserve">                 0.6837*Q15 + 0.6837*Q16 + 0.6837*Q17  + 0.6837*Q18</w:t>
      </w:r>
      <w:r>
        <w:br/>
      </w:r>
      <w:r>
        <w:br/>
      </w:r>
      <w:r>
        <w:rPr>
          <w:rStyle w:val="VerbatimChar"/>
        </w:rPr>
        <w:t xml:space="preserve">  social      =~ 0.7661*Q20 + 0.7661*Q21 + 0.7661*Q22</w:t>
      </w:r>
      <w:r>
        <w:br/>
      </w:r>
      <w:r>
        <w:br/>
      </w:r>
      <w:r>
        <w:rPr>
          <w:rStyle w:val="VerbatimChar"/>
        </w:rPr>
        <w:t xml:space="preserve">  environment =~ 0.6424*Q8  + 0.6424*Q9  + 0.6424*Q12 + 0.6424*Q13 +</w:t>
      </w:r>
      <w:r>
        <w:br/>
      </w:r>
      <w:r>
        <w:rPr>
          <w:rStyle w:val="VerbatimChar"/>
        </w:rPr>
        <w:t xml:space="preserve">                 0.6424*Q14 + 0.6424*Q23  + 0.6424*Q24 + 0.6424*Q25</w:t>
      </w:r>
      <w:r>
        <w:br/>
      </w:r>
      <w:r>
        <w:br/>
      </w:r>
      <w:r>
        <w:rPr>
          <w:rStyle w:val="VerbatimChar"/>
        </w:rPr>
        <w:t xml:space="preserve">  # ── Residual covariance Q3~~Q4 ────────────────────────────────────────────</w:t>
      </w:r>
      <w:r>
        <w:br/>
      </w:r>
      <w:r>
        <w:rPr>
          <w:rStyle w:val="VerbatimChar"/>
        </w:rPr>
        <w:t xml:space="preserve">  # r(Q3,Q4|physical) = 0.30; cov = 0.30 × (1 − 0.6837²) = 0.1598</w:t>
      </w:r>
      <w:r>
        <w:br/>
      </w:r>
      <w:r>
        <w:rPr>
          <w:rStyle w:val="VerbatimChar"/>
        </w:rPr>
        <w:t xml:space="preserve">  Q4 ~~ 0.1598*Q3</w:t>
      </w:r>
      <w:r>
        <w:br/>
      </w:r>
      <w:r>
        <w:br/>
      </w:r>
      <w:r>
        <w:rPr>
          <w:rStyle w:val="VerbatimChar"/>
        </w:rPr>
        <w:t xml:space="preserve">  # ── Factor variances (=1) and interfactor correlations ────────────────────</w:t>
      </w:r>
      <w:r>
        <w:br/>
      </w:r>
      <w:r>
        <w:rPr>
          <w:rStyle w:val="VerbatimChar"/>
        </w:rPr>
        <w:t xml:space="preserve">  # φ = 0.08: lower bound of Lin &amp; Yao (2022) range — optimistic scenario</w:t>
      </w:r>
      <w:r>
        <w:br/>
      </w:r>
      <w:r>
        <w:rPr>
          <w:rStyle w:val="VerbatimChar"/>
        </w:rPr>
        <w:t xml:space="preserve">  psycho      ~~ 1*psycho      + 0.08*physical + 0.08*social + 0.08*environment</w:t>
      </w:r>
      <w:r>
        <w:br/>
      </w:r>
      <w:r>
        <w:rPr>
          <w:rStyle w:val="VerbatimChar"/>
        </w:rPr>
        <w:t xml:space="preserve">  physical    ~~ 1*physical    + 0.08*social   + 0.08*environment</w:t>
      </w:r>
      <w:r>
        <w:br/>
      </w:r>
      <w:r>
        <w:rPr>
          <w:rStyle w:val="VerbatimChar"/>
        </w:rPr>
        <w:t xml:space="preserve">  social      ~~ 1*social      + 0.08*environment</w:t>
      </w:r>
      <w:r>
        <w:br/>
      </w:r>
      <w:r>
        <w:rPr>
          <w:rStyle w:val="VerbatimChar"/>
        </w:rPr>
        <w:t xml:space="preserve">  environment ~~ 1*environment</w:t>
      </w:r>
      <w:r>
        <w:br/>
      </w:r>
      <w:r>
        <w:br/>
      </w:r>
      <w:r>
        <w:rPr>
          <w:rStyle w:val="VerbatimChar"/>
        </w:rPr>
        <w:t xml:space="preserve">  # ── Residual variances: θ = 1 − λ² per domain ────────────────────────────</w:t>
      </w:r>
      <w:r>
        <w:br/>
      </w:r>
      <w:r>
        <w:rPr>
          <w:rStyle w:val="VerbatimChar"/>
        </w:rPr>
        <w:t xml:space="preserve">  Q5  ~~ 0.4941*Q5    # Psychological: θ = 1 − 0.7113² = 0.4941</w:t>
      </w:r>
      <w:r>
        <w:br/>
      </w:r>
      <w:r>
        <w:rPr>
          <w:rStyle w:val="VerbatimChar"/>
        </w:rPr>
        <w:t xml:space="preserve">  Q6  ~~ 0.4941*Q6</w:t>
      </w:r>
      <w:r>
        <w:br/>
      </w:r>
      <w:r>
        <w:rPr>
          <w:rStyle w:val="VerbatimChar"/>
        </w:rPr>
        <w:t xml:space="preserve">  Q7  ~~ 0.4941*Q7</w:t>
      </w:r>
      <w:r>
        <w:br/>
      </w:r>
      <w:r>
        <w:rPr>
          <w:rStyle w:val="VerbatimChar"/>
        </w:rPr>
        <w:t xml:space="preserve">  Q11 ~~ 0.4941*Q11</w:t>
      </w:r>
      <w:r>
        <w:br/>
      </w:r>
      <w:r>
        <w:rPr>
          <w:rStyle w:val="VerbatimChar"/>
        </w:rPr>
        <w:t xml:space="preserve">  Q19 ~~ 0.4941*Q19</w:t>
      </w:r>
      <w:r>
        <w:br/>
      </w:r>
      <w:r>
        <w:rPr>
          <w:rStyle w:val="VerbatimChar"/>
        </w:rPr>
        <w:t xml:space="preserve">  Q26 ~~ 0.4941*Q26</w:t>
      </w:r>
      <w:r>
        <w:br/>
      </w:r>
      <w:r>
        <w:rPr>
          <w:rStyle w:val="VerbatimChar"/>
        </w:rPr>
        <w:t xml:space="preserve">  Q3  ~~ 0.5326*Q3    # Physical: θ = 1 − 0.6837² = 0.5326</w:t>
      </w:r>
      <w:r>
        <w:br/>
      </w:r>
      <w:r>
        <w:rPr>
          <w:rStyle w:val="VerbatimChar"/>
        </w:rPr>
        <w:t xml:space="preserve">  Q4  ~~ 0.5326*Q4</w:t>
      </w:r>
      <w:r>
        <w:br/>
      </w:r>
      <w:r>
        <w:rPr>
          <w:rStyle w:val="VerbatimChar"/>
        </w:rPr>
        <w:t xml:space="preserve">  Q10 ~~ 0.5326*Q10</w:t>
      </w:r>
      <w:r>
        <w:br/>
      </w:r>
      <w:r>
        <w:rPr>
          <w:rStyle w:val="VerbatimChar"/>
        </w:rPr>
        <w:t xml:space="preserve">  Q15 ~~ 0.5326*Q15</w:t>
      </w:r>
      <w:r>
        <w:br/>
      </w:r>
      <w:r>
        <w:rPr>
          <w:rStyle w:val="VerbatimChar"/>
        </w:rPr>
        <w:t xml:space="preserve">  Q16 ~~ 0.5326*Q16</w:t>
      </w:r>
      <w:r>
        <w:br/>
      </w:r>
      <w:r>
        <w:rPr>
          <w:rStyle w:val="VerbatimChar"/>
        </w:rPr>
        <w:t xml:space="preserve">  Q17 ~~ 0.5326*Q17</w:t>
      </w:r>
      <w:r>
        <w:br/>
      </w:r>
      <w:r>
        <w:rPr>
          <w:rStyle w:val="VerbatimChar"/>
        </w:rPr>
        <w:t xml:space="preserve">  Q18 ~~ 0.5326*Q18</w:t>
      </w:r>
      <w:r>
        <w:br/>
      </w:r>
      <w:r>
        <w:rPr>
          <w:rStyle w:val="VerbatimChar"/>
        </w:rPr>
        <w:t xml:space="preserve">  Q20 ~~ 0.4130*Q20   # Social: θ = 1 − 0.7661² = 0.4130</w:t>
      </w:r>
      <w:r>
        <w:br/>
      </w:r>
      <w:r>
        <w:rPr>
          <w:rStyle w:val="VerbatimChar"/>
        </w:rPr>
        <w:t xml:space="preserve">  Q21 ~~ 0.4130*Q21</w:t>
      </w:r>
      <w:r>
        <w:br/>
      </w:r>
      <w:r>
        <w:rPr>
          <w:rStyle w:val="VerbatimChar"/>
        </w:rPr>
        <w:t xml:space="preserve">  Q22 ~~ 0.4130*Q22</w:t>
      </w:r>
      <w:r>
        <w:br/>
      </w:r>
      <w:r>
        <w:rPr>
          <w:rStyle w:val="VerbatimChar"/>
        </w:rPr>
        <w:t xml:space="preserve">  Q8  ~~ 0.5873*Q8    # Environmental: θ = 1 − 0.6424² = 0.5873</w:t>
      </w:r>
      <w:r>
        <w:br/>
      </w:r>
      <w:r>
        <w:rPr>
          <w:rStyle w:val="VerbatimChar"/>
        </w:rPr>
        <w:t xml:space="preserve">  Q9  ~~ 0.5873*Q9</w:t>
      </w:r>
      <w:r>
        <w:br/>
      </w:r>
      <w:r>
        <w:rPr>
          <w:rStyle w:val="VerbatimChar"/>
        </w:rPr>
        <w:t xml:space="preserve">  Q12 ~~ 0.5873*Q12</w:t>
      </w:r>
      <w:r>
        <w:br/>
      </w:r>
      <w:r>
        <w:rPr>
          <w:rStyle w:val="VerbatimChar"/>
        </w:rPr>
        <w:t xml:space="preserve">  Q13 ~~ 0.5873*Q13</w:t>
      </w:r>
      <w:r>
        <w:br/>
      </w:r>
      <w:r>
        <w:rPr>
          <w:rStyle w:val="VerbatimChar"/>
        </w:rPr>
        <w:t xml:space="preserve">  Q14 ~~ 0.5873*Q14</w:t>
      </w:r>
      <w:r>
        <w:br/>
      </w:r>
      <w:r>
        <w:rPr>
          <w:rStyle w:val="VerbatimChar"/>
        </w:rPr>
        <w:t xml:space="preserve">  Q23 ~~ 0.5873*Q23</w:t>
      </w:r>
      <w:r>
        <w:br/>
      </w:r>
      <w:r>
        <w:rPr>
          <w:rStyle w:val="VerbatimChar"/>
        </w:rPr>
        <w:t xml:space="preserve">  Q24 ~~ 0.5873*Q24</w:t>
      </w:r>
      <w:r>
        <w:br/>
      </w:r>
      <w:r>
        <w:rPr>
          <w:rStyle w:val="VerbatimChar"/>
        </w:rPr>
        <w:t xml:space="preserve">  Q25 ~~ 0.5873*Q25</w:t>
      </w:r>
    </w:p>
    <w:p>
      <w:pPr>
        <w:pStyle w:val="FirstParagraph"/>
      </w:pPr>
      <w:r>
        <w:rPr>
          <w:vertAlign w:val="subscript"/>
        </w:rPr>
        <w:t xml:space="preserve">Source:</w:t>
      </w:r>
      <w:r>
        <w:rPr>
          <w:vertAlign w:val="subscript"/>
        </w:rPr>
        <w:t xml:space="preserve"> </w:t>
      </w:r>
      <w:hyperlink r:id="rId27">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31" w:name="fig-diagram-optmodel"/>
          <w:p>
            <w:pPr>
              <w:pStyle w:val="Compact"/>
              <w:jc w:val="center"/>
            </w:pPr>
            <w:r>
              <w:drawing>
                <wp:inline>
                  <wp:extent cx="5334000" cy="4667249"/>
                  <wp:effectExtent b="0" l="0" r="0" t="0"/>
                  <wp:docPr descr="" title="" id="29" name="Picture"/>
                  <a:graphic>
                    <a:graphicData uri="http://schemas.openxmlformats.org/drawingml/2006/picture">
                      <pic:pic>
                        <pic:nvPicPr>
                          <pic:cNvPr descr="index_files/figure-docx/Scripts-AnalysisScripts-01_population_models-fig-diagram-optmodel-output-1.png" id="30" name="Picture"/>
                          <pic:cNvPicPr>
                            <a:picLocks noChangeArrowheads="1" noChangeAspect="1"/>
                          </pic:cNvPicPr>
                        </pic:nvPicPr>
                        <pic:blipFill>
                          <a:blip r:embed="rId28"/>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Path diagram of the optmodel</w:t>
            </w:r>
          </w:p>
          <w:bookmarkEnd w:id="31"/>
        </w:tc>
      </w:tr>
    </w:tbl>
    <w:p>
      <w:pPr>
        <w:pStyle w:val="BodyText"/>
      </w:pPr>
      <w:r>
        <w:rPr>
          <w:vertAlign w:val="subscript"/>
        </w:rPr>
        <w:t xml:space="preserve">Source:</w:t>
      </w:r>
      <w:r>
        <w:rPr>
          <w:vertAlign w:val="subscript"/>
        </w:rPr>
        <w:t xml:space="preserve"> </w:t>
      </w:r>
      <w:hyperlink r:id="rId32">
        <w:r>
          <w:rPr>
            <w:rStyle w:val="Hyperlink"/>
            <w:vertAlign w:val="subscript"/>
          </w:rPr>
          <w:t xml:space="preserve">Population Models</w:t>
        </w:r>
      </w:hyperlink>
    </w:p>
    <w:bookmarkEnd w:id="33"/>
    <w:bookmarkStart w:id="40" w:name="misspecification-model"/>
    <w:p>
      <w:pPr>
        <w:pStyle w:val="Heading3"/>
      </w:pPr>
      <w:r>
        <w:t xml:space="preserve">2.4 Misspecification model</w:t>
      </w:r>
    </w:p>
    <w:p>
      <w:pPr>
        <w:pStyle w:val="FirstParagraph"/>
      </w:pPr>
      <w:r>
        <w:t xml:space="preserve">This represents the alternative hypothesis (</w:t>
      </w:r>
      <m:oMath>
        <m:sSub>
          <m:e>
            <m:r>
              <m:t>H</m:t>
            </m:r>
          </m:e>
          <m:sub>
            <m:r>
              <m:t>1</m:t>
            </m:r>
          </m:sub>
        </m:sSub>
      </m:oMath>
      <w:r>
        <w:t xml:space="preserve">), defining a cross-loading population model. Three empirical cross-loadings are added to the baseline 4-factor structure based on</w:t>
      </w:r>
      <w:r>
        <w:t xml:space="preserve"> </w:t>
      </w:r>
      <w:r>
        <w:t xml:space="preserve">Lin &amp; Yao (2022)</w:t>
      </w:r>
      <w:r>
        <w:t xml:space="preserve"> </w:t>
      </w:r>
      <w:r>
        <w:t xml:space="preserve">and supported by recent literature</w:t>
      </w:r>
      <w:r>
        <w:t xml:space="preserve"> </w:t>
      </w:r>
      <w:r>
        <w:t xml:space="preserve">(</w:t>
      </w:r>
      <w:r>
        <w:t xml:space="preserve">Mosqueira Taipe et al.</w:t>
      </w:r>
      <w:r>
        <w:t xml:space="preserve">, 2026)</w:t>
      </w:r>
      <w:r>
        <w:t xml:space="preserve">:</w:t>
      </w:r>
    </w:p>
    <w:p>
      <w:pPr>
        <w:pStyle w:val="Compact"/>
        <w:numPr>
          <w:ilvl w:val="0"/>
          <w:numId w:val="1006"/>
        </w:numPr>
      </w:pPr>
      <w:r>
        <w:rPr>
          <w:b/>
          <w:bCs/>
        </w:rPr>
        <w:t xml:space="preserve">Cross-loading 1</w:t>
      </w:r>
      <w:r>
        <w:t xml:space="preserve">: item</w:t>
      </w:r>
      <w:r>
        <w:t xml:space="preserve"> </w:t>
      </w:r>
      <m:oMath>
        <m:r>
          <m:t>Q</m:t>
        </m:r>
        <m:r>
          <m:t>8</m:t>
        </m:r>
      </m:oMath>
      <w:r>
        <w:t xml:space="preserve"> </w:t>
      </w:r>
      <w:r>
        <w:t xml:space="preserve">loading on the Psychological factor (</w:t>
      </w:r>
      <m:oMath>
        <m:r>
          <m:t>λ</m:t>
        </m:r>
        <m:r>
          <m:rPr>
            <m:sty m:val="p"/>
          </m:rPr>
          <m:t>=</m:t>
        </m:r>
        <m:r>
          <m:t>0.55</m:t>
        </m:r>
      </m:oMath>
      <w:r>
        <w:t xml:space="preserve">). This item showed the highest betweenness (</w:t>
      </w:r>
      <m:oMath>
        <m:r>
          <m:t>40.50</m:t>
        </m:r>
      </m:oMath>
      <w:r>
        <w:t xml:space="preserve">) and explicitly grouped with the psychological factor in 9/16 studies</w:t>
      </w:r>
      <w:r>
        <w:t xml:space="preserve"> </w:t>
      </w:r>
      <w:r>
        <w:t xml:space="preserve">(Lin &amp; Yao, 2022)</w:t>
      </w:r>
      <w:r>
        <w:t xml:space="preserve">.</w:t>
      </w:r>
    </w:p>
    <w:p>
      <w:pPr>
        <w:pStyle w:val="Compact"/>
        <w:numPr>
          <w:ilvl w:val="0"/>
          <w:numId w:val="1006"/>
        </w:numPr>
      </w:pPr>
      <w:r>
        <w:rPr>
          <w:b/>
          <w:bCs/>
        </w:rPr>
        <w:t xml:space="preserve">Cross-loading 2</w:t>
      </w:r>
      <w:r>
        <w:t xml:space="preserve">: item</w:t>
      </w:r>
      <w:r>
        <w:t xml:space="preserve"> </w:t>
      </w:r>
      <m:oMath>
        <m:r>
          <m:t>Q</m:t>
        </m:r>
        <m:r>
          <m:t>9</m:t>
        </m:r>
      </m:oMath>
      <w:r>
        <w:t xml:space="preserve"> </w:t>
      </w:r>
      <w:r>
        <w:t xml:space="preserve">loading on the Psychological factor (</w:t>
      </w:r>
      <m:oMath>
        <m:r>
          <m:t>λ</m:t>
        </m:r>
        <m:r>
          <m:rPr>
            <m:sty m:val="p"/>
          </m:rPr>
          <m:t>=</m:t>
        </m:r>
        <m:r>
          <m:t>0.21</m:t>
        </m:r>
      </m:oMath>
      <w:r>
        <w:t xml:space="preserve">). Identified as a secondary loading in the 5-factor solution.</w:t>
      </w:r>
    </w:p>
    <w:p>
      <w:pPr>
        <w:pStyle w:val="Compact"/>
        <w:numPr>
          <w:ilvl w:val="0"/>
          <w:numId w:val="1006"/>
        </w:numPr>
      </w:pPr>
      <w:r>
        <w:rPr>
          <w:b/>
          <w:bCs/>
        </w:rPr>
        <w:t xml:space="preserve">Cross-loading 3</w:t>
      </w:r>
      <w:r>
        <w:t xml:space="preserve">: item</w:t>
      </w:r>
      <w:r>
        <w:t xml:space="preserve"> </w:t>
      </w:r>
      <m:oMath>
        <m:r>
          <m:t>Q</m:t>
        </m:r>
        <m:r>
          <m:t>15</m:t>
        </m:r>
      </m:oMath>
      <w:r>
        <w:t xml:space="preserve"> </w:t>
      </w:r>
      <w:r>
        <w:t xml:space="preserve">loading on the Environmental factor (</w:t>
      </w:r>
      <m:oMath>
        <m:r>
          <m:t>λ</m:t>
        </m:r>
        <m:r>
          <m:rPr>
            <m:sty m:val="p"/>
          </m:rPr>
          <m:t>=</m:t>
        </m:r>
        <m:r>
          <m:t>0.24</m:t>
        </m:r>
      </m:oMath>
      <w:r>
        <w:t xml:space="preserve">).</w:t>
      </w:r>
      <w:r>
        <w:t xml:space="preserve"> </w:t>
      </w:r>
      <w:r>
        <w:t xml:space="preserve">“Mobility”</w:t>
      </w:r>
      <w:r>
        <w:t xml:space="preserve"> </w:t>
      </w:r>
      <w:r>
        <w:t xml:space="preserve">conceptually bridges physical ability and environmental access, showing the second-highest betweenness (</w:t>
      </w:r>
      <m:oMath>
        <m:r>
          <m:t>36.50</m:t>
        </m:r>
      </m:oMath>
      <w:r>
        <w:t xml:space="preserve">)</w:t>
      </w:r>
      <w:r>
        <w:t xml:space="preserve"> </w:t>
      </w:r>
      <w:r>
        <w:t xml:space="preserve">(Lin &amp; Yao, 2022)</w:t>
      </w:r>
      <w:r>
        <w:t xml:space="preserve">.</w:t>
      </w:r>
    </w:p>
    <w:p>
      <w:pPr>
        <w:pStyle w:val="FirstParagraph"/>
      </w:pPr>
      <w:r>
        <w:t xml:space="preserve">Residual variances (</w:t>
      </w:r>
      <m:oMath>
        <m:r>
          <m:t>θ</m:t>
        </m:r>
      </m:oMath>
      <w:r>
        <w:t xml:space="preserve">) for cross-loaded items were recalculated to preserve total item variance using the formula</w:t>
      </w:r>
      <w:r>
        <w:t xml:space="preserve"> </w:t>
      </w:r>
      <m:oMath>
        <m:r>
          <m:t>θ</m:t>
        </m:r>
        <m:r>
          <m:rPr>
            <m:sty m:val="p"/>
          </m:rPr>
          <m:t>=</m:t>
        </m:r>
        <m:r>
          <m:t>1</m:t>
        </m:r>
        <m:r>
          <m:rPr>
            <m:sty m:val="p"/>
          </m:rPr>
          <m:t>−</m:t>
        </m:r>
        <m:sSubSup>
          <m:e>
            <m:r>
              <m:t>λ</m:t>
            </m:r>
          </m:e>
          <m:sub>
            <m:r>
              <m:rPr>
                <m:nor/>
                <m:sty m:val="p"/>
              </m:rPr>
              <m:t>primary</m:t>
            </m:r>
          </m:sub>
          <m:sup>
            <m:r>
              <m:t>2</m:t>
            </m:r>
          </m:sup>
        </m:sSubSup>
        <m:r>
          <m:rPr>
            <m:sty m:val="p"/>
          </m:rPr>
          <m:t>−</m:t>
        </m:r>
        <m:sSubSup>
          <m:e>
            <m:r>
              <m:t>λ</m:t>
            </m:r>
          </m:e>
          <m:sub>
            <m:r>
              <m:rPr>
                <m:nor/>
                <m:sty m:val="p"/>
              </m:rPr>
              <m:t>secondary</m:t>
            </m:r>
          </m:sub>
          <m:sup>
            <m:r>
              <m:t>2</m:t>
            </m:r>
          </m:sup>
        </m:sSubSup>
        <m:r>
          <m:rPr>
            <m:sty m:val="p"/>
          </m:rPr>
          <m:t>−</m:t>
        </m:r>
        <m:r>
          <m:t>2</m:t>
        </m:r>
        <m:sSub>
          <m:e>
            <m:r>
              <m:t>λ</m:t>
            </m:r>
          </m:e>
          <m:sub>
            <m:r>
              <m:rPr>
                <m:nor/>
                <m:sty m:val="p"/>
              </m:rPr>
              <m:t>primary</m:t>
            </m:r>
          </m:sub>
        </m:sSub>
        <m:sSub>
          <m:e>
            <m:r>
              <m:t>λ</m:t>
            </m:r>
          </m:e>
          <m:sub>
            <m:r>
              <m:rPr>
                <m:nor/>
                <m:sty m:val="p"/>
              </m:rPr>
              <m:t>secondary</m:t>
            </m:r>
          </m:sub>
        </m:sSub>
        <m:r>
          <m:t>ϕ</m:t>
        </m:r>
      </m:oMath>
      <w:r>
        <w:t xml:space="preserve">, where the interfactor correlation (</w:t>
      </w:r>
      <m:oMath>
        <m:r>
          <m:t>ϕ</m:t>
        </m:r>
      </m:oMath>
      <w:r>
        <w:t xml:space="preserve">) is</w:t>
      </w:r>
      <w:r>
        <w:t xml:space="preserve"> </w:t>
      </w:r>
      <m:oMath>
        <m:r>
          <m:t>0.20</m:t>
        </m:r>
      </m:oMath>
      <w:r>
        <w:t xml:space="preserve">.</w:t>
      </w:r>
    </w:p>
    <w:p>
      <w:pPr>
        <w:pStyle w:val="BodyText"/>
      </w:pPr>
      <w:r>
        <w:t xml:space="preserve">The</w:t>
      </w:r>
      <w:r>
        <w:t xml:space="preserve"> </w:t>
      </w:r>
      <w:r>
        <w:rPr>
          <w:rStyle w:val="VerbatimChar"/>
        </w:rPr>
        <w:t xml:space="preserve">lavaan</w:t>
      </w:r>
      <w:r>
        <w:t xml:space="preserve"> </w:t>
      </w:r>
      <w:r>
        <w:t xml:space="preserve">syntax for this population model is shown below, and</w:t>
      </w:r>
      <w:r>
        <w:t xml:space="preserve"> </w:t>
      </w:r>
      <w:hyperlink w:anchor="fig-diagram-h1model">
        <w:r>
          <w:rPr>
            <w:rStyle w:val="Hyperlink"/>
          </w:rPr>
          <w:t xml:space="preserve">Figure 4</w:t>
        </w:r>
      </w:hyperlink>
      <w:r>
        <w:t xml:space="preserve"> </w:t>
      </w:r>
      <w:r>
        <w:t xml:space="preserve">provides a visual representation of the model structure.</w:t>
      </w:r>
    </w:p>
    <w:p>
      <w:pPr>
        <w:pStyle w:val="SourceCode"/>
      </w:pPr>
      <w:r>
        <w:br/>
      </w:r>
      <w:r>
        <w:rPr>
          <w:rStyle w:val="VerbatimChar"/>
        </w:rPr>
        <w:t xml:space="preserve">  # ── Factor loadings (with three cross-loadings) ───────────────────────────</w:t>
      </w:r>
      <w:r>
        <w:br/>
      </w:r>
      <w:r>
        <w:rPr>
          <w:rStyle w:val="VerbatimChar"/>
        </w:rPr>
        <w:t xml:space="preserve">  psycho      =~ 0.92*Q5  + 0.81*Q6  + 0.94*Q7  +</w:t>
      </w:r>
      <w:r>
        <w:br/>
      </w:r>
      <w:r>
        <w:rPr>
          <w:rStyle w:val="VerbatimChar"/>
        </w:rPr>
        <w:t xml:space="preserve">                 0.73*Q11 + 0.75*Q19 + 0.63*Q26  +</w:t>
      </w:r>
      <w:r>
        <w:br/>
      </w:r>
      <w:r>
        <w:rPr>
          <w:rStyle w:val="VerbatimChar"/>
        </w:rPr>
        <w:t xml:space="preserve">                 0.55*Q8  +                             # cross-load (1)</w:t>
      </w:r>
      <w:r>
        <w:br/>
      </w:r>
      <w:r>
        <w:rPr>
          <w:rStyle w:val="VerbatimChar"/>
        </w:rPr>
        <w:t xml:space="preserve">                 0.21*Q9                                # cross-load (2)</w:t>
      </w:r>
      <w:r>
        <w:br/>
      </w:r>
      <w:r>
        <w:br/>
      </w:r>
      <w:r>
        <w:rPr>
          <w:rStyle w:val="VerbatimChar"/>
        </w:rPr>
        <w:t xml:space="preserve">  physical    =~ 0.84*Q3  + 0.83*Q4  + 0.63*Q10 +</w:t>
      </w:r>
      <w:r>
        <w:br/>
      </w:r>
      <w:r>
        <w:rPr>
          <w:rStyle w:val="VerbatimChar"/>
        </w:rPr>
        <w:t xml:space="preserve">                 0.71*Q15 + 0.68*Q16 + 0.89*Q17  + 0.61*Q18</w:t>
      </w:r>
      <w:r>
        <w:br/>
      </w:r>
      <w:r>
        <w:br/>
      </w:r>
      <w:r>
        <w:rPr>
          <w:rStyle w:val="VerbatimChar"/>
        </w:rPr>
        <w:t xml:space="preserve">  social      =~ 0.94*Q20 + 0.89*Q21 + 0.78*Q22</w:t>
      </w:r>
      <w:r>
        <w:br/>
      </w:r>
      <w:r>
        <w:br/>
      </w:r>
      <w:r>
        <w:rPr>
          <w:rStyle w:val="VerbatimChar"/>
        </w:rPr>
        <w:t xml:space="preserve">  environment =~ 0.37*Q8  + 0.49*Q9  + 0.79*Q12 + 0.81*Q13 +</w:t>
      </w:r>
      <w:r>
        <w:br/>
      </w:r>
      <w:r>
        <w:rPr>
          <w:rStyle w:val="VerbatimChar"/>
        </w:rPr>
        <w:t xml:space="preserve">                 0.77*Q14 + 0.75*Q23  + 0.64*Q24 + 0.73*Q25 +</w:t>
      </w:r>
      <w:r>
        <w:br/>
      </w:r>
      <w:r>
        <w:rPr>
          <w:rStyle w:val="VerbatimChar"/>
        </w:rPr>
        <w:t xml:space="preserve">                 0.24*Q15                               # cross-load (3)</w:t>
      </w:r>
      <w:r>
        <w:br/>
      </w:r>
      <w:r>
        <w:br/>
      </w:r>
      <w:r>
        <w:rPr>
          <w:rStyle w:val="VerbatimChar"/>
        </w:rPr>
        <w:t xml:space="preserve">  # ── Residual covariance Q3~~Q4 (fixed in both P2 and analyzeModel) ────────</w:t>
      </w:r>
      <w:r>
        <w:br/>
      </w:r>
      <w:r>
        <w:rPr>
          <w:rStyle w:val="VerbatimChar"/>
        </w:rPr>
        <w:t xml:space="preserve">  Q4 ~~ 0.0908*Q3</w:t>
      </w:r>
      <w:r>
        <w:br/>
      </w:r>
      <w:r>
        <w:br/>
      </w:r>
      <w:r>
        <w:rPr>
          <w:rStyle w:val="VerbatimChar"/>
        </w:rPr>
        <w:t xml:space="preserve">  # ── Factor variances (=1) and interfactor correlations ────────────────────</w:t>
      </w:r>
      <w:r>
        <w:br/>
      </w:r>
      <w:r>
        <w:rPr>
          <w:rStyle w:val="VerbatimChar"/>
        </w:rPr>
        <w:t xml:space="preserve">  psycho      ~~ 1*psycho      + 0.2*physical + 0.2*social + 0.2*environment</w:t>
      </w:r>
      <w:r>
        <w:br/>
      </w:r>
      <w:r>
        <w:rPr>
          <w:rStyle w:val="VerbatimChar"/>
        </w:rPr>
        <w:t xml:space="preserve">  physical    ~~ 1*physical    + 0.2*social   + 0.2*environment</w:t>
      </w:r>
      <w:r>
        <w:br/>
      </w:r>
      <w:r>
        <w:rPr>
          <w:rStyle w:val="VerbatimChar"/>
        </w:rPr>
        <w:t xml:space="preserve">  social      ~~ 1*social      + 0.2*environment</w:t>
      </w:r>
      <w:r>
        <w:br/>
      </w:r>
      <w:r>
        <w:rPr>
          <w:rStyle w:val="VerbatimChar"/>
        </w:rPr>
        <w:t xml:space="preserve">  environment ~~ 1*environment</w:t>
      </w:r>
      <w:r>
        <w:br/>
      </w:r>
      <w:r>
        <w:br/>
      </w:r>
      <w:r>
        <w:rPr>
          <w:rStyle w:val="VerbatimChar"/>
        </w:rPr>
        <w:t xml:space="preserve">  # ── Residual variances ────────────────────────────────────────────────────</w:t>
      </w:r>
      <w:r>
        <w:br/>
      </w:r>
      <w:r>
        <w:rPr>
          <w:rStyle w:val="VerbatimChar"/>
        </w:rPr>
        <w:t xml:space="preserve">  Q5  ~~ 0.1536*Q5</w:t>
      </w:r>
      <w:r>
        <w:br/>
      </w:r>
      <w:r>
        <w:rPr>
          <w:rStyle w:val="VerbatimChar"/>
        </w:rPr>
        <w:t xml:space="preserve">  Q6  ~~ 0.3439*Q6</w:t>
      </w:r>
      <w:r>
        <w:br/>
      </w:r>
      <w:r>
        <w:rPr>
          <w:rStyle w:val="VerbatimChar"/>
        </w:rPr>
        <w:t xml:space="preserve">  Q7  ~~ 0.1164*Q7</w:t>
      </w:r>
      <w:r>
        <w:br/>
      </w:r>
      <w:r>
        <w:rPr>
          <w:rStyle w:val="VerbatimChar"/>
        </w:rPr>
        <w:t xml:space="preserve">  Q11 ~~ 0.4671*Q11</w:t>
      </w:r>
      <w:r>
        <w:br/>
      </w:r>
      <w:r>
        <w:rPr>
          <w:rStyle w:val="VerbatimChar"/>
        </w:rPr>
        <w:t xml:space="preserve">  Q19 ~~ 0.4375*Q19</w:t>
      </w:r>
      <w:r>
        <w:br/>
      </w:r>
      <w:r>
        <w:rPr>
          <w:rStyle w:val="VerbatimChar"/>
        </w:rPr>
        <w:t xml:space="preserve">  Q26 ~~ 0.6031*Q26</w:t>
      </w:r>
      <w:r>
        <w:br/>
      </w:r>
      <w:r>
        <w:rPr>
          <w:rStyle w:val="VerbatimChar"/>
        </w:rPr>
        <w:t xml:space="preserve">  Q3  ~~ 0.2944*Q3</w:t>
      </w:r>
      <w:r>
        <w:br/>
      </w:r>
      <w:r>
        <w:rPr>
          <w:rStyle w:val="VerbatimChar"/>
        </w:rPr>
        <w:t xml:space="preserve">  Q4  ~~ 0.3111*Q4</w:t>
      </w:r>
      <w:r>
        <w:br/>
      </w:r>
      <w:r>
        <w:rPr>
          <w:rStyle w:val="VerbatimChar"/>
        </w:rPr>
        <w:t xml:space="preserve">  Q10 ~~ 0.6031*Q10</w:t>
      </w:r>
      <w:r>
        <w:br/>
      </w:r>
      <w:r>
        <w:rPr>
          <w:rStyle w:val="VerbatimChar"/>
        </w:rPr>
        <w:t xml:space="preserve">  Q15 ~~ 0.3701*Q15   # UPDATED: was 0.4959 — cross-load on environment</w:t>
      </w:r>
      <w:r>
        <w:br/>
      </w:r>
      <w:r>
        <w:rPr>
          <w:rStyle w:val="VerbatimChar"/>
        </w:rPr>
        <w:t xml:space="preserve">  Q16 ~~ 0.5376*Q16</w:t>
      </w:r>
      <w:r>
        <w:br/>
      </w:r>
      <w:r>
        <w:rPr>
          <w:rStyle w:val="VerbatimChar"/>
        </w:rPr>
        <w:t xml:space="preserve">  Q17 ~~ 0.2079*Q17</w:t>
      </w:r>
      <w:r>
        <w:br/>
      </w:r>
      <w:r>
        <w:rPr>
          <w:rStyle w:val="VerbatimChar"/>
        </w:rPr>
        <w:t xml:space="preserve">  Q18 ~~ 0.6279*Q18</w:t>
      </w:r>
      <w:r>
        <w:br/>
      </w:r>
      <w:r>
        <w:rPr>
          <w:rStyle w:val="VerbatimChar"/>
        </w:rPr>
        <w:t xml:space="preserve">  Q20 ~~ 0.1164*Q20</w:t>
      </w:r>
      <w:r>
        <w:br/>
      </w:r>
      <w:r>
        <w:rPr>
          <w:rStyle w:val="VerbatimChar"/>
        </w:rPr>
        <w:t xml:space="preserve">  Q21 ~~ 0.2079*Q21</w:t>
      </w:r>
      <w:r>
        <w:br/>
      </w:r>
      <w:r>
        <w:rPr>
          <w:rStyle w:val="VerbatimChar"/>
        </w:rPr>
        <w:t xml:space="preserve">  Q22 ~~ 0.3916*Q22</w:t>
      </w:r>
      <w:r>
        <w:br/>
      </w:r>
      <w:r>
        <w:rPr>
          <w:rStyle w:val="VerbatimChar"/>
        </w:rPr>
        <w:t xml:space="preserve">  Q8  ~~ 0.4792*Q8    # UPDATED: was 0.8631 — cross-load on psycho</w:t>
      </w:r>
      <w:r>
        <w:br/>
      </w:r>
      <w:r>
        <w:rPr>
          <w:rStyle w:val="VerbatimChar"/>
        </w:rPr>
        <w:t xml:space="preserve">  Q9  ~~ 0.6746*Q9    # UPDATED: was 0.7599 — cross-load on psycho</w:t>
      </w:r>
      <w:r>
        <w:br/>
      </w:r>
      <w:r>
        <w:rPr>
          <w:rStyle w:val="VerbatimChar"/>
        </w:rPr>
        <w:t xml:space="preserve">  Q12 ~~ 0.3759*Q12</w:t>
      </w:r>
      <w:r>
        <w:br/>
      </w:r>
      <w:r>
        <w:rPr>
          <w:rStyle w:val="VerbatimChar"/>
        </w:rPr>
        <w:t xml:space="preserve">  Q13 ~~ 0.3439*Q13</w:t>
      </w:r>
      <w:r>
        <w:br/>
      </w:r>
      <w:r>
        <w:rPr>
          <w:rStyle w:val="VerbatimChar"/>
        </w:rPr>
        <w:t xml:space="preserve">  Q14 ~~ 0.4071*Q14</w:t>
      </w:r>
      <w:r>
        <w:br/>
      </w:r>
      <w:r>
        <w:rPr>
          <w:rStyle w:val="VerbatimChar"/>
        </w:rPr>
        <w:t xml:space="preserve">  Q23 ~~ 0.4375*Q23</w:t>
      </w:r>
      <w:r>
        <w:br/>
      </w:r>
      <w:r>
        <w:rPr>
          <w:rStyle w:val="VerbatimChar"/>
        </w:rPr>
        <w:t xml:space="preserve">  Q24 ~~ 0.5904*Q24</w:t>
      </w:r>
      <w:r>
        <w:br/>
      </w:r>
      <w:r>
        <w:rPr>
          <w:rStyle w:val="VerbatimChar"/>
        </w:rPr>
        <w:t xml:space="preserve">  Q25 ~~ 0.4671*Q25</w:t>
      </w:r>
    </w:p>
    <w:p>
      <w:pPr>
        <w:pStyle w:val="FirstParagraph"/>
      </w:pPr>
      <w:r>
        <w:rPr>
          <w:vertAlign w:val="subscript"/>
        </w:rPr>
        <w:t xml:space="preserve">Source:</w:t>
      </w:r>
      <w:r>
        <w:rPr>
          <w:vertAlign w:val="subscript"/>
        </w:rPr>
        <w:t xml:space="preserve"> </w:t>
      </w:r>
      <w:hyperlink r:id="rId34">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38" w:name="fig-diagram-h1model"/>
          <w:p>
            <w:pPr>
              <w:pStyle w:val="Compact"/>
              <w:jc w:val="center"/>
            </w:pPr>
            <w:r>
              <w:drawing>
                <wp:inline>
                  <wp:extent cx="5334000" cy="4667249"/>
                  <wp:effectExtent b="0" l="0" r="0" t="0"/>
                  <wp:docPr descr="" title="" id="36" name="Picture"/>
                  <a:graphic>
                    <a:graphicData uri="http://schemas.openxmlformats.org/drawingml/2006/picture">
                      <pic:pic>
                        <pic:nvPicPr>
                          <pic:cNvPr descr="index_files/figure-docx/Scripts-AnalysisScripts-01_population_models-fig-diagram-h1model-output-1.png" id="37" name="Picture"/>
                          <pic:cNvPicPr>
                            <a:picLocks noChangeArrowheads="1" noChangeAspect="1"/>
                          </pic:cNvPicPr>
                        </pic:nvPicPr>
                        <pic:blipFill>
                          <a:blip r:embed="rId35"/>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Path diagram of the h1model</w:t>
            </w:r>
          </w:p>
          <w:bookmarkEnd w:id="38"/>
        </w:tc>
      </w:tr>
    </w:tbl>
    <w:p>
      <w:pPr>
        <w:pStyle w:val="BodyText"/>
      </w:pPr>
      <w:r>
        <w:rPr>
          <w:vertAlign w:val="subscript"/>
        </w:rPr>
        <w:t xml:space="preserve">Source:</w:t>
      </w:r>
      <w:r>
        <w:rPr>
          <w:vertAlign w:val="subscript"/>
        </w:rPr>
        <w:t xml:space="preserve"> </w:t>
      </w:r>
      <w:hyperlink r:id="rId39">
        <w:r>
          <w:rPr>
            <w:rStyle w:val="Hyperlink"/>
            <w:vertAlign w:val="subscript"/>
          </w:rPr>
          <w:t xml:space="preserve">Population Models</w:t>
        </w:r>
      </w:hyperlink>
    </w:p>
    <w:bookmarkEnd w:id="40"/>
    <w:bookmarkStart w:id="45" w:name="summary-of-population-alternative-models"/>
    <w:p>
      <w:pPr>
        <w:pStyle w:val="Heading3"/>
      </w:pPr>
      <w:r>
        <w:t xml:space="preserve">2.5 Summary of population (alternative) models</w:t>
      </w:r>
    </w:p>
    <w:p>
      <w:pPr>
        <w:pStyle w:val="FirstParagraph"/>
      </w:pPr>
      <w:r>
        <w:t xml:space="preserve">In</w:t>
      </w:r>
      <w:r>
        <w:t xml:space="preserve"> </w:t>
      </w:r>
      <w:hyperlink w:anchor="tbl-pop-summary">
        <w:r>
          <w:rPr>
            <w:rStyle w:val="Hyperlink"/>
          </w:rPr>
          <w:t xml:space="preserve">Table 1</w:t>
        </w:r>
      </w:hyperlink>
      <w:r>
        <w:t xml:space="preserve">, we show all parameters of the four population models. To facilitate comparison,</w:t>
      </w:r>
      <w:r>
        <w:t xml:space="preserve"> </w:t>
      </w:r>
      <w:hyperlink w:anchor="tbl-pop-comparison">
        <w:r>
          <w:rPr>
            <w:rStyle w:val="Hyperlink"/>
          </w:rPr>
          <w:t xml:space="preserve">Table 2</w:t>
        </w:r>
      </w:hyperlink>
      <w:r>
        <w:t xml:space="preserve"> </w:t>
      </w:r>
      <w:r>
        <w:t xml:space="preserve">summarizes key parameters across models, including the minimum and maximum factor loadings, mean loading, mode of the factor correlations, minimum and maximum residual variances, and the residual correlation between</w:t>
      </w:r>
      <w:r>
        <w:t xml:space="preserve"> </w:t>
      </w:r>
      <m:oMath>
        <m:r>
          <m:t>Q</m:t>
        </m:r>
        <m:r>
          <m:t>3</m:t>
        </m:r>
      </m:oMath>
      <w:r>
        <w:t xml:space="preserve"> </w:t>
      </w:r>
      <w:r>
        <w:t xml:space="preserve">and</w:t>
      </w:r>
      <w:r>
        <w:t xml:space="preserve"> </w:t>
      </w:r>
      <m:oMath>
        <m:r>
          <m:t>Q</m:t>
        </m:r>
        <m:r>
          <m:t>4</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1" w:name="tbl-pop-summary"/>
          <w:p>
            <w:pPr>
              <w:jc w:val="center"/>
            </w:pPr>
            <w:pPr>
              <w:jc w:val="left"/>
              <w:spacing w:before="200"/>
              <w:pStyle w:val="ImageCaption"/>
            </w:pPr>
            <w:r>
              <w:t xml:space="preserve">Table 1: Summary of population models used for sensitivity analysis</w:t>
            </w:r>
          </w:p>
          <w:p>
            <w:pPr>
              <w:pStyle w:val="Compact"/>
              <w:jc w:val="center"/>
            </w:pPr>
            <w:r>
              <w:t xml:space="preserve">CFA Population Models Parameter</w:t>
            </w:r>
          </w:p>
          <w:tbl>
            <w:tblPr>
              <w:tblStyle w:val="Table"/>
              <w:tblW w:type="pct" w:w="4870"/>
              <w:tblLayout w:type="fixed"/>
              <w:tblLook w:firstRow="1" w:lastRow="0" w:firstColumn="0" w:lastColumn="0" w:noHBand="0" w:noVBand="0" w:val="0020"/>
              <w:tblCaption w:val="CFA Population Models Parameter"/>
            </w:tblPr>
            <w:tblGrid>
              <w:gridCol w:w="2982"/>
              <w:gridCol w:w="1131"/>
              <w:gridCol w:w="1337"/>
              <w:gridCol w:w="1131"/>
              <w:gridCol w:w="1131"/>
            </w:tblGrid>
            <w:tr>
              <w:trPr>
                <w:tblHeader w:val="on"/>
              </w:trPr>
              <w:tc>
                <w:tcPr/>
                <w:p>
                  <w:pPr>
                    <w:pStyle w:val="Compact"/>
                    <w:jc w:val="left"/>
                    <w:jc w:val="center"/>
                  </w:pPr>
                  <w:r>
                    <w:t xml:space="preserve">parameters</w:t>
                  </w:r>
                </w:p>
              </w:tc>
              <w:tc>
                <w:tcPr/>
                <w:p>
                  <w:pPr>
                    <w:pStyle w:val="Compact"/>
                    <w:jc w:val="center"/>
                    <w:jc w:val="center"/>
                  </w:pPr>
                  <w:r>
                    <w:t xml:space="preserve">popmodel</w:t>
                  </w:r>
                </w:p>
              </w:tc>
              <w:tc>
                <w:tcPr/>
                <w:p>
                  <w:pPr>
                    <w:pStyle w:val="Compact"/>
                    <w:jc w:val="center"/>
                    <w:jc w:val="center"/>
                  </w:pPr>
                  <w:r>
                    <w:t xml:space="preserve">naivemodel</w:t>
                  </w:r>
                </w:p>
              </w:tc>
              <w:tc>
                <w:tcPr/>
                <w:p>
                  <w:pPr>
                    <w:pStyle w:val="Compact"/>
                    <w:jc w:val="center"/>
                    <w:jc w:val="center"/>
                  </w:pPr>
                  <w:r>
                    <w:t xml:space="preserve">optmodel</w:t>
                  </w:r>
                </w:p>
              </w:tc>
              <w:tc>
                <w:tcPr/>
                <w:p>
                  <w:pPr>
                    <w:pStyle w:val="Compact"/>
                    <w:jc w:val="center"/>
                    <w:jc w:val="center"/>
                  </w:pPr>
                  <w:r>
                    <w:t xml:space="preserve">h1model</w:t>
                  </w:r>
                </w:p>
              </w:tc>
            </w:tr>
            <w:tr>
              <w:tc>
                <w:tcPr/>
                <w:p>
                  <w:pPr>
                    <w:pStyle w:val="Compact"/>
                    <w:jc w:val="left"/>
                    <w:jc w:val="center"/>
                  </w:pPr>
                  <w:r>
                    <w:t xml:space="preserve">psycho=~Q5</w:t>
                  </w:r>
                </w:p>
              </w:tc>
              <w:tc>
                <w:tcPr/>
                <w:p>
                  <w:pPr>
                    <w:pStyle w:val="Compact"/>
                    <w:jc w:val="center"/>
                    <w:jc w:val="center"/>
                  </w:pPr>
                  <w:r>
                    <w:t xml:space="preserve">0.9200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0.9200</w:t>
                  </w:r>
                </w:p>
              </w:tc>
            </w:tr>
            <w:tr>
              <w:tc>
                <w:tcPr/>
                <w:p>
                  <w:pPr>
                    <w:pStyle w:val="Compact"/>
                    <w:jc w:val="left"/>
                    <w:jc w:val="center"/>
                  </w:pPr>
                  <w:r>
                    <w:t xml:space="preserve">psycho=~Q6</w:t>
                  </w:r>
                </w:p>
              </w:tc>
              <w:tc>
                <w:tcPr/>
                <w:p>
                  <w:pPr>
                    <w:pStyle w:val="Compact"/>
                    <w:jc w:val="center"/>
                    <w:jc w:val="center"/>
                  </w:pPr>
                  <w:r>
                    <w:t xml:space="preserve">0.8100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0.8100</w:t>
                  </w:r>
                </w:p>
              </w:tc>
            </w:tr>
            <w:tr>
              <w:tc>
                <w:tcPr/>
                <w:p>
                  <w:pPr>
                    <w:pStyle w:val="Compact"/>
                    <w:jc w:val="left"/>
                    <w:jc w:val="center"/>
                  </w:pPr>
                  <w:r>
                    <w:t xml:space="preserve">psycho=~Q7</w:t>
                  </w:r>
                </w:p>
              </w:tc>
              <w:tc>
                <w:tcPr/>
                <w:p>
                  <w:pPr>
                    <w:pStyle w:val="Compact"/>
                    <w:jc w:val="center"/>
                    <w:jc w:val="center"/>
                  </w:pPr>
                  <w:r>
                    <w:t xml:space="preserve">0.9400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0.9400</w:t>
                  </w:r>
                </w:p>
              </w:tc>
            </w:tr>
            <w:tr>
              <w:tc>
                <w:tcPr/>
                <w:p>
                  <w:pPr>
                    <w:pStyle w:val="Compact"/>
                    <w:jc w:val="left"/>
                    <w:jc w:val="center"/>
                  </w:pPr>
                  <w:r>
                    <w:t xml:space="preserve">psycho=~Q11</w:t>
                  </w:r>
                </w:p>
              </w:tc>
              <w:tc>
                <w:tcPr/>
                <w:p>
                  <w:pPr>
                    <w:pStyle w:val="Compact"/>
                    <w:jc w:val="center"/>
                    <w:jc w:val="center"/>
                  </w:pPr>
                  <w:r>
                    <w:t xml:space="preserve">0.7300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0.7300</w:t>
                  </w:r>
                </w:p>
              </w:tc>
            </w:tr>
            <w:tr>
              <w:tc>
                <w:tcPr/>
                <w:p>
                  <w:pPr>
                    <w:pStyle w:val="Compact"/>
                    <w:jc w:val="left"/>
                    <w:jc w:val="center"/>
                  </w:pPr>
                  <w:r>
                    <w:t xml:space="preserve">psycho=~Q19</w:t>
                  </w:r>
                </w:p>
              </w:tc>
              <w:tc>
                <w:tcPr/>
                <w:p>
                  <w:pPr>
                    <w:pStyle w:val="Compact"/>
                    <w:jc w:val="center"/>
                    <w:jc w:val="center"/>
                  </w:pPr>
                  <w:r>
                    <w:t xml:space="preserve">0.7500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0.7500</w:t>
                  </w:r>
                </w:p>
              </w:tc>
            </w:tr>
            <w:tr>
              <w:tc>
                <w:tcPr/>
                <w:p>
                  <w:pPr>
                    <w:pStyle w:val="Compact"/>
                    <w:jc w:val="left"/>
                    <w:jc w:val="center"/>
                  </w:pPr>
                  <w:r>
                    <w:t xml:space="preserve">psycho=~Q26</w:t>
                  </w:r>
                </w:p>
              </w:tc>
              <w:tc>
                <w:tcPr/>
                <w:p>
                  <w:pPr>
                    <w:pStyle w:val="Compact"/>
                    <w:jc w:val="center"/>
                    <w:jc w:val="center"/>
                  </w:pPr>
                  <w:r>
                    <w:t xml:space="preserve">0.6300</w:t>
                  </w:r>
                </w:p>
              </w:tc>
              <w:tc>
                <w:tcPr/>
                <w:p>
                  <w:pPr>
                    <w:pStyle w:val="Compact"/>
                    <w:jc w:val="center"/>
                    <w:jc w:val="center"/>
                  </w:pPr>
                  <w:r>
                    <w:t xml:space="preserve">0.5328</w:t>
                  </w:r>
                </w:p>
              </w:tc>
              <w:tc>
                <w:tcPr/>
                <w:p>
                  <w:pPr>
                    <w:pStyle w:val="Compact"/>
                    <w:jc w:val="center"/>
                    <w:jc w:val="center"/>
                  </w:pPr>
                  <w:r>
                    <w:t xml:space="preserve">0.7113</w:t>
                  </w:r>
                </w:p>
              </w:tc>
              <w:tc>
                <w:tcPr/>
                <w:p>
                  <w:pPr>
                    <w:pStyle w:val="Compact"/>
                    <w:jc w:val="center"/>
                    <w:jc w:val="center"/>
                  </w:pPr>
                  <w:r>
                    <w:t xml:space="preserve">0.6300</w:t>
                  </w:r>
                </w:p>
              </w:tc>
            </w:tr>
            <w:tr>
              <w:tc>
                <w:tcPr/>
                <w:p>
                  <w:pPr>
                    <w:pStyle w:val="Compact"/>
                    <w:jc w:val="left"/>
                    <w:jc w:val="center"/>
                  </w:pPr>
                  <w:r>
                    <w:t xml:space="preserve">physical=~Q3</w:t>
                  </w:r>
                </w:p>
              </w:tc>
              <w:tc>
                <w:tcPr/>
                <w:p>
                  <w:pPr>
                    <w:pStyle w:val="Compact"/>
                    <w:jc w:val="center"/>
                    <w:jc w:val="center"/>
                  </w:pPr>
                  <w:r>
                    <w:t xml:space="preserve">0.8400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0.8400</w:t>
                  </w:r>
                </w:p>
              </w:tc>
            </w:tr>
            <w:tr>
              <w:tc>
                <w:tcPr/>
                <w:p>
                  <w:pPr>
                    <w:pStyle w:val="Compact"/>
                    <w:jc w:val="left"/>
                    <w:jc w:val="center"/>
                  </w:pPr>
                  <w:r>
                    <w:t xml:space="preserve">physical=~Q4</w:t>
                  </w:r>
                </w:p>
              </w:tc>
              <w:tc>
                <w:tcPr/>
                <w:p>
                  <w:pPr>
                    <w:pStyle w:val="Compact"/>
                    <w:jc w:val="center"/>
                    <w:jc w:val="center"/>
                  </w:pPr>
                  <w:r>
                    <w:t xml:space="preserve">0.8300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0.8300</w:t>
                  </w:r>
                </w:p>
              </w:tc>
            </w:tr>
            <w:tr>
              <w:tc>
                <w:tcPr/>
                <w:p>
                  <w:pPr>
                    <w:pStyle w:val="Compact"/>
                    <w:jc w:val="left"/>
                    <w:jc w:val="center"/>
                  </w:pPr>
                  <w:r>
                    <w:t xml:space="preserve">physical=~Q10</w:t>
                  </w:r>
                </w:p>
              </w:tc>
              <w:tc>
                <w:tcPr/>
                <w:p>
                  <w:pPr>
                    <w:pStyle w:val="Compact"/>
                    <w:jc w:val="center"/>
                    <w:jc w:val="center"/>
                  </w:pPr>
                  <w:r>
                    <w:t xml:space="preserve">0.6300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0.6300</w:t>
                  </w:r>
                </w:p>
              </w:tc>
            </w:tr>
            <w:tr>
              <w:tc>
                <w:tcPr/>
                <w:p>
                  <w:pPr>
                    <w:pStyle w:val="Compact"/>
                    <w:jc w:val="left"/>
                    <w:jc w:val="center"/>
                  </w:pPr>
                  <w:r>
                    <w:t xml:space="preserve">physical=~Q15</w:t>
                  </w:r>
                </w:p>
              </w:tc>
              <w:tc>
                <w:tcPr/>
                <w:p>
                  <w:pPr>
                    <w:pStyle w:val="Compact"/>
                    <w:jc w:val="center"/>
                    <w:jc w:val="center"/>
                  </w:pPr>
                  <w:r>
                    <w:t xml:space="preserve">0.7100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0.7100</w:t>
                  </w:r>
                </w:p>
              </w:tc>
            </w:tr>
            <w:tr>
              <w:tc>
                <w:tcPr/>
                <w:p>
                  <w:pPr>
                    <w:pStyle w:val="Compact"/>
                    <w:jc w:val="left"/>
                    <w:jc w:val="center"/>
                  </w:pPr>
                  <w:r>
                    <w:t xml:space="preserve">physical=~Q16</w:t>
                  </w:r>
                </w:p>
              </w:tc>
              <w:tc>
                <w:tcPr/>
                <w:p>
                  <w:pPr>
                    <w:pStyle w:val="Compact"/>
                    <w:jc w:val="center"/>
                    <w:jc w:val="center"/>
                  </w:pPr>
                  <w:r>
                    <w:t xml:space="preserve">0.6800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0.6800</w:t>
                  </w:r>
                </w:p>
              </w:tc>
            </w:tr>
            <w:tr>
              <w:tc>
                <w:tcPr/>
                <w:p>
                  <w:pPr>
                    <w:pStyle w:val="Compact"/>
                    <w:jc w:val="left"/>
                    <w:jc w:val="center"/>
                  </w:pPr>
                  <w:r>
                    <w:t xml:space="preserve">physical=~Q17</w:t>
                  </w:r>
                </w:p>
              </w:tc>
              <w:tc>
                <w:tcPr/>
                <w:p>
                  <w:pPr>
                    <w:pStyle w:val="Compact"/>
                    <w:jc w:val="center"/>
                    <w:jc w:val="center"/>
                  </w:pPr>
                  <w:r>
                    <w:t xml:space="preserve">0.8900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0.8900</w:t>
                  </w:r>
                </w:p>
              </w:tc>
            </w:tr>
            <w:tr>
              <w:tc>
                <w:tcPr/>
                <w:p>
                  <w:pPr>
                    <w:pStyle w:val="Compact"/>
                    <w:jc w:val="left"/>
                    <w:jc w:val="center"/>
                  </w:pPr>
                  <w:r>
                    <w:t xml:space="preserve">physical=~Q18</w:t>
                  </w:r>
                </w:p>
              </w:tc>
              <w:tc>
                <w:tcPr/>
                <w:p>
                  <w:pPr>
                    <w:pStyle w:val="Compact"/>
                    <w:jc w:val="center"/>
                    <w:jc w:val="center"/>
                  </w:pPr>
                  <w:r>
                    <w:t xml:space="preserve">0.6100</w:t>
                  </w:r>
                </w:p>
              </w:tc>
              <w:tc>
                <w:tcPr/>
                <w:p>
                  <w:pPr>
                    <w:pStyle w:val="Compact"/>
                    <w:jc w:val="center"/>
                    <w:jc w:val="center"/>
                  </w:pPr>
                  <w:r>
                    <w:t xml:space="preserve">0.4758</w:t>
                  </w:r>
                </w:p>
              </w:tc>
              <w:tc>
                <w:tcPr/>
                <w:p>
                  <w:pPr>
                    <w:pStyle w:val="Compact"/>
                    <w:jc w:val="center"/>
                    <w:jc w:val="center"/>
                  </w:pPr>
                  <w:r>
                    <w:t xml:space="preserve">0.6837</w:t>
                  </w:r>
                </w:p>
              </w:tc>
              <w:tc>
                <w:tcPr/>
                <w:p>
                  <w:pPr>
                    <w:pStyle w:val="Compact"/>
                    <w:jc w:val="center"/>
                    <w:jc w:val="center"/>
                  </w:pPr>
                  <w:r>
                    <w:t xml:space="preserve">0.6100</w:t>
                  </w:r>
                </w:p>
              </w:tc>
            </w:tr>
            <w:tr>
              <w:tc>
                <w:tcPr/>
                <w:p>
                  <w:pPr>
                    <w:pStyle w:val="Compact"/>
                    <w:jc w:val="left"/>
                    <w:jc w:val="center"/>
                  </w:pPr>
                  <w:r>
                    <w:t xml:space="preserve">social=~Q20</w:t>
                  </w:r>
                </w:p>
              </w:tc>
              <w:tc>
                <w:tcPr/>
                <w:p>
                  <w:pPr>
                    <w:pStyle w:val="Compact"/>
                    <w:jc w:val="center"/>
                    <w:jc w:val="center"/>
                  </w:pPr>
                  <w:r>
                    <w:t xml:space="preserve">0.9400</w:t>
                  </w:r>
                </w:p>
              </w:tc>
              <w:tc>
                <w:tcPr/>
                <w:p>
                  <w:pPr>
                    <w:pStyle w:val="Compact"/>
                    <w:jc w:val="center"/>
                    <w:jc w:val="center"/>
                  </w:pPr>
                  <w:r>
                    <w:t xml:space="preserve">0.6017</w:t>
                  </w:r>
                </w:p>
              </w:tc>
              <w:tc>
                <w:tcPr/>
                <w:p>
                  <w:pPr>
                    <w:pStyle w:val="Compact"/>
                    <w:jc w:val="center"/>
                    <w:jc w:val="center"/>
                  </w:pPr>
                  <w:r>
                    <w:t xml:space="preserve">0.7661</w:t>
                  </w:r>
                </w:p>
              </w:tc>
              <w:tc>
                <w:tcPr/>
                <w:p>
                  <w:pPr>
                    <w:pStyle w:val="Compact"/>
                    <w:jc w:val="center"/>
                    <w:jc w:val="center"/>
                  </w:pPr>
                  <w:r>
                    <w:t xml:space="preserve">0.9400</w:t>
                  </w:r>
                </w:p>
              </w:tc>
            </w:tr>
            <w:tr>
              <w:tc>
                <w:tcPr/>
                <w:p>
                  <w:pPr>
                    <w:pStyle w:val="Compact"/>
                    <w:jc w:val="left"/>
                    <w:jc w:val="center"/>
                  </w:pPr>
                  <w:r>
                    <w:t xml:space="preserve">social=~Q21</w:t>
                  </w:r>
                </w:p>
              </w:tc>
              <w:tc>
                <w:tcPr/>
                <w:p>
                  <w:pPr>
                    <w:pStyle w:val="Compact"/>
                    <w:jc w:val="center"/>
                    <w:jc w:val="center"/>
                  </w:pPr>
                  <w:r>
                    <w:t xml:space="preserve">0.8900</w:t>
                  </w:r>
                </w:p>
              </w:tc>
              <w:tc>
                <w:tcPr/>
                <w:p>
                  <w:pPr>
                    <w:pStyle w:val="Compact"/>
                    <w:jc w:val="center"/>
                    <w:jc w:val="center"/>
                  </w:pPr>
                  <w:r>
                    <w:t xml:space="preserve">0.6017</w:t>
                  </w:r>
                </w:p>
              </w:tc>
              <w:tc>
                <w:tcPr/>
                <w:p>
                  <w:pPr>
                    <w:pStyle w:val="Compact"/>
                    <w:jc w:val="center"/>
                    <w:jc w:val="center"/>
                  </w:pPr>
                  <w:r>
                    <w:t xml:space="preserve">0.7661</w:t>
                  </w:r>
                </w:p>
              </w:tc>
              <w:tc>
                <w:tcPr/>
                <w:p>
                  <w:pPr>
                    <w:pStyle w:val="Compact"/>
                    <w:jc w:val="center"/>
                    <w:jc w:val="center"/>
                  </w:pPr>
                  <w:r>
                    <w:t xml:space="preserve">0.8900</w:t>
                  </w:r>
                </w:p>
              </w:tc>
            </w:tr>
            <w:tr>
              <w:tc>
                <w:tcPr/>
                <w:p>
                  <w:pPr>
                    <w:pStyle w:val="Compact"/>
                    <w:jc w:val="left"/>
                    <w:jc w:val="center"/>
                  </w:pPr>
                  <w:r>
                    <w:t xml:space="preserve">social=~Q22</w:t>
                  </w:r>
                </w:p>
              </w:tc>
              <w:tc>
                <w:tcPr/>
                <w:p>
                  <w:pPr>
                    <w:pStyle w:val="Compact"/>
                    <w:jc w:val="center"/>
                    <w:jc w:val="center"/>
                  </w:pPr>
                  <w:r>
                    <w:t xml:space="preserve">0.7800</w:t>
                  </w:r>
                </w:p>
              </w:tc>
              <w:tc>
                <w:tcPr/>
                <w:p>
                  <w:pPr>
                    <w:pStyle w:val="Compact"/>
                    <w:jc w:val="center"/>
                    <w:jc w:val="center"/>
                  </w:pPr>
                  <w:r>
                    <w:t xml:space="preserve">0.6017</w:t>
                  </w:r>
                </w:p>
              </w:tc>
              <w:tc>
                <w:tcPr/>
                <w:p>
                  <w:pPr>
                    <w:pStyle w:val="Compact"/>
                    <w:jc w:val="center"/>
                    <w:jc w:val="center"/>
                  </w:pPr>
                  <w:r>
                    <w:t xml:space="preserve">0.7661</w:t>
                  </w:r>
                </w:p>
              </w:tc>
              <w:tc>
                <w:tcPr/>
                <w:p>
                  <w:pPr>
                    <w:pStyle w:val="Compact"/>
                    <w:jc w:val="center"/>
                    <w:jc w:val="center"/>
                  </w:pPr>
                  <w:r>
                    <w:t xml:space="preserve">0.7800</w:t>
                  </w:r>
                </w:p>
              </w:tc>
            </w:tr>
            <w:tr>
              <w:tc>
                <w:tcPr/>
                <w:p>
                  <w:pPr>
                    <w:pStyle w:val="Compact"/>
                    <w:jc w:val="left"/>
                    <w:jc w:val="center"/>
                  </w:pPr>
                  <w:r>
                    <w:t xml:space="preserve">environment=~Q8</w:t>
                  </w:r>
                </w:p>
              </w:tc>
              <w:tc>
                <w:tcPr/>
                <w:p>
                  <w:pPr>
                    <w:pStyle w:val="Compact"/>
                    <w:jc w:val="center"/>
                    <w:jc w:val="center"/>
                  </w:pPr>
                  <w:r>
                    <w:t xml:space="preserve">0.3700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0.3700</w:t>
                  </w:r>
                </w:p>
              </w:tc>
            </w:tr>
            <w:tr>
              <w:tc>
                <w:tcPr/>
                <w:p>
                  <w:pPr>
                    <w:pStyle w:val="Compact"/>
                    <w:jc w:val="left"/>
                    <w:jc w:val="center"/>
                  </w:pPr>
                  <w:r>
                    <w:t xml:space="preserve">environment=~Q9</w:t>
                  </w:r>
                </w:p>
              </w:tc>
              <w:tc>
                <w:tcPr/>
                <w:p>
                  <w:pPr>
                    <w:pStyle w:val="Compact"/>
                    <w:jc w:val="center"/>
                    <w:jc w:val="center"/>
                  </w:pPr>
                  <w:r>
                    <w:t xml:space="preserve">0.4900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0.4900</w:t>
                  </w:r>
                </w:p>
              </w:tc>
            </w:tr>
            <w:tr>
              <w:tc>
                <w:tcPr/>
                <w:p>
                  <w:pPr>
                    <w:pStyle w:val="Compact"/>
                    <w:jc w:val="left"/>
                    <w:jc w:val="center"/>
                  </w:pPr>
                  <w:r>
                    <w:t xml:space="preserve">environment=~Q12</w:t>
                  </w:r>
                </w:p>
              </w:tc>
              <w:tc>
                <w:tcPr/>
                <w:p>
                  <w:pPr>
                    <w:pStyle w:val="Compact"/>
                    <w:jc w:val="center"/>
                    <w:jc w:val="center"/>
                  </w:pPr>
                  <w:r>
                    <w:t xml:space="preserve">0.7900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0.7900</w:t>
                  </w:r>
                </w:p>
              </w:tc>
            </w:tr>
            <w:tr>
              <w:tc>
                <w:tcPr/>
                <w:p>
                  <w:pPr>
                    <w:pStyle w:val="Compact"/>
                    <w:jc w:val="left"/>
                    <w:jc w:val="center"/>
                  </w:pPr>
                  <w:r>
                    <w:t xml:space="preserve">environment=~Q13</w:t>
                  </w:r>
                </w:p>
              </w:tc>
              <w:tc>
                <w:tcPr/>
                <w:p>
                  <w:pPr>
                    <w:pStyle w:val="Compact"/>
                    <w:jc w:val="center"/>
                    <w:jc w:val="center"/>
                  </w:pPr>
                  <w:r>
                    <w:t xml:space="preserve">0.8100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0.8100</w:t>
                  </w:r>
                </w:p>
              </w:tc>
            </w:tr>
            <w:tr>
              <w:tc>
                <w:tcPr/>
                <w:p>
                  <w:pPr>
                    <w:pStyle w:val="Compact"/>
                    <w:jc w:val="left"/>
                    <w:jc w:val="center"/>
                  </w:pPr>
                  <w:r>
                    <w:t xml:space="preserve">environment=~Q14</w:t>
                  </w:r>
                </w:p>
              </w:tc>
              <w:tc>
                <w:tcPr/>
                <w:p>
                  <w:pPr>
                    <w:pStyle w:val="Compact"/>
                    <w:jc w:val="center"/>
                    <w:jc w:val="center"/>
                  </w:pPr>
                  <w:r>
                    <w:t xml:space="preserve">0.7700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0.7700</w:t>
                  </w:r>
                </w:p>
              </w:tc>
            </w:tr>
            <w:tr>
              <w:tc>
                <w:tcPr/>
                <w:p>
                  <w:pPr>
                    <w:pStyle w:val="Compact"/>
                    <w:jc w:val="left"/>
                    <w:jc w:val="center"/>
                  </w:pPr>
                  <w:r>
                    <w:t xml:space="preserve">environment=~Q23</w:t>
                  </w:r>
                </w:p>
              </w:tc>
              <w:tc>
                <w:tcPr/>
                <w:p>
                  <w:pPr>
                    <w:pStyle w:val="Compact"/>
                    <w:jc w:val="center"/>
                    <w:jc w:val="center"/>
                  </w:pPr>
                  <w:r>
                    <w:t xml:space="preserve">0.7500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0.7500</w:t>
                  </w:r>
                </w:p>
              </w:tc>
            </w:tr>
            <w:tr>
              <w:tc>
                <w:tcPr/>
                <w:p>
                  <w:pPr>
                    <w:pStyle w:val="Compact"/>
                    <w:jc w:val="left"/>
                    <w:jc w:val="center"/>
                  </w:pPr>
                  <w:r>
                    <w:t xml:space="preserve">environment=~Q24</w:t>
                  </w:r>
                </w:p>
              </w:tc>
              <w:tc>
                <w:tcPr/>
                <w:p>
                  <w:pPr>
                    <w:pStyle w:val="Compact"/>
                    <w:jc w:val="center"/>
                    <w:jc w:val="center"/>
                  </w:pPr>
                  <w:r>
                    <w:t xml:space="preserve">0.6400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0.6400</w:t>
                  </w:r>
                </w:p>
              </w:tc>
            </w:tr>
            <w:tr>
              <w:tc>
                <w:tcPr/>
                <w:p>
                  <w:pPr>
                    <w:pStyle w:val="Compact"/>
                    <w:jc w:val="left"/>
                    <w:jc w:val="center"/>
                  </w:pPr>
                  <w:r>
                    <w:t xml:space="preserve">environment=~Q25</w:t>
                  </w:r>
                </w:p>
              </w:tc>
              <w:tc>
                <w:tcPr/>
                <w:p>
                  <w:pPr>
                    <w:pStyle w:val="Compact"/>
                    <w:jc w:val="center"/>
                    <w:jc w:val="center"/>
                  </w:pPr>
                  <w:r>
                    <w:t xml:space="preserve">0.7300</w:t>
                  </w:r>
                </w:p>
              </w:tc>
              <w:tc>
                <w:tcPr/>
                <w:p>
                  <w:pPr>
                    <w:pStyle w:val="Compact"/>
                    <w:jc w:val="center"/>
                    <w:jc w:val="center"/>
                  </w:pPr>
                  <w:r>
                    <w:t xml:space="preserve">0.4832</w:t>
                  </w:r>
                </w:p>
              </w:tc>
              <w:tc>
                <w:tcPr/>
                <w:p>
                  <w:pPr>
                    <w:pStyle w:val="Compact"/>
                    <w:jc w:val="center"/>
                    <w:jc w:val="center"/>
                  </w:pPr>
                  <w:r>
                    <w:t xml:space="preserve">0.6424</w:t>
                  </w:r>
                </w:p>
              </w:tc>
              <w:tc>
                <w:tcPr/>
                <w:p>
                  <w:pPr>
                    <w:pStyle w:val="Compact"/>
                    <w:jc w:val="center"/>
                    <w:jc w:val="center"/>
                  </w:pPr>
                  <w:r>
                    <w:t xml:space="preserve">0.7300</w:t>
                  </w:r>
                </w:p>
              </w:tc>
            </w:tr>
            <w:tr>
              <w:tc>
                <w:tcPr/>
                <w:p>
                  <w:pPr>
                    <w:pStyle w:val="Compact"/>
                    <w:jc w:val="left"/>
                    <w:jc w:val="center"/>
                  </w:pPr>
                  <w:r>
                    <w:t xml:space="preserve">Q3~~Q4</w:t>
                  </w:r>
                </w:p>
              </w:tc>
              <w:tc>
                <w:tcPr/>
                <w:p>
                  <w:pPr>
                    <w:pStyle w:val="Compact"/>
                    <w:jc w:val="center"/>
                    <w:jc w:val="center"/>
                  </w:pPr>
                  <w:r>
                    <w:t xml:space="preserve">0.0908</w:t>
                  </w:r>
                </w:p>
              </w:tc>
              <w:tc>
                <w:tcPr/>
                <w:p>
                  <w:pPr>
                    <w:pStyle w:val="Compact"/>
                    <w:jc w:val="center"/>
                    <w:jc w:val="center"/>
                  </w:pPr>
                  <w:r>
                    <w:t xml:space="preserve">0.2321</w:t>
                  </w:r>
                </w:p>
              </w:tc>
              <w:tc>
                <w:tcPr/>
                <w:p>
                  <w:pPr>
                    <w:pStyle w:val="Compact"/>
                    <w:jc w:val="center"/>
                    <w:jc w:val="center"/>
                  </w:pPr>
                  <w:r>
                    <w:t xml:space="preserve">0.1598</w:t>
                  </w:r>
                </w:p>
              </w:tc>
              <w:tc>
                <w:tcPr/>
                <w:p>
                  <w:pPr>
                    <w:pStyle w:val="Compact"/>
                    <w:jc w:val="center"/>
                    <w:jc w:val="center"/>
                  </w:pPr>
                  <w:r>
                    <w:t xml:space="preserve">0.0908</w:t>
                  </w:r>
                </w:p>
              </w:tc>
            </w:tr>
            <w:tr>
              <w:tc>
                <w:tcPr/>
                <w:p>
                  <w:pPr>
                    <w:pStyle w:val="Compact"/>
                    <w:jc w:val="left"/>
                    <w:jc w:val="center"/>
                  </w:pPr>
                  <w:r>
                    <w:t xml:space="preserve">psycho~~psycho</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r>
            <w:tr>
              <w:tc>
                <w:tcPr/>
                <w:p>
                  <w:pPr>
                    <w:pStyle w:val="Compact"/>
                    <w:jc w:val="left"/>
                    <w:jc w:val="center"/>
                  </w:pPr>
                  <w:r>
                    <w:t xml:space="preserve">psycho~~physical</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psycho~~social</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psycho~~environment</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physical~~physical</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r>
            <w:tr>
              <w:tc>
                <w:tcPr/>
                <w:p>
                  <w:pPr>
                    <w:pStyle w:val="Compact"/>
                    <w:jc w:val="left"/>
                    <w:jc w:val="center"/>
                  </w:pPr>
                  <w:r>
                    <w:t xml:space="preserve">physical~~social</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physical~~environment</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social~~social</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r>
            <w:tr>
              <w:tc>
                <w:tcPr/>
                <w:p>
                  <w:pPr>
                    <w:pStyle w:val="Compact"/>
                    <w:jc w:val="left"/>
                    <w:jc w:val="center"/>
                  </w:pPr>
                  <w:r>
                    <w:t xml:space="preserve">social~~environment</w:t>
                  </w:r>
                </w:p>
              </w:tc>
              <w:tc>
                <w:tcPr/>
                <w:p>
                  <w:pPr>
                    <w:pStyle w:val="Compact"/>
                    <w:jc w:val="center"/>
                    <w:jc w:val="center"/>
                  </w:pPr>
                  <w:r>
                    <w:t xml:space="preserve">0.2000</w:t>
                  </w:r>
                </w:p>
              </w:tc>
              <w:tc>
                <w:tcPr/>
                <w:p>
                  <w:pPr>
                    <w:pStyle w:val="Compact"/>
                    <w:jc w:val="center"/>
                    <w:jc w:val="center"/>
                  </w:pPr>
                  <w:r>
                    <w:t xml:space="preserve">0.3000</w:t>
                  </w:r>
                </w:p>
              </w:tc>
              <w:tc>
                <w:tcPr/>
                <w:p>
                  <w:pPr>
                    <w:pStyle w:val="Compact"/>
                    <w:jc w:val="center"/>
                    <w:jc w:val="center"/>
                  </w:pPr>
                  <w:r>
                    <w:t xml:space="preserve">0.0800</w:t>
                  </w:r>
                </w:p>
              </w:tc>
              <w:tc>
                <w:tcPr/>
                <w:p>
                  <w:pPr>
                    <w:pStyle w:val="Compact"/>
                    <w:jc w:val="center"/>
                    <w:jc w:val="center"/>
                  </w:pPr>
                  <w:r>
                    <w:t xml:space="preserve">0.2000</w:t>
                  </w:r>
                </w:p>
              </w:tc>
            </w:tr>
            <w:tr>
              <w:tc>
                <w:tcPr/>
                <w:p>
                  <w:pPr>
                    <w:pStyle w:val="Compact"/>
                    <w:jc w:val="left"/>
                    <w:jc w:val="center"/>
                  </w:pPr>
                  <w:r>
                    <w:t xml:space="preserve">environment~~environment</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c>
                <w:tcPr/>
                <w:p>
                  <w:pPr>
                    <w:pStyle w:val="Compact"/>
                    <w:jc w:val="center"/>
                    <w:jc w:val="center"/>
                  </w:pPr>
                  <w:r>
                    <w:t xml:space="preserve">1.0000</w:t>
                  </w:r>
                </w:p>
              </w:tc>
            </w:tr>
            <w:tr>
              <w:tc>
                <w:tcPr/>
                <w:p>
                  <w:pPr>
                    <w:pStyle w:val="Compact"/>
                    <w:jc w:val="left"/>
                    <w:jc w:val="center"/>
                  </w:pPr>
                  <w:r>
                    <w:t xml:space="preserve">Q5~~Q5</w:t>
                  </w:r>
                </w:p>
              </w:tc>
              <w:tc>
                <w:tcPr/>
                <w:p>
                  <w:pPr>
                    <w:pStyle w:val="Compact"/>
                    <w:jc w:val="center"/>
                    <w:jc w:val="center"/>
                  </w:pPr>
                  <w:r>
                    <w:t xml:space="preserve">0.1536</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0.1536</w:t>
                  </w:r>
                </w:p>
              </w:tc>
            </w:tr>
            <w:tr>
              <w:tc>
                <w:tcPr/>
                <w:p>
                  <w:pPr>
                    <w:pStyle w:val="Compact"/>
                    <w:jc w:val="left"/>
                    <w:jc w:val="center"/>
                  </w:pPr>
                  <w:r>
                    <w:t xml:space="preserve">Q6~~Q6</w:t>
                  </w:r>
                </w:p>
              </w:tc>
              <w:tc>
                <w:tcPr/>
                <w:p>
                  <w:pPr>
                    <w:pStyle w:val="Compact"/>
                    <w:jc w:val="center"/>
                    <w:jc w:val="center"/>
                  </w:pPr>
                  <w:r>
                    <w:t xml:space="preserve">0.3439</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0.3439</w:t>
                  </w:r>
                </w:p>
              </w:tc>
            </w:tr>
            <w:tr>
              <w:tc>
                <w:tcPr/>
                <w:p>
                  <w:pPr>
                    <w:pStyle w:val="Compact"/>
                    <w:jc w:val="left"/>
                    <w:jc w:val="center"/>
                  </w:pPr>
                  <w:r>
                    <w:t xml:space="preserve">Q7~~Q7</w:t>
                  </w:r>
                </w:p>
              </w:tc>
              <w:tc>
                <w:tcPr/>
                <w:p>
                  <w:pPr>
                    <w:pStyle w:val="Compact"/>
                    <w:jc w:val="center"/>
                    <w:jc w:val="center"/>
                  </w:pPr>
                  <w:r>
                    <w:t xml:space="preserve">0.1164</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0.1164</w:t>
                  </w:r>
                </w:p>
              </w:tc>
            </w:tr>
            <w:tr>
              <w:tc>
                <w:tcPr/>
                <w:p>
                  <w:pPr>
                    <w:pStyle w:val="Compact"/>
                    <w:jc w:val="left"/>
                    <w:jc w:val="center"/>
                  </w:pPr>
                  <w:r>
                    <w:t xml:space="preserve">Q11~~Q11</w:t>
                  </w:r>
                </w:p>
              </w:tc>
              <w:tc>
                <w:tcPr/>
                <w:p>
                  <w:pPr>
                    <w:pStyle w:val="Compact"/>
                    <w:jc w:val="center"/>
                    <w:jc w:val="center"/>
                  </w:pPr>
                  <w:r>
                    <w:t xml:space="preserve">0.4671</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0.4671</w:t>
                  </w:r>
                </w:p>
              </w:tc>
            </w:tr>
            <w:tr>
              <w:tc>
                <w:tcPr/>
                <w:p>
                  <w:pPr>
                    <w:pStyle w:val="Compact"/>
                    <w:jc w:val="left"/>
                    <w:jc w:val="center"/>
                  </w:pPr>
                  <w:r>
                    <w:t xml:space="preserve">Q19~~Q19</w:t>
                  </w:r>
                </w:p>
              </w:tc>
              <w:tc>
                <w:tcPr/>
                <w:p>
                  <w:pPr>
                    <w:pStyle w:val="Compact"/>
                    <w:jc w:val="center"/>
                    <w:jc w:val="center"/>
                  </w:pPr>
                  <w:r>
                    <w:t xml:space="preserve">0.4375</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0.4375</w:t>
                  </w:r>
                </w:p>
              </w:tc>
            </w:tr>
            <w:tr>
              <w:tc>
                <w:tcPr/>
                <w:p>
                  <w:pPr>
                    <w:pStyle w:val="Compact"/>
                    <w:jc w:val="left"/>
                    <w:jc w:val="center"/>
                  </w:pPr>
                  <w:r>
                    <w:t xml:space="preserve">Q26~~Q26</w:t>
                  </w:r>
                </w:p>
              </w:tc>
              <w:tc>
                <w:tcPr/>
                <w:p>
                  <w:pPr>
                    <w:pStyle w:val="Compact"/>
                    <w:jc w:val="center"/>
                    <w:jc w:val="center"/>
                  </w:pPr>
                  <w:r>
                    <w:t xml:space="preserve">0.6031</w:t>
                  </w:r>
                </w:p>
              </w:tc>
              <w:tc>
                <w:tcPr/>
                <w:p>
                  <w:pPr>
                    <w:pStyle w:val="Compact"/>
                    <w:jc w:val="center"/>
                    <w:jc w:val="center"/>
                  </w:pPr>
                  <w:r>
                    <w:t xml:space="preserve">0.7161</w:t>
                  </w:r>
                </w:p>
              </w:tc>
              <w:tc>
                <w:tcPr/>
                <w:p>
                  <w:pPr>
                    <w:pStyle w:val="Compact"/>
                    <w:jc w:val="center"/>
                    <w:jc w:val="center"/>
                  </w:pPr>
                  <w:r>
                    <w:t xml:space="preserve">0.4941</w:t>
                  </w:r>
                </w:p>
              </w:tc>
              <w:tc>
                <w:tcPr/>
                <w:p>
                  <w:pPr>
                    <w:pStyle w:val="Compact"/>
                    <w:jc w:val="center"/>
                    <w:jc w:val="center"/>
                  </w:pPr>
                  <w:r>
                    <w:t xml:space="preserve">0.6031</w:t>
                  </w:r>
                </w:p>
              </w:tc>
            </w:tr>
            <w:tr>
              <w:tc>
                <w:tcPr/>
                <w:p>
                  <w:pPr>
                    <w:pStyle w:val="Compact"/>
                    <w:jc w:val="left"/>
                    <w:jc w:val="center"/>
                  </w:pPr>
                  <w:r>
                    <w:t xml:space="preserve">Q3~~Q3</w:t>
                  </w:r>
                </w:p>
              </w:tc>
              <w:tc>
                <w:tcPr/>
                <w:p>
                  <w:pPr>
                    <w:pStyle w:val="Compact"/>
                    <w:jc w:val="center"/>
                    <w:jc w:val="center"/>
                  </w:pPr>
                  <w:r>
                    <w:t xml:space="preserve">0.2944</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0.2944</w:t>
                  </w:r>
                </w:p>
              </w:tc>
            </w:tr>
            <w:tr>
              <w:tc>
                <w:tcPr/>
                <w:p>
                  <w:pPr>
                    <w:pStyle w:val="Compact"/>
                    <w:jc w:val="left"/>
                    <w:jc w:val="center"/>
                  </w:pPr>
                  <w:r>
                    <w:t xml:space="preserve">Q4~~Q4</w:t>
                  </w:r>
                </w:p>
              </w:tc>
              <w:tc>
                <w:tcPr/>
                <w:p>
                  <w:pPr>
                    <w:pStyle w:val="Compact"/>
                    <w:jc w:val="center"/>
                    <w:jc w:val="center"/>
                  </w:pPr>
                  <w:r>
                    <w:t xml:space="preserve">0.3111</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0.3111</w:t>
                  </w:r>
                </w:p>
              </w:tc>
            </w:tr>
            <w:tr>
              <w:tc>
                <w:tcPr/>
                <w:p>
                  <w:pPr>
                    <w:pStyle w:val="Compact"/>
                    <w:jc w:val="left"/>
                    <w:jc w:val="center"/>
                  </w:pPr>
                  <w:r>
                    <w:t xml:space="preserve">Q10~~Q10</w:t>
                  </w:r>
                </w:p>
              </w:tc>
              <w:tc>
                <w:tcPr/>
                <w:p>
                  <w:pPr>
                    <w:pStyle w:val="Compact"/>
                    <w:jc w:val="center"/>
                    <w:jc w:val="center"/>
                  </w:pPr>
                  <w:r>
                    <w:t xml:space="preserve">0.6031</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0.6031</w:t>
                  </w:r>
                </w:p>
              </w:tc>
            </w:tr>
            <w:tr>
              <w:tc>
                <w:tcPr/>
                <w:p>
                  <w:pPr>
                    <w:pStyle w:val="Compact"/>
                    <w:jc w:val="left"/>
                    <w:jc w:val="center"/>
                  </w:pPr>
                  <w:r>
                    <w:t xml:space="preserve">Q15~~Q15</w:t>
                  </w:r>
                </w:p>
              </w:tc>
              <w:tc>
                <w:tcPr/>
                <w:p>
                  <w:pPr>
                    <w:pStyle w:val="Compact"/>
                    <w:jc w:val="center"/>
                    <w:jc w:val="center"/>
                  </w:pPr>
                  <w:r>
                    <w:t xml:space="preserve">0.4959</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0.3701</w:t>
                  </w:r>
                </w:p>
              </w:tc>
            </w:tr>
            <w:tr>
              <w:tc>
                <w:tcPr/>
                <w:p>
                  <w:pPr>
                    <w:pStyle w:val="Compact"/>
                    <w:jc w:val="left"/>
                    <w:jc w:val="center"/>
                  </w:pPr>
                  <w:r>
                    <w:t xml:space="preserve">Q16~~Q16</w:t>
                  </w:r>
                </w:p>
              </w:tc>
              <w:tc>
                <w:tcPr/>
                <w:p>
                  <w:pPr>
                    <w:pStyle w:val="Compact"/>
                    <w:jc w:val="center"/>
                    <w:jc w:val="center"/>
                  </w:pPr>
                  <w:r>
                    <w:t xml:space="preserve">0.5376</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0.5376</w:t>
                  </w:r>
                </w:p>
              </w:tc>
            </w:tr>
            <w:tr>
              <w:tc>
                <w:tcPr/>
                <w:p>
                  <w:pPr>
                    <w:pStyle w:val="Compact"/>
                    <w:jc w:val="left"/>
                    <w:jc w:val="center"/>
                  </w:pPr>
                  <w:r>
                    <w:t xml:space="preserve">Q17~~Q17</w:t>
                  </w:r>
                </w:p>
              </w:tc>
              <w:tc>
                <w:tcPr/>
                <w:p>
                  <w:pPr>
                    <w:pStyle w:val="Compact"/>
                    <w:jc w:val="center"/>
                    <w:jc w:val="center"/>
                  </w:pPr>
                  <w:r>
                    <w:t xml:space="preserve">0.2079</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0.2079</w:t>
                  </w:r>
                </w:p>
              </w:tc>
            </w:tr>
            <w:tr>
              <w:tc>
                <w:tcPr/>
                <w:p>
                  <w:pPr>
                    <w:pStyle w:val="Compact"/>
                    <w:jc w:val="left"/>
                    <w:jc w:val="center"/>
                  </w:pPr>
                  <w:r>
                    <w:t xml:space="preserve">Q18~~Q18</w:t>
                  </w:r>
                </w:p>
              </w:tc>
              <w:tc>
                <w:tcPr/>
                <w:p>
                  <w:pPr>
                    <w:pStyle w:val="Compact"/>
                    <w:jc w:val="center"/>
                    <w:jc w:val="center"/>
                  </w:pPr>
                  <w:r>
                    <w:t xml:space="preserve">0.6279</w:t>
                  </w:r>
                </w:p>
              </w:tc>
              <w:tc>
                <w:tcPr/>
                <w:p>
                  <w:pPr>
                    <w:pStyle w:val="Compact"/>
                    <w:jc w:val="center"/>
                    <w:jc w:val="center"/>
                  </w:pPr>
                  <w:r>
                    <w:t xml:space="preserve">0.7736</w:t>
                  </w:r>
                </w:p>
              </w:tc>
              <w:tc>
                <w:tcPr/>
                <w:p>
                  <w:pPr>
                    <w:pStyle w:val="Compact"/>
                    <w:jc w:val="center"/>
                    <w:jc w:val="center"/>
                  </w:pPr>
                  <w:r>
                    <w:t xml:space="preserve">0.5326</w:t>
                  </w:r>
                </w:p>
              </w:tc>
              <w:tc>
                <w:tcPr/>
                <w:p>
                  <w:pPr>
                    <w:pStyle w:val="Compact"/>
                    <w:jc w:val="center"/>
                    <w:jc w:val="center"/>
                  </w:pPr>
                  <w:r>
                    <w:t xml:space="preserve">0.6279</w:t>
                  </w:r>
                </w:p>
              </w:tc>
            </w:tr>
            <w:tr>
              <w:tc>
                <w:tcPr/>
                <w:p>
                  <w:pPr>
                    <w:pStyle w:val="Compact"/>
                    <w:jc w:val="left"/>
                    <w:jc w:val="center"/>
                  </w:pPr>
                  <w:r>
                    <w:t xml:space="preserve">Q20~~Q20</w:t>
                  </w:r>
                </w:p>
              </w:tc>
              <w:tc>
                <w:tcPr/>
                <w:p>
                  <w:pPr>
                    <w:pStyle w:val="Compact"/>
                    <w:jc w:val="center"/>
                    <w:jc w:val="center"/>
                  </w:pPr>
                  <w:r>
                    <w:t xml:space="preserve">0.1164</w:t>
                  </w:r>
                </w:p>
              </w:tc>
              <w:tc>
                <w:tcPr/>
                <w:p>
                  <w:pPr>
                    <w:pStyle w:val="Compact"/>
                    <w:jc w:val="center"/>
                    <w:jc w:val="center"/>
                  </w:pPr>
                  <w:r>
                    <w:t xml:space="preserve">0.6379</w:t>
                  </w:r>
                </w:p>
              </w:tc>
              <w:tc>
                <w:tcPr/>
                <w:p>
                  <w:pPr>
                    <w:pStyle w:val="Compact"/>
                    <w:jc w:val="center"/>
                    <w:jc w:val="center"/>
                  </w:pPr>
                  <w:r>
                    <w:t xml:space="preserve">0.4130</w:t>
                  </w:r>
                </w:p>
              </w:tc>
              <w:tc>
                <w:tcPr/>
                <w:p>
                  <w:pPr>
                    <w:pStyle w:val="Compact"/>
                    <w:jc w:val="center"/>
                    <w:jc w:val="center"/>
                  </w:pPr>
                  <w:r>
                    <w:t xml:space="preserve">0.1164</w:t>
                  </w:r>
                </w:p>
              </w:tc>
            </w:tr>
            <w:tr>
              <w:tc>
                <w:tcPr/>
                <w:p>
                  <w:pPr>
                    <w:pStyle w:val="Compact"/>
                    <w:jc w:val="left"/>
                    <w:jc w:val="center"/>
                  </w:pPr>
                  <w:r>
                    <w:t xml:space="preserve">Q21~~Q21</w:t>
                  </w:r>
                </w:p>
              </w:tc>
              <w:tc>
                <w:tcPr/>
                <w:p>
                  <w:pPr>
                    <w:pStyle w:val="Compact"/>
                    <w:jc w:val="center"/>
                    <w:jc w:val="center"/>
                  </w:pPr>
                  <w:r>
                    <w:t xml:space="preserve">0.2079</w:t>
                  </w:r>
                </w:p>
              </w:tc>
              <w:tc>
                <w:tcPr/>
                <w:p>
                  <w:pPr>
                    <w:pStyle w:val="Compact"/>
                    <w:jc w:val="center"/>
                    <w:jc w:val="center"/>
                  </w:pPr>
                  <w:r>
                    <w:t xml:space="preserve">0.6379</w:t>
                  </w:r>
                </w:p>
              </w:tc>
              <w:tc>
                <w:tcPr/>
                <w:p>
                  <w:pPr>
                    <w:pStyle w:val="Compact"/>
                    <w:jc w:val="center"/>
                    <w:jc w:val="center"/>
                  </w:pPr>
                  <w:r>
                    <w:t xml:space="preserve">0.4130</w:t>
                  </w:r>
                </w:p>
              </w:tc>
              <w:tc>
                <w:tcPr/>
                <w:p>
                  <w:pPr>
                    <w:pStyle w:val="Compact"/>
                    <w:jc w:val="center"/>
                    <w:jc w:val="center"/>
                  </w:pPr>
                  <w:r>
                    <w:t xml:space="preserve">0.2079</w:t>
                  </w:r>
                </w:p>
              </w:tc>
            </w:tr>
            <w:tr>
              <w:tc>
                <w:tcPr/>
                <w:p>
                  <w:pPr>
                    <w:pStyle w:val="Compact"/>
                    <w:jc w:val="left"/>
                    <w:jc w:val="center"/>
                  </w:pPr>
                  <w:r>
                    <w:t xml:space="preserve">Q22~~Q22</w:t>
                  </w:r>
                </w:p>
              </w:tc>
              <w:tc>
                <w:tcPr/>
                <w:p>
                  <w:pPr>
                    <w:pStyle w:val="Compact"/>
                    <w:jc w:val="center"/>
                    <w:jc w:val="center"/>
                  </w:pPr>
                  <w:r>
                    <w:t xml:space="preserve">0.3916</w:t>
                  </w:r>
                </w:p>
              </w:tc>
              <w:tc>
                <w:tcPr/>
                <w:p>
                  <w:pPr>
                    <w:pStyle w:val="Compact"/>
                    <w:jc w:val="center"/>
                    <w:jc w:val="center"/>
                  </w:pPr>
                  <w:r>
                    <w:t xml:space="preserve">0.6379</w:t>
                  </w:r>
                </w:p>
              </w:tc>
              <w:tc>
                <w:tcPr/>
                <w:p>
                  <w:pPr>
                    <w:pStyle w:val="Compact"/>
                    <w:jc w:val="center"/>
                    <w:jc w:val="center"/>
                  </w:pPr>
                  <w:r>
                    <w:t xml:space="preserve">0.4130</w:t>
                  </w:r>
                </w:p>
              </w:tc>
              <w:tc>
                <w:tcPr/>
                <w:p>
                  <w:pPr>
                    <w:pStyle w:val="Compact"/>
                    <w:jc w:val="center"/>
                    <w:jc w:val="center"/>
                  </w:pPr>
                  <w:r>
                    <w:t xml:space="preserve">0.3916</w:t>
                  </w:r>
                </w:p>
              </w:tc>
            </w:tr>
            <w:tr>
              <w:tc>
                <w:tcPr/>
                <w:p>
                  <w:pPr>
                    <w:pStyle w:val="Compact"/>
                    <w:jc w:val="left"/>
                    <w:jc w:val="center"/>
                  </w:pPr>
                  <w:r>
                    <w:t xml:space="preserve">Q8~~Q8</w:t>
                  </w:r>
                </w:p>
              </w:tc>
              <w:tc>
                <w:tcPr/>
                <w:p>
                  <w:pPr>
                    <w:pStyle w:val="Compact"/>
                    <w:jc w:val="center"/>
                    <w:jc w:val="center"/>
                  </w:pPr>
                  <w:r>
                    <w:t xml:space="preserve">0.8631</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0.4792</w:t>
                  </w:r>
                </w:p>
              </w:tc>
            </w:tr>
            <w:tr>
              <w:tc>
                <w:tcPr/>
                <w:p>
                  <w:pPr>
                    <w:pStyle w:val="Compact"/>
                    <w:jc w:val="left"/>
                    <w:jc w:val="center"/>
                  </w:pPr>
                  <w:r>
                    <w:t xml:space="preserve">Q9~~Q9</w:t>
                  </w:r>
                </w:p>
              </w:tc>
              <w:tc>
                <w:tcPr/>
                <w:p>
                  <w:pPr>
                    <w:pStyle w:val="Compact"/>
                    <w:jc w:val="center"/>
                    <w:jc w:val="center"/>
                  </w:pPr>
                  <w:r>
                    <w:t xml:space="preserve">0.7599</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0.6746</w:t>
                  </w:r>
                </w:p>
              </w:tc>
            </w:tr>
            <w:tr>
              <w:tc>
                <w:tcPr/>
                <w:p>
                  <w:pPr>
                    <w:pStyle w:val="Compact"/>
                    <w:jc w:val="left"/>
                    <w:jc w:val="center"/>
                  </w:pPr>
                  <w:r>
                    <w:t xml:space="preserve">Q12~~Q12</w:t>
                  </w:r>
                </w:p>
              </w:tc>
              <w:tc>
                <w:tcPr/>
                <w:p>
                  <w:pPr>
                    <w:pStyle w:val="Compact"/>
                    <w:jc w:val="center"/>
                    <w:jc w:val="center"/>
                  </w:pPr>
                  <w:r>
                    <w:t xml:space="preserve">0.3759</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0.3759</w:t>
                  </w:r>
                </w:p>
              </w:tc>
            </w:tr>
            <w:tr>
              <w:tc>
                <w:tcPr/>
                <w:p>
                  <w:pPr>
                    <w:pStyle w:val="Compact"/>
                    <w:jc w:val="left"/>
                    <w:jc w:val="center"/>
                  </w:pPr>
                  <w:r>
                    <w:t xml:space="preserve">Q13~~Q13</w:t>
                  </w:r>
                </w:p>
              </w:tc>
              <w:tc>
                <w:tcPr/>
                <w:p>
                  <w:pPr>
                    <w:pStyle w:val="Compact"/>
                    <w:jc w:val="center"/>
                    <w:jc w:val="center"/>
                  </w:pPr>
                  <w:r>
                    <w:t xml:space="preserve">0.3439</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0.3439</w:t>
                  </w:r>
                </w:p>
              </w:tc>
            </w:tr>
            <w:tr>
              <w:tc>
                <w:tcPr/>
                <w:p>
                  <w:pPr>
                    <w:pStyle w:val="Compact"/>
                    <w:jc w:val="left"/>
                    <w:jc w:val="center"/>
                  </w:pPr>
                  <w:r>
                    <w:t xml:space="preserve">Q14~~Q14</w:t>
                  </w:r>
                </w:p>
              </w:tc>
              <w:tc>
                <w:tcPr/>
                <w:p>
                  <w:pPr>
                    <w:pStyle w:val="Compact"/>
                    <w:jc w:val="center"/>
                    <w:jc w:val="center"/>
                  </w:pPr>
                  <w:r>
                    <w:t xml:space="preserve">0.4071</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0.4071</w:t>
                  </w:r>
                </w:p>
              </w:tc>
            </w:tr>
            <w:tr>
              <w:tc>
                <w:tcPr/>
                <w:p>
                  <w:pPr>
                    <w:pStyle w:val="Compact"/>
                    <w:jc w:val="left"/>
                    <w:jc w:val="center"/>
                  </w:pPr>
                  <w:r>
                    <w:t xml:space="preserve">Q23~~Q23</w:t>
                  </w:r>
                </w:p>
              </w:tc>
              <w:tc>
                <w:tcPr/>
                <w:p>
                  <w:pPr>
                    <w:pStyle w:val="Compact"/>
                    <w:jc w:val="center"/>
                    <w:jc w:val="center"/>
                  </w:pPr>
                  <w:r>
                    <w:t xml:space="preserve">0.4375</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0.4375</w:t>
                  </w:r>
                </w:p>
              </w:tc>
            </w:tr>
            <w:tr>
              <w:tc>
                <w:tcPr/>
                <w:p>
                  <w:pPr>
                    <w:pStyle w:val="Compact"/>
                    <w:jc w:val="left"/>
                    <w:jc w:val="center"/>
                  </w:pPr>
                  <w:r>
                    <w:t xml:space="preserve">Q24~~Q24</w:t>
                  </w:r>
                </w:p>
              </w:tc>
              <w:tc>
                <w:tcPr/>
                <w:p>
                  <w:pPr>
                    <w:pStyle w:val="Compact"/>
                    <w:jc w:val="center"/>
                    <w:jc w:val="center"/>
                  </w:pPr>
                  <w:r>
                    <w:t xml:space="preserve">0.5904</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0.5904</w:t>
                  </w:r>
                </w:p>
              </w:tc>
            </w:tr>
            <w:tr>
              <w:tc>
                <w:tcPr/>
                <w:p>
                  <w:pPr>
                    <w:pStyle w:val="Compact"/>
                    <w:jc w:val="left"/>
                    <w:jc w:val="center"/>
                  </w:pPr>
                  <w:r>
                    <w:t xml:space="preserve">Q25~~Q25</w:t>
                  </w:r>
                </w:p>
              </w:tc>
              <w:tc>
                <w:tcPr/>
                <w:p>
                  <w:pPr>
                    <w:pStyle w:val="Compact"/>
                    <w:jc w:val="center"/>
                    <w:jc w:val="center"/>
                  </w:pPr>
                  <w:r>
                    <w:t xml:space="preserve">0.4671</w:t>
                  </w:r>
                </w:p>
              </w:tc>
              <w:tc>
                <w:tcPr/>
                <w:p>
                  <w:pPr>
                    <w:pStyle w:val="Compact"/>
                    <w:jc w:val="center"/>
                    <w:jc w:val="center"/>
                  </w:pPr>
                  <w:r>
                    <w:t xml:space="preserve">0.7665</w:t>
                  </w:r>
                </w:p>
              </w:tc>
              <w:tc>
                <w:tcPr/>
                <w:p>
                  <w:pPr>
                    <w:pStyle w:val="Compact"/>
                    <w:jc w:val="center"/>
                    <w:jc w:val="center"/>
                  </w:pPr>
                  <w:r>
                    <w:t xml:space="preserve">0.5873</w:t>
                  </w:r>
                </w:p>
              </w:tc>
              <w:tc>
                <w:tcPr/>
                <w:p>
                  <w:pPr>
                    <w:pStyle w:val="Compact"/>
                    <w:jc w:val="center"/>
                    <w:jc w:val="center"/>
                  </w:pPr>
                  <w:r>
                    <w:t xml:space="preserve">0.4671</w:t>
                  </w:r>
                </w:p>
              </w:tc>
            </w:tr>
            <w:tr>
              <w:tc>
                <w:tcPr/>
                <w:p>
                  <w:pPr>
                    <w:pStyle w:val="Compact"/>
                    <w:jc w:val="left"/>
                    <w:jc w:val="center"/>
                  </w:pPr>
                  <w:r>
                    <w:t xml:space="preserve">psycho=~Q8</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0.5500</w:t>
                  </w:r>
                </w:p>
              </w:tc>
            </w:tr>
            <w:tr>
              <w:tc>
                <w:tcPr/>
                <w:p>
                  <w:pPr>
                    <w:pStyle w:val="Compact"/>
                    <w:jc w:val="left"/>
                    <w:jc w:val="center"/>
                  </w:pPr>
                  <w:r>
                    <w:t xml:space="preserve">psycho=~Q9</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0.2100</w:t>
                  </w:r>
                </w:p>
              </w:tc>
            </w:tr>
            <w:tr>
              <w:tc>
                <w:tcPr/>
                <w:p>
                  <w:pPr>
                    <w:pStyle w:val="Compact"/>
                    <w:jc w:val="left"/>
                    <w:jc w:val="center"/>
                  </w:pPr>
                  <w:r>
                    <w:t xml:space="preserve">environment=~Q15</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NA</w:t>
                  </w:r>
                </w:p>
              </w:tc>
              <w:tc>
                <w:tcPr/>
                <w:p>
                  <w:pPr>
                    <w:pStyle w:val="Compact"/>
                    <w:jc w:val="center"/>
                    <w:jc w:val="center"/>
                  </w:pPr>
                  <w:r>
                    <w:t xml:space="preserve">0.2400</w:t>
                  </w:r>
                </w:p>
              </w:tc>
            </w:tr>
          </w:tbl>
          <w:bookmarkEnd w:id="41"/>
          <w:p/>
        </w:tc>
      </w:tr>
    </w:tbl>
    <w:p>
      <w:pPr>
        <w:pStyle w:val="BodyText"/>
      </w:pPr>
      <w:r>
        <w:rPr>
          <w:vertAlign w:val="subscript"/>
        </w:rPr>
        <w:t xml:space="preserve">Source:</w:t>
      </w:r>
      <w:r>
        <w:rPr>
          <w:vertAlign w:val="subscript"/>
        </w:rPr>
        <w:t xml:space="preserve"> </w:t>
      </w:r>
      <w:hyperlink r:id="rId42">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43" w:name="tbl-pop-comparison"/>
          <w:p>
            <w:pPr>
              <w:jc w:val="center"/>
            </w:pPr>
            <w:pPr>
              <w:jc w:val="left"/>
              <w:spacing w:before="200"/>
              <w:pStyle w:val="ImageCaption"/>
            </w:pPr>
            <w:r>
              <w:t xml:space="preserve">Table 2: Comparison of model variants used for sensitivity analysis</w:t>
            </w:r>
          </w:p>
          <w:tbl>
            <w:tblPr>
              <w:tblStyle w:val="Table"/>
              <w:tblW w:type="pct" w:w="4872"/>
              <w:tblLayout w:type="fixed"/>
              <w:tblLook w:firstRow="1" w:lastRow="0" w:firstColumn="0" w:lastColumn="0" w:noHBand="0" w:noVBand="0" w:val="0020"/>
            </w:tblPr>
            <w:tblGrid>
              <w:gridCol w:w="1523"/>
              <w:gridCol w:w="1827"/>
              <w:gridCol w:w="1523"/>
              <w:gridCol w:w="1624"/>
              <w:gridCol w:w="1218"/>
            </w:tblGrid>
            <w:tr>
              <w:trPr>
                <w:tblHeader w:val="on"/>
              </w:trPr>
              <w:tc>
                <w:tcPr/>
                <w:p>
                  <w:pPr>
                    <w:pStyle w:val="Compact"/>
                    <w:jc w:val="left"/>
                    <w:jc w:val="center"/>
                  </w:pPr>
                  <w:r>
                    <w:t xml:space="preserve">Metric</w:t>
                  </w:r>
                </w:p>
              </w:tc>
              <w:tc>
                <w:tcPr/>
                <w:p>
                  <w:pPr>
                    <w:pStyle w:val="Compact"/>
                    <w:jc w:val="center"/>
                    <w:jc w:val="center"/>
                  </w:pPr>
                  <w:r>
                    <w:t xml:space="preserve">Meta-analytic</w:t>
                  </w:r>
                  <w:r>
                    <w:t xml:space="preserve"> </w:t>
                  </w:r>
                  <w:r>
                    <w:t xml:space="preserve">(popmodel)</w:t>
                  </w:r>
                </w:p>
              </w:tc>
              <w:tc>
                <w:tcPr/>
                <w:p>
                  <w:pPr>
                    <w:pStyle w:val="Compact"/>
                    <w:jc w:val="center"/>
                    <w:jc w:val="center"/>
                  </w:pPr>
                  <w:r>
                    <w:t xml:space="preserve">Naive</w:t>
                  </w:r>
                  <w:r>
                    <w:t xml:space="preserve"> </w:t>
                  </w:r>
                  <w:r>
                    <w:t xml:space="preserve">(naivemodel)</w:t>
                  </w:r>
                </w:p>
              </w:tc>
              <w:tc>
                <w:tcPr/>
                <w:p>
                  <w:pPr>
                    <w:pStyle w:val="Compact"/>
                    <w:jc w:val="center"/>
                    <w:jc w:val="center"/>
                  </w:pPr>
                  <w:r>
                    <w:t xml:space="preserve">Optimistic</w:t>
                  </w:r>
                  <w:r>
                    <w:t xml:space="preserve"> </w:t>
                  </w:r>
                  <w:r>
                    <w:t xml:space="preserve">(optmodel)</w:t>
                  </w:r>
                </w:p>
              </w:tc>
              <w:tc>
                <w:tcPr/>
                <w:p>
                  <w:pPr>
                    <w:pStyle w:val="Compact"/>
                    <w:jc w:val="center"/>
                    <w:jc w:val="center"/>
                  </w:pPr>
                  <w:r>
                    <w:t xml:space="preserve">H1</w:t>
                  </w:r>
                  <w:r>
                    <w:t xml:space="preserve"> </w:t>
                  </w:r>
                  <w:r>
                    <w:t xml:space="preserve">(h1model)</w:t>
                  </w:r>
                </w:p>
              </w:tc>
            </w:tr>
            <w:tr>
              <w:tc>
                <w:tcPr/>
                <w:p>
                  <w:pPr>
                    <w:pStyle w:val="Compact"/>
                    <w:jc w:val="left"/>
                    <w:jc w:val="center"/>
                  </w:pPr>
                  <w:r>
                    <w:t xml:space="preserve">Loading Min</w:t>
                  </w:r>
                </w:p>
              </w:tc>
              <w:tc>
                <w:tcPr/>
                <w:p>
                  <w:pPr>
                    <w:pStyle w:val="Compact"/>
                    <w:jc w:val="center"/>
                    <w:jc w:val="center"/>
                  </w:pPr>
                  <w:r>
                    <w:t xml:space="preserve">0.37</w:t>
                  </w:r>
                </w:p>
              </w:tc>
              <w:tc>
                <w:tcPr/>
                <w:p>
                  <w:pPr>
                    <w:pStyle w:val="Compact"/>
                    <w:jc w:val="center"/>
                    <w:jc w:val="center"/>
                  </w:pPr>
                  <w:r>
                    <w:t xml:space="preserve">0.48</w:t>
                  </w:r>
                </w:p>
              </w:tc>
              <w:tc>
                <w:tcPr/>
                <w:p>
                  <w:pPr>
                    <w:pStyle w:val="Compact"/>
                    <w:jc w:val="center"/>
                    <w:jc w:val="center"/>
                  </w:pPr>
                  <w:r>
                    <w:t xml:space="preserve">0.64</w:t>
                  </w:r>
                </w:p>
              </w:tc>
              <w:tc>
                <w:tcPr/>
                <w:p>
                  <w:pPr>
                    <w:pStyle w:val="Compact"/>
                    <w:jc w:val="center"/>
                    <w:jc w:val="center"/>
                  </w:pPr>
                  <w:r>
                    <w:t xml:space="preserve">0.21</w:t>
                  </w:r>
                </w:p>
              </w:tc>
            </w:tr>
            <w:tr>
              <w:tc>
                <w:tcPr/>
                <w:p>
                  <w:pPr>
                    <w:pStyle w:val="Compact"/>
                    <w:jc w:val="left"/>
                    <w:jc w:val="center"/>
                  </w:pPr>
                  <w:r>
                    <w:t xml:space="preserve">Loading Max</w:t>
                  </w:r>
                </w:p>
              </w:tc>
              <w:tc>
                <w:tcPr/>
                <w:p>
                  <w:pPr>
                    <w:pStyle w:val="Compact"/>
                    <w:jc w:val="center"/>
                    <w:jc w:val="center"/>
                  </w:pPr>
                  <w:r>
                    <w:t xml:space="preserve">0.94</w:t>
                  </w:r>
                </w:p>
              </w:tc>
              <w:tc>
                <w:tcPr/>
                <w:p>
                  <w:pPr>
                    <w:pStyle w:val="Compact"/>
                    <w:jc w:val="center"/>
                    <w:jc w:val="center"/>
                  </w:pPr>
                  <w:r>
                    <w:t xml:space="preserve">0.60</w:t>
                  </w:r>
                </w:p>
              </w:tc>
              <w:tc>
                <w:tcPr/>
                <w:p>
                  <w:pPr>
                    <w:pStyle w:val="Compact"/>
                    <w:jc w:val="center"/>
                    <w:jc w:val="center"/>
                  </w:pPr>
                  <w:r>
                    <w:t xml:space="preserve">0.77</w:t>
                  </w:r>
                </w:p>
              </w:tc>
              <w:tc>
                <w:tcPr/>
                <w:p>
                  <w:pPr>
                    <w:pStyle w:val="Compact"/>
                    <w:jc w:val="center"/>
                    <w:jc w:val="center"/>
                  </w:pPr>
                  <w:r>
                    <w:t xml:space="preserve">0.94</w:t>
                  </w:r>
                </w:p>
              </w:tc>
            </w:tr>
            <w:tr>
              <w:tc>
                <w:tcPr/>
                <w:p>
                  <w:pPr>
                    <w:pStyle w:val="Compact"/>
                    <w:jc w:val="left"/>
                    <w:jc w:val="center"/>
                  </w:pPr>
                  <w:r>
                    <w:t xml:space="preserve">Mean Loading</w:t>
                  </w:r>
                </w:p>
              </w:tc>
              <w:tc>
                <w:tcPr/>
                <w:p>
                  <w:pPr>
                    <w:pStyle w:val="Compact"/>
                    <w:jc w:val="center"/>
                    <w:jc w:val="center"/>
                  </w:pPr>
                  <w:r>
                    <w:t xml:space="preserve">0.75</w:t>
                  </w:r>
                </w:p>
              </w:tc>
              <w:tc>
                <w:tcPr/>
                <w:p>
                  <w:pPr>
                    <w:pStyle w:val="Compact"/>
                    <w:jc w:val="center"/>
                    <w:jc w:val="center"/>
                  </w:pPr>
                  <w:r>
                    <w:t xml:space="preserve">0.51</w:t>
                  </w:r>
                </w:p>
              </w:tc>
              <w:tc>
                <w:tcPr/>
                <w:p>
                  <w:pPr>
                    <w:pStyle w:val="Compact"/>
                    <w:jc w:val="center"/>
                    <w:jc w:val="center"/>
                  </w:pPr>
                  <w:r>
                    <w:t xml:space="preserve">0.69</w:t>
                  </w:r>
                </w:p>
              </w:tc>
              <w:tc>
                <w:tcPr/>
                <w:p>
                  <w:pPr>
                    <w:pStyle w:val="Compact"/>
                    <w:jc w:val="center"/>
                    <w:jc w:val="center"/>
                  </w:pPr>
                  <w:r>
                    <w:t xml:space="preserve">0.70</w:t>
                  </w:r>
                </w:p>
              </w:tc>
            </w:tr>
            <w:tr>
              <w:tc>
                <w:tcPr/>
                <w:p>
                  <w:pPr>
                    <w:pStyle w:val="Compact"/>
                    <w:jc w:val="left"/>
                    <w:jc w:val="center"/>
                  </w:pPr>
                  <w:r>
                    <w:t xml:space="preserve">Factor</w:t>
                  </w:r>
                  <w:r>
                    <w:t xml:space="preserve"> </w:t>
                  </w:r>
                  <w:r>
                    <w:t xml:space="preserve">Correlations</w:t>
                  </w:r>
                </w:p>
              </w:tc>
              <w:tc>
                <w:tcPr/>
                <w:p>
                  <w:pPr>
                    <w:pStyle w:val="Compact"/>
                    <w:jc w:val="center"/>
                    <w:jc w:val="center"/>
                  </w:pPr>
                  <w:r>
                    <w:t xml:space="preserve">0.20</w:t>
                  </w:r>
                </w:p>
              </w:tc>
              <w:tc>
                <w:tcPr/>
                <w:p>
                  <w:pPr>
                    <w:pStyle w:val="Compact"/>
                    <w:jc w:val="center"/>
                    <w:jc w:val="center"/>
                  </w:pPr>
                  <w:r>
                    <w:t xml:space="preserve">0.30</w:t>
                  </w:r>
                </w:p>
              </w:tc>
              <w:tc>
                <w:tcPr/>
                <w:p>
                  <w:pPr>
                    <w:pStyle w:val="Compact"/>
                    <w:jc w:val="center"/>
                    <w:jc w:val="center"/>
                  </w:pPr>
                  <w:r>
                    <w:t xml:space="preserve">0.08</w:t>
                  </w:r>
                </w:p>
              </w:tc>
              <w:tc>
                <w:tcPr/>
                <w:p>
                  <w:pPr>
                    <w:pStyle w:val="Compact"/>
                    <w:jc w:val="center"/>
                    <w:jc w:val="center"/>
                  </w:pPr>
                  <w:r>
                    <w:t xml:space="preserve">0.20</w:t>
                  </w:r>
                </w:p>
              </w:tc>
            </w:tr>
            <w:tr>
              <w:tc>
                <w:tcPr/>
                <w:p>
                  <w:pPr>
                    <w:pStyle w:val="Compact"/>
                    <w:jc w:val="left"/>
                    <w:jc w:val="center"/>
                  </w:pPr>
                  <w:r>
                    <w:t xml:space="preserve">Residual Min</w:t>
                  </w:r>
                </w:p>
              </w:tc>
              <w:tc>
                <w:tcPr/>
                <w:p>
                  <w:pPr>
                    <w:pStyle w:val="Compact"/>
                    <w:jc w:val="center"/>
                    <w:jc w:val="center"/>
                  </w:pPr>
                  <w:r>
                    <w:t xml:space="preserve">0.12</w:t>
                  </w:r>
                </w:p>
              </w:tc>
              <w:tc>
                <w:tcPr/>
                <w:p>
                  <w:pPr>
                    <w:pStyle w:val="Compact"/>
                    <w:jc w:val="center"/>
                    <w:jc w:val="center"/>
                  </w:pPr>
                  <w:r>
                    <w:t xml:space="preserve">0.64</w:t>
                  </w:r>
                </w:p>
              </w:tc>
              <w:tc>
                <w:tcPr/>
                <w:p>
                  <w:pPr>
                    <w:pStyle w:val="Compact"/>
                    <w:jc w:val="center"/>
                    <w:jc w:val="center"/>
                  </w:pPr>
                  <w:r>
                    <w:t xml:space="preserve">0.41</w:t>
                  </w:r>
                </w:p>
              </w:tc>
              <w:tc>
                <w:tcPr/>
                <w:p>
                  <w:pPr>
                    <w:pStyle w:val="Compact"/>
                    <w:jc w:val="center"/>
                    <w:jc w:val="center"/>
                  </w:pPr>
                  <w:r>
                    <w:t xml:space="preserve">0.12</w:t>
                  </w:r>
                </w:p>
              </w:tc>
            </w:tr>
            <w:tr>
              <w:tc>
                <w:tcPr/>
                <w:p>
                  <w:pPr>
                    <w:pStyle w:val="Compact"/>
                    <w:jc w:val="left"/>
                    <w:jc w:val="center"/>
                  </w:pPr>
                  <w:r>
                    <w:t xml:space="preserve">Residual Max</w:t>
                  </w:r>
                </w:p>
              </w:tc>
              <w:tc>
                <w:tcPr/>
                <w:p>
                  <w:pPr>
                    <w:pStyle w:val="Compact"/>
                    <w:jc w:val="center"/>
                    <w:jc w:val="center"/>
                  </w:pPr>
                  <w:r>
                    <w:t xml:space="preserve">0.86</w:t>
                  </w:r>
                </w:p>
              </w:tc>
              <w:tc>
                <w:tcPr/>
                <w:p>
                  <w:pPr>
                    <w:pStyle w:val="Compact"/>
                    <w:jc w:val="center"/>
                    <w:jc w:val="center"/>
                  </w:pPr>
                  <w:r>
                    <w:t xml:space="preserve">0.77</w:t>
                  </w:r>
                </w:p>
              </w:tc>
              <w:tc>
                <w:tcPr/>
                <w:p>
                  <w:pPr>
                    <w:pStyle w:val="Compact"/>
                    <w:jc w:val="center"/>
                    <w:jc w:val="center"/>
                  </w:pPr>
                  <w:r>
                    <w:t xml:space="preserve">0.59</w:t>
                  </w:r>
                </w:p>
              </w:tc>
              <w:tc>
                <w:tcPr/>
                <w:p>
                  <w:pPr>
                    <w:pStyle w:val="Compact"/>
                    <w:jc w:val="center"/>
                    <w:jc w:val="center"/>
                  </w:pPr>
                  <w:r>
                    <w:t xml:space="preserve">0.67</w:t>
                  </w:r>
                </w:p>
              </w:tc>
            </w:tr>
            <w:tr>
              <w:tc>
                <w:tcPr/>
                <w:p>
                  <w:pPr>
                    <w:pStyle w:val="Compact"/>
                    <w:jc w:val="left"/>
                    <w:jc w:val="center"/>
                  </w:pPr>
                  <w:r>
                    <w:t xml:space="preserve">Q3–Q4</w:t>
                  </w:r>
                  <w:r>
                    <w:t xml:space="preserve"> </w:t>
                  </w:r>
                  <w:r>
                    <w:t xml:space="preserve">Correlation</w:t>
                  </w:r>
                </w:p>
              </w:tc>
              <w:tc>
                <w:tcPr/>
                <w:p>
                  <w:pPr>
                    <w:pStyle w:val="Compact"/>
                    <w:jc w:val="center"/>
                    <w:jc w:val="center"/>
                  </w:pPr>
                  <w:r>
                    <w:t xml:space="preserve">0.09</w:t>
                  </w:r>
                </w:p>
              </w:tc>
              <w:tc>
                <w:tcPr/>
                <w:p>
                  <w:pPr>
                    <w:pStyle w:val="Compact"/>
                    <w:jc w:val="center"/>
                    <w:jc w:val="center"/>
                  </w:pPr>
                  <w:r>
                    <w:t xml:space="preserve">0.23</w:t>
                  </w:r>
                </w:p>
              </w:tc>
              <w:tc>
                <w:tcPr/>
                <w:p>
                  <w:pPr>
                    <w:pStyle w:val="Compact"/>
                    <w:jc w:val="center"/>
                    <w:jc w:val="center"/>
                  </w:pPr>
                  <w:r>
                    <w:t xml:space="preserve">0.16</w:t>
                  </w:r>
                </w:p>
              </w:tc>
              <w:tc>
                <w:tcPr/>
                <w:p>
                  <w:pPr>
                    <w:pStyle w:val="Compact"/>
                    <w:jc w:val="center"/>
                    <w:jc w:val="center"/>
                  </w:pPr>
                  <w:r>
                    <w:t xml:space="preserve">0.09</w:t>
                  </w:r>
                </w:p>
              </w:tc>
            </w:tr>
          </w:tbl>
          <w:bookmarkEnd w:id="43"/>
          <w:p/>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Population Models</w:t>
        </w:r>
      </w:hyperlink>
    </w:p>
    <w:bookmarkEnd w:id="45"/>
    <w:bookmarkStart w:id="52" w:name="analysis-model"/>
    <w:p>
      <w:pPr>
        <w:pStyle w:val="Heading3"/>
      </w:pPr>
      <w:r>
        <w:t xml:space="preserve">2.6 Analysis model</w:t>
      </w:r>
    </w:p>
    <w:p>
      <w:pPr>
        <w:pStyle w:val="FirstParagraph"/>
      </w:pPr>
      <w:r>
        <w:t xml:space="preserve">The analysis model serves dual purposes depending on the simulation paradigm:</w:t>
      </w:r>
    </w:p>
    <w:p>
      <w:pPr>
        <w:pStyle w:val="Compact"/>
        <w:numPr>
          <w:ilvl w:val="0"/>
          <w:numId w:val="1007"/>
        </w:numPr>
      </w:pPr>
      <w:r>
        <w:rPr>
          <w:b/>
          <w:bCs/>
        </w:rPr>
        <w:t xml:space="preserve">Misspecification detection</w:t>
      </w:r>
      <w:r>
        <w:t xml:space="preserve">: Acts as the null hypothesis (</w:t>
      </w:r>
      <m:oMath>
        <m:sSub>
          <m:e>
            <m:r>
              <m:t>H</m:t>
            </m:r>
          </m:e>
          <m:sub>
            <m:r>
              <m:t>0</m:t>
            </m:r>
          </m:sub>
        </m:sSub>
      </m:oMath>
      <w:r>
        <w:t xml:space="preserve">), meaning it</w:t>
      </w:r>
      <w:r>
        <w:t xml:space="preserve"> </w:t>
      </w:r>
      <w:r>
        <w:rPr>
          <w:i/>
          <w:iCs/>
        </w:rPr>
        <w:t xml:space="preserve">omits</w:t>
      </w:r>
      <w:r>
        <w:t xml:space="preserve"> </w:t>
      </w:r>
      <w:r>
        <w:t xml:space="preserve">the cross-loadings, when fitting data generated from the misspecification model (</w:t>
      </w:r>
      <m:oMath>
        <m:sSub>
          <m:e>
            <m:r>
              <m:t>H</m:t>
            </m:r>
          </m:e>
          <m:sub>
            <m:r>
              <m:t>1</m:t>
            </m:r>
          </m:sub>
        </m:sSub>
      </m:oMath>
      <w:r>
        <w:t xml:space="preserve">). Here, power is the probability of correctly rejecting the model given that cross-loadings exist in the population.</w:t>
      </w:r>
    </w:p>
    <w:p>
      <w:pPr>
        <w:pStyle w:val="Compact"/>
        <w:numPr>
          <w:ilvl w:val="0"/>
          <w:numId w:val="1007"/>
        </w:numPr>
      </w:pPr>
      <w:r>
        <w:rPr>
          <w:b/>
          <w:bCs/>
        </w:rPr>
        <w:t xml:space="preserve">Recovery power</w:t>
      </w:r>
      <w:r>
        <w:t xml:space="preserve">: Estimates the 4-factor structure plus the</w:t>
      </w:r>
      <w:r>
        <w:t xml:space="preserve"> </w:t>
      </w:r>
      <m:oMath>
        <m:r>
          <m:t>Q</m:t>
        </m:r>
        <m:r>
          <m:t>3</m:t>
        </m:r>
      </m:oMath>
      <w:r>
        <w:t xml:space="preserve"> </w:t>
      </w:r>
      <w:r>
        <w:t xml:space="preserve">and</w:t>
      </w:r>
      <w:r>
        <w:t xml:space="preserve"> </w:t>
      </w:r>
      <m:oMath>
        <m:r>
          <m:t>Q</m:t>
        </m:r>
        <m:r>
          <m:t>4</m:t>
        </m:r>
      </m:oMath>
      <w:r>
        <w:t xml:space="preserve"> </w:t>
      </w:r>
      <w:r>
        <w:t xml:space="preserve">residual covariance given data from the meta-analytic, naive, or optimistic population models.</w:t>
      </w:r>
    </w:p>
    <w:p>
      <w:pPr>
        <w:pStyle w:val="FirstParagraph"/>
      </w:pPr>
      <w:r>
        <w:rPr>
          <w:b/>
          <w:bCs/>
        </w:rPr>
        <w:t xml:space="preserve">Key constraints and features</w:t>
      </w:r>
      <w:r>
        <w:t xml:space="preserve">:</w:t>
      </w:r>
    </w:p>
    <w:p>
      <w:pPr>
        <w:pStyle w:val="Compact"/>
        <w:numPr>
          <w:ilvl w:val="0"/>
          <w:numId w:val="1008"/>
        </w:numPr>
      </w:pPr>
      <w:r>
        <w:rPr>
          <w:b/>
          <w:bCs/>
        </w:rPr>
        <w:t xml:space="preserve">Identification</w:t>
      </w:r>
      <w:r>
        <w:t xml:space="preserve">: Factor variances are fixed to</w:t>
      </w:r>
      <w:r>
        <w:t xml:space="preserve"> </w:t>
      </w:r>
      <m:oMath>
        <m:r>
          <m:t>1</m:t>
        </m:r>
      </m:oMath>
      <w:r>
        <w:t xml:space="preserve"> </w:t>
      </w:r>
      <w:r>
        <w:t xml:space="preserve">(marker-free scaling) allowing the first indicator to be freely estimated.</w:t>
      </w:r>
    </w:p>
    <w:p>
      <w:pPr>
        <w:pStyle w:val="Compact"/>
        <w:numPr>
          <w:ilvl w:val="0"/>
          <w:numId w:val="1008"/>
        </w:numPr>
      </w:pPr>
      <w:r>
        <w:rPr>
          <w:b/>
          <w:bCs/>
        </w:rPr>
        <w:t xml:space="preserve">Residual covariance</w:t>
      </w:r>
      <w:r>
        <w:t xml:space="preserve">:</w:t>
      </w:r>
      <w:r>
        <w:t xml:space="preserve"> </w:t>
      </w:r>
      <m:oMath>
        <m:r>
          <m:t>Q</m:t>
        </m:r>
        <m:r>
          <m:t>3</m:t>
        </m:r>
      </m:oMath>
      <w:r>
        <w:t xml:space="preserve"> </w:t>
      </w:r>
      <w:r>
        <w:t xml:space="preserve">and</w:t>
      </w:r>
      <w:r>
        <w:t xml:space="preserve"> </w:t>
      </w:r>
      <m:oMath>
        <m:r>
          <m:t>Q</m:t>
        </m:r>
        <m:r>
          <m:t>4</m:t>
        </m:r>
      </m:oMath>
      <w:r>
        <w:t xml:space="preserve"> </w:t>
      </w:r>
      <w:r>
        <w:t xml:space="preserve">correlation is freely estimated, which is theoretically justified and empirically supported</w:t>
      </w:r>
      <w:r>
        <w:t xml:space="preserve"> </w:t>
      </w:r>
      <w:r>
        <w:t xml:space="preserve">(Lin &amp; Yao, 2022;</w:t>
      </w:r>
      <w:r>
        <w:t xml:space="preserve"> </w:t>
      </w:r>
      <w:r>
        <w:t xml:space="preserve">Mosqueira Taipe et al.</w:t>
      </w:r>
      <w:r>
        <w:t xml:space="preserve">, 2026)</w:t>
      </w:r>
      <w:r>
        <w:t xml:space="preserve">.</w:t>
      </w:r>
    </w:p>
    <w:p>
      <w:pPr>
        <w:pStyle w:val="Compact"/>
        <w:numPr>
          <w:ilvl w:val="0"/>
          <w:numId w:val="1008"/>
        </w:numPr>
      </w:pPr>
      <w:r>
        <w:rPr>
          <w:b/>
          <w:bCs/>
        </w:rPr>
        <w:t xml:space="preserve">Cross-loadings</w:t>
      </w:r>
      <w:r>
        <w:t xml:space="preserve">: The omission of cross-loadings for items</w:t>
      </w:r>
      <w:r>
        <w:t xml:space="preserve"> </w:t>
      </w:r>
      <m:oMath>
        <m:r>
          <m:t>Q</m:t>
        </m:r>
        <m:r>
          <m:t>8</m:t>
        </m:r>
      </m:oMath>
      <w:r>
        <w:t xml:space="preserve">,</w:t>
      </w:r>
      <w:r>
        <w:t xml:space="preserve"> </w:t>
      </w:r>
      <m:oMath>
        <m:r>
          <m:t>Q</m:t>
        </m:r>
        <m:r>
          <m:t>9</m:t>
        </m:r>
      </m:oMath>
      <w:r>
        <w:t xml:space="preserve">, and</w:t>
      </w:r>
      <w:r>
        <w:t xml:space="preserve"> </w:t>
      </w:r>
      <m:oMath>
        <m:r>
          <m:t>Q</m:t>
        </m:r>
        <m:r>
          <m:t>15</m:t>
        </m:r>
      </m:oMath>
      <w:r>
        <w:t xml:space="preserve"> </w:t>
      </w:r>
      <w:r>
        <w:t xml:space="preserve">deliberately defines the misspecification tested in misspecification detection.</w:t>
      </w:r>
    </w:p>
    <w:p>
      <w:pPr>
        <w:pStyle w:val="FirstParagraph"/>
      </w:pPr>
      <w:r>
        <w:t xml:space="preserve">The</w:t>
      </w:r>
      <w:r>
        <w:t xml:space="preserve"> </w:t>
      </w:r>
      <w:r>
        <w:rPr>
          <w:rStyle w:val="VerbatimChar"/>
        </w:rPr>
        <w:t xml:space="preserve">lavaan</w:t>
      </w:r>
      <w:r>
        <w:t xml:space="preserve"> </w:t>
      </w:r>
      <w:r>
        <w:t xml:space="preserve">syntax for this analysis model is shown below, and</w:t>
      </w:r>
      <w:r>
        <w:t xml:space="preserve"> </w:t>
      </w:r>
      <w:hyperlink w:anchor="fig-diagram-analyzemodel">
        <w:r>
          <w:rPr>
            <w:rStyle w:val="Hyperlink"/>
          </w:rPr>
          <w:t xml:space="preserve">Figure 5</w:t>
        </w:r>
      </w:hyperlink>
      <w:r>
        <w:t xml:space="preserve"> </w:t>
      </w:r>
      <w:r>
        <w:t xml:space="preserve">provides a visual representation of the model structure.</w:t>
      </w:r>
    </w:p>
    <w:p>
      <w:pPr>
        <w:pStyle w:val="SourceCode"/>
      </w:pPr>
      <w:r>
        <w:br/>
      </w:r>
      <w:r>
        <w:rPr>
          <w:rStyle w:val="VerbatimChar"/>
        </w:rPr>
        <w:t xml:space="preserve">  # ── Factor loadings: freely estimated ─────────────────────────────────────</w:t>
      </w:r>
      <w:r>
        <w:br/>
      </w:r>
      <w:r>
        <w:rPr>
          <w:rStyle w:val="VerbatimChar"/>
        </w:rPr>
        <w:t xml:space="preserve">  psycho      =~ Q5  + Q6  + Q7  + Q11 + Q19 + Q26</w:t>
      </w:r>
      <w:r>
        <w:br/>
      </w:r>
      <w:r>
        <w:rPr>
          <w:rStyle w:val="VerbatimChar"/>
        </w:rPr>
        <w:t xml:space="preserve">  physical    =~ Q3  + Q4  + Q10 + Q15 + Q16 + Q17 + Q18</w:t>
      </w:r>
      <w:r>
        <w:br/>
      </w:r>
      <w:r>
        <w:rPr>
          <w:rStyle w:val="VerbatimChar"/>
        </w:rPr>
        <w:t xml:space="preserve">  social      =~ Q20 + Q21 + Q22</w:t>
      </w:r>
      <w:r>
        <w:br/>
      </w:r>
      <w:r>
        <w:rPr>
          <w:rStyle w:val="VerbatimChar"/>
        </w:rPr>
        <w:t xml:space="preserve">  environment =~ Q8  + Q9  + Q12 + Q13 + Q14 + Q23 + Q24 + Q25</w:t>
      </w:r>
      <w:r>
        <w:br/>
      </w:r>
      <w:r>
        <w:br/>
      </w:r>
      <w:r>
        <w:rPr>
          <w:rStyle w:val="VerbatimChar"/>
        </w:rPr>
        <w:t xml:space="preserve">  # ── Factor variances (=1) and free interfactor correlations ───────────────</w:t>
      </w:r>
      <w:r>
        <w:br/>
      </w:r>
      <w:r>
        <w:rPr>
          <w:rStyle w:val="VerbatimChar"/>
        </w:rPr>
        <w:t xml:space="preserve">  psycho      ~~ 1*psycho      + physical + social + environment</w:t>
      </w:r>
      <w:r>
        <w:br/>
      </w:r>
      <w:r>
        <w:rPr>
          <w:rStyle w:val="VerbatimChar"/>
        </w:rPr>
        <w:t xml:space="preserve">  physical    ~~ 1*physical    + social   + environment</w:t>
      </w:r>
      <w:r>
        <w:br/>
      </w:r>
      <w:r>
        <w:rPr>
          <w:rStyle w:val="VerbatimChar"/>
        </w:rPr>
        <w:t xml:space="preserve">  social      ~~ 1*social      + environment</w:t>
      </w:r>
      <w:r>
        <w:br/>
      </w:r>
      <w:r>
        <w:rPr>
          <w:rStyle w:val="VerbatimChar"/>
        </w:rPr>
        <w:t xml:space="preserve">  environment ~~ 1*environment</w:t>
      </w:r>
      <w:r>
        <w:br/>
      </w:r>
      <w:r>
        <w:br/>
      </w:r>
      <w:r>
        <w:rPr>
          <w:rStyle w:val="VerbatimChar"/>
        </w:rPr>
        <w:t xml:space="preserve">  # ── Residual covariance Q3~~Q4: freely estimated ──────────────────────────</w:t>
      </w:r>
      <w:r>
        <w:br/>
      </w:r>
      <w:r>
        <w:rPr>
          <w:rStyle w:val="VerbatimChar"/>
        </w:rPr>
        <w:t xml:space="preserve">  Q4 ~~ Q3</w:t>
      </w:r>
      <w:r>
        <w:br/>
      </w:r>
      <w:r>
        <w:br/>
      </w:r>
      <w:r>
        <w:rPr>
          <w:rStyle w:val="VerbatimChar"/>
        </w:rPr>
        <w:t xml:space="preserve">  # ── Residual variances: freely estimated ──────────────────────────────────</w:t>
      </w:r>
      <w:r>
        <w:br/>
      </w:r>
      <w:r>
        <w:rPr>
          <w:rStyle w:val="VerbatimChar"/>
        </w:rPr>
        <w:t xml:space="preserve">  Q5  ~~ Q5;  Q6  ~~ Q6;  Q7  ~~ Q7</w:t>
      </w:r>
      <w:r>
        <w:br/>
      </w:r>
      <w:r>
        <w:rPr>
          <w:rStyle w:val="VerbatimChar"/>
        </w:rPr>
        <w:t xml:space="preserve">  Q11 ~~ Q11; Q19 ~~ Q19; Q26 ~~ Q26</w:t>
      </w:r>
      <w:r>
        <w:br/>
      </w:r>
      <w:r>
        <w:rPr>
          <w:rStyle w:val="VerbatimChar"/>
        </w:rPr>
        <w:t xml:space="preserve">  Q3  ~~ Q3;  Q4  ~~ Q4;  Q10 ~~ Q10</w:t>
      </w:r>
      <w:r>
        <w:br/>
      </w:r>
      <w:r>
        <w:rPr>
          <w:rStyle w:val="VerbatimChar"/>
        </w:rPr>
        <w:t xml:space="preserve">  Q15 ~~ Q15; Q16 ~~ Q16; Q17 ~~ Q17; Q18 ~~ Q18</w:t>
      </w:r>
      <w:r>
        <w:br/>
      </w:r>
      <w:r>
        <w:rPr>
          <w:rStyle w:val="VerbatimChar"/>
        </w:rPr>
        <w:t xml:space="preserve">  Q20 ~~ Q20; Q21 ~~ Q21; Q22 ~~ Q22</w:t>
      </w:r>
      <w:r>
        <w:br/>
      </w:r>
      <w:r>
        <w:rPr>
          <w:rStyle w:val="VerbatimChar"/>
        </w:rPr>
        <w:t xml:space="preserve">  Q8  ~~ Q8;  Q9  ~~ Q9;  Q12 ~~ Q12; Q13 ~~ Q13</w:t>
      </w:r>
      <w:r>
        <w:br/>
      </w:r>
      <w:r>
        <w:rPr>
          <w:rStyle w:val="VerbatimChar"/>
        </w:rPr>
        <w:t xml:space="preserve">  Q14 ~~ Q14; Q23 ~~ Q23; Q24 ~~ Q24; Q25 ~~ Q25</w:t>
      </w:r>
    </w:p>
    <w:p>
      <w:pPr>
        <w:pStyle w:val="FirstParagraph"/>
      </w:pPr>
      <w:r>
        <w:rPr>
          <w:vertAlign w:val="subscript"/>
        </w:rPr>
        <w:t xml:space="preserve">Source:</w:t>
      </w:r>
      <w:r>
        <w:rPr>
          <w:vertAlign w:val="subscript"/>
        </w:rPr>
        <w:t xml:space="preserve"> </w:t>
      </w:r>
      <w:hyperlink r:id="rId46">
        <w:r>
          <w:rPr>
            <w:rStyle w:val="Hyperlink"/>
            <w:vertAlign w:val="subscript"/>
          </w:rPr>
          <w:t xml:space="preserve">Population Models</w:t>
        </w:r>
      </w:hyperlink>
    </w:p>
    <w:tbl>
      <w:tblPr>
        <w:tblStyle w:val="Table"/>
        <w:tblW w:type="pct" w:w="5000"/>
        <w:tblLayout w:type="fixed"/>
        <w:tblLook w:firstRow="0" w:lastRow="0" w:firstColumn="0" w:lastColumn="0" w:noHBand="0" w:noVBand="0" w:val="0000"/>
      </w:tblPr>
      <w:tblGrid>
        <w:gridCol w:w="7920"/>
      </w:tblGrid>
      <w:tr>
        <w:tc>
          <w:tcPr/>
          <w:bookmarkStart w:id="50" w:name="fig-diagram-analyzemodel"/>
          <w:p>
            <w:pPr>
              <w:pStyle w:val="Compact"/>
              <w:jc w:val="center"/>
            </w:pPr>
            <w:r>
              <w:drawing>
                <wp:inline>
                  <wp:extent cx="5334000" cy="4667249"/>
                  <wp:effectExtent b="0" l="0" r="0" t="0"/>
                  <wp:docPr descr="" title="" id="48" name="Picture"/>
                  <a:graphic>
                    <a:graphicData uri="http://schemas.openxmlformats.org/drawingml/2006/picture">
                      <pic:pic>
                        <pic:nvPicPr>
                          <pic:cNvPr descr="index_files/figure-docx/Scripts-AnalysisScripts-01_population_models-fig-diagram-analyzemodel-output-1.png" id="49" name="Picture"/>
                          <pic:cNvPicPr>
                            <a:picLocks noChangeArrowheads="1" noChangeAspect="1"/>
                          </pic:cNvPicPr>
                        </pic:nvPicPr>
                        <pic:blipFill>
                          <a:blip r:embed="rId47"/>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Path diagram of the analyzemodel</w:t>
            </w:r>
          </w:p>
          <w:bookmarkEnd w:id="50"/>
        </w:tc>
      </w:tr>
    </w:tbl>
    <w:p>
      <w:pPr>
        <w:pStyle w:val="BodyText"/>
      </w:pPr>
      <w:r>
        <w:rPr>
          <w:vertAlign w:val="subscript"/>
        </w:rPr>
        <w:t xml:space="preserve">Source:</w:t>
      </w:r>
      <w:r>
        <w:rPr>
          <w:vertAlign w:val="subscript"/>
        </w:rPr>
        <w:t xml:space="preserve"> </w:t>
      </w:r>
      <w:hyperlink r:id="rId51">
        <w:r>
          <w:rPr>
            <w:rStyle w:val="Hyperlink"/>
            <w:vertAlign w:val="subscript"/>
          </w:rPr>
          <w:t xml:space="preserve">Population Models</w:t>
        </w:r>
      </w:hyperlink>
    </w:p>
    <w:bookmarkEnd w:id="52"/>
    <w:bookmarkEnd w:id="53"/>
    <w:bookmarkStart w:id="85" w:name="sec-analytical"/>
    <w:p>
      <w:pPr>
        <w:pStyle w:val="Heading2"/>
      </w:pPr>
      <w:r>
        <w:t xml:space="preserve">3 Analytical Power Analysis</w:t>
      </w:r>
    </w:p>
    <w:p>
      <w:pPr>
        <w:pStyle w:val="FirstParagraph"/>
      </w:pPr>
      <w:r>
        <w:t xml:space="preserve">Analytical power usually asks:</w:t>
      </w:r>
      <w:r>
        <w:t xml:space="preserve"> </w:t>
      </w:r>
      <w:r>
        <w:t xml:space="preserve">“How large must</w:t>
      </w:r>
      <w:r>
        <w:t xml:space="preserve"> </w:t>
      </w:r>
      <m:oMath>
        <m:r>
          <m:t>N</m:t>
        </m:r>
      </m:oMath>
      <w:r>
        <w:t xml:space="preserve"> </w:t>
      </w:r>
      <w:r>
        <w:t xml:space="preserve">be to reject the hypothesis that the model fits perfectly (or adequately) when the true misfit in the population is of a certain magnitude?”</w:t>
      </w:r>
      <w:r>
        <w:t xml:space="preserve"> </w:t>
      </w:r>
      <w:r>
        <w:t xml:space="preserve">A common formulation sets the alternative hypothesis to RMSEA = 0.05</w:t>
      </w:r>
      <w:r>
        <w:t xml:space="preserve"> </w:t>
      </w:r>
      <w:r>
        <w:t xml:space="preserve">(MacCallum et al., 1996)</w:t>
      </w:r>
      <w:r>
        <w:t xml:space="preserve">.</w:t>
      </w:r>
    </w:p>
    <w:bookmarkStart w:id="55" w:name="sec-df"/>
    <w:p>
      <w:pPr>
        <w:pStyle w:val="Heading3"/>
      </w:pPr>
      <w:r>
        <w:t xml:space="preserve">3.1 Model Degrees of Freedom</w:t>
      </w:r>
    </w:p>
    <w:p>
      <w:pPr>
        <w:pStyle w:val="FirstParagraph"/>
      </w:pPr>
      <w:r>
        <w:t xml:space="preserve">Analytical calculations depend crucially on model degrees of freedom (</w:t>
      </w:r>
      <m:oMath>
        <m:r>
          <m:t>d</m:t>
        </m:r>
        <m:r>
          <m:t>f</m:t>
        </m:r>
      </m:oMath>
      <w:r>
        <w:t xml:space="preserve">), the difference between the number of available pieces of information (unique variances/covariances) and the number of freely estimated parameters. Knowing this allows tools to parameterize the non-central</w:t>
      </w:r>
      <w:r>
        <w:t xml:space="preserve"> </w:t>
      </w:r>
      <m:oMath>
        <m:sSup>
          <m:e>
            <m:r>
              <m:t>χ</m:t>
            </m:r>
          </m:e>
          <m:sup>
            <m:r>
              <m:t>2</m:t>
            </m:r>
          </m:sup>
        </m:sSup>
      </m:oMath>
      <w:r>
        <w:t xml:space="preserve"> </w:t>
      </w:r>
      <w:r>
        <w:t xml:space="preserve">distribution. This calculation is necessary for both a priori and post hoc power analyses in analytical methods for global fit:</w:t>
      </w:r>
    </w:p>
    <w:p>
      <w:pPr>
        <w:pStyle w:val="SourceCode"/>
      </w:pPr>
      <w:r>
        <w:rPr>
          <w:rStyle w:val="VerbatimChar"/>
        </w:rPr>
        <w:t xml:space="preserve">Model degrees of freedom (via semPower): 249 </w:t>
      </w:r>
    </w:p>
    <w:p>
      <w:pPr>
        <w:pStyle w:val="FirstParagraph"/>
      </w:pPr>
      <w:r>
        <w:rPr>
          <w:vertAlign w:val="subscript"/>
        </w:rPr>
        <w:t xml:space="preserve">Source:</w:t>
      </w:r>
      <w:r>
        <w:rPr>
          <w:vertAlign w:val="subscript"/>
        </w:rPr>
        <w:t xml:space="preserve"> </w:t>
      </w:r>
      <w:hyperlink r:id="rId54">
        <w:r>
          <w:rPr>
            <w:rStyle w:val="Hyperlink"/>
            <w:vertAlign w:val="subscript"/>
          </w:rPr>
          <w:t xml:space="preserve">Analytical Power Analysis</w:t>
        </w:r>
      </w:hyperlink>
    </w:p>
    <w:bookmarkEnd w:id="55"/>
    <w:bookmarkStart w:id="65" w:name="sec-apriori"/>
    <w:p>
      <w:pPr>
        <w:pStyle w:val="Heading3"/>
      </w:pPr>
      <w:r>
        <w:t xml:space="preserve">3.2 A Priori: How Many Observations?</w:t>
      </w:r>
    </w:p>
    <w:bookmarkStart w:id="61" w:name="model-free-approach-rmsea-based"/>
    <w:p>
      <w:pPr>
        <w:pStyle w:val="Heading4"/>
      </w:pPr>
      <w:r>
        <w:t xml:space="preserve">3.2.1 Model-free approach (RMSEA-based)</w:t>
      </w:r>
    </w:p>
    <w:p>
      <w:pPr>
        <w:pStyle w:val="FirstParagraph"/>
      </w:pPr>
      <w:r>
        <w:t xml:space="preserve">An a priori power analysis is conducted before data collection to determine the sample size required to detect a target effect with a prespecified significance level, desired power, and model degrees of freedom</w:t>
      </w:r>
      <w:r>
        <w:t xml:space="preserve"> </w:t>
      </w:r>
      <w:r>
        <w:t xml:space="preserve">(Jobst et al., 2023; Moshagen &amp; Bader, 2024)</w:t>
      </w:r>
      <w:r>
        <w:t xml:space="preserve">.</w:t>
      </w:r>
    </w:p>
    <w:p>
      <w:pPr>
        <w:pStyle w:val="BodyText"/>
      </w:pPr>
      <w:r>
        <w:t xml:space="preserve">In this setup, the effect is defined through the RMSEA, which expresses model misfit on a per-degree-of-freedom basis and therefore serves as a noncentrality-based measure of discrepancy between the null model and the comparison model</w:t>
      </w:r>
      <w:r>
        <w:t xml:space="preserve"> </w:t>
      </w:r>
      <w:r>
        <w:t xml:space="preserve">(Jobst et al., 2023; Moshagen &amp; Bader, 2024)</w:t>
      </w:r>
      <w:r>
        <w:t xml:space="preserve">.</w:t>
      </w:r>
    </w:p>
    <w:p>
      <w:pPr>
        <w:pStyle w:val="BodyText"/>
      </w:pPr>
      <w:r>
        <w:t xml:space="preserve">Because RMSEA is directly linked to the population minimum of the fitting function through</w:t>
      </w:r>
      <w:r>
        <w:t xml:space="preserve"> </w:t>
      </w:r>
      <m:oMath>
        <m:sSub>
          <m:e>
            <m:r>
              <m:t>F</m:t>
            </m:r>
          </m:e>
          <m:sub>
            <m:r>
              <m:t>0</m:t>
            </m:r>
          </m:sub>
        </m:sSub>
        <m:r>
          <m:rPr>
            <m:sty m:val="p"/>
          </m:rPr>
          <m:t>=</m:t>
        </m:r>
        <m:sSup>
          <m:e>
            <m:r>
              <m:rPr>
                <m:nor/>
                <m:sty m:val="p"/>
              </m:rPr>
              <m:t>RMSEA</m:t>
            </m:r>
          </m:e>
          <m:sup>
            <m:r>
              <m:t>2</m:t>
            </m:r>
          </m:sup>
        </m:sSup>
        <m:r>
          <m:rPr>
            <m:sty m:val="p"/>
          </m:rPr>
          <m:t>×</m:t>
        </m:r>
        <m:r>
          <m:t>d</m:t>
        </m:r>
        <m:r>
          <m:t>f</m:t>
        </m:r>
      </m:oMath>
      <w:r>
        <w:t xml:space="preserve">, the target misfit can be translated into the noncentrality parameter used in the analytical power calculation,</w:t>
      </w:r>
      <w:r>
        <w:t xml:space="preserve"> </w:t>
      </w:r>
      <m:oMath>
        <m:r>
          <m:t>λ</m:t>
        </m:r>
        <m:r>
          <m:rPr>
            <m:sty m:val="p"/>
          </m:rPr>
          <m:t>=</m:t>
        </m:r>
        <m:r>
          <m:rPr>
            <m:sty m:val="p"/>
          </m:rPr>
          <m:t>(</m:t>
        </m:r>
        <m:r>
          <m:t>N</m:t>
        </m:r>
        <m:r>
          <m:rPr>
            <m:sty m:val="p"/>
          </m:rPr>
          <m:t>−</m:t>
        </m:r>
        <m:r>
          <m:t>1</m:t>
        </m:r>
        <m:r>
          <m:rPr>
            <m:sty m:val="p"/>
          </m:rPr>
          <m:t>)</m:t>
        </m:r>
        <m:sSub>
          <m:e>
            <m:r>
              <m:t>F</m:t>
            </m:r>
          </m:e>
          <m:sub>
            <m:r>
              <m:t>0</m:t>
            </m:r>
          </m:sub>
        </m:sSub>
      </m:oMath>
      <w:r>
        <w:t xml:space="preserve"> </w:t>
      </w:r>
      <w:r>
        <w:t xml:space="preserve">(Moshagen &amp; Bader, 2024)</w:t>
      </w:r>
      <w:r>
        <w:t xml:space="preserve">.</w:t>
      </w:r>
    </w:p>
    <w:p>
      <w:pPr>
        <w:pStyle w:val="BodyText"/>
      </w:pPr>
      <w:r>
        <w:t xml:space="preserve">This corresponds to an analytical, model-free power analysis, meaning that the required sample size is determined by the chosen effect magnitude,</w:t>
      </w:r>
      <w:r>
        <w:t xml:space="preserve"> </w:t>
      </w:r>
      <m:oMath>
        <m:r>
          <m:t>α</m:t>
        </m:r>
      </m:oMath>
      <w:r>
        <w:t xml:space="preserve">, desired power, and</w:t>
      </w:r>
      <w:r>
        <w:t xml:space="preserve"> </w:t>
      </w:r>
      <m:oMath>
        <m:r>
          <m:t>d</m:t>
        </m:r>
        <m:r>
          <m:t>f</m:t>
        </m:r>
      </m:oMath>
      <w:r>
        <w:t xml:space="preserve">, rather than by the interpretation of any single model parameter</w:t>
      </w:r>
      <w:r>
        <w:t xml:space="preserve"> </w:t>
      </w:r>
      <w:r>
        <w:t xml:space="preserve">(Moshagen &amp; Bader, 2024)</w:t>
      </w:r>
      <w:r>
        <w:t xml:space="preserve">.</w:t>
      </w:r>
    </w:p>
    <w:p>
      <w:pPr>
        <w:pStyle w:val="BodyText"/>
      </w:pPr>
      <w:r>
        <w:t xml:space="preserve">Accordingly, an RMSEA-based a priori analysis is most appropriate when the objective is to plan sample size for detecting overall model misspecification in a global chi-square test of model fit</w:t>
      </w:r>
      <w:r>
        <w:t xml:space="preserve"> </w:t>
      </w:r>
      <w:r>
        <w:t xml:space="preserve">(Jobst et al., 2023; Moshagen &amp; Bader, 2024)</w:t>
      </w:r>
      <w:r>
        <w:t xml:space="preserve">.</w:t>
      </w:r>
    </w:p>
    <w:p>
      <w:pPr>
        <w:pStyle w:val="SourceCode"/>
      </w:pPr>
      <w:r>
        <w:br/>
      </w:r>
      <w:r>
        <w:rPr>
          <w:rStyle w:val="VerbatimChar"/>
        </w:rPr>
        <w:t xml:space="preserve"> semPower: A priori power analysis</w:t>
      </w:r>
      <w:r>
        <w:br/>
      </w:r>
      <w:r>
        <w:rPr>
          <w:rStyle w:val="VerbatimChar"/>
        </w:rPr>
        <w:t xml:space="preserve">                                   </w:t>
      </w:r>
      <w:r>
        <w:br/>
      </w:r>
      <w:r>
        <w:rPr>
          <w:rStyle w:val="VerbatimChar"/>
        </w:rPr>
        <w:t xml:space="preserve"> F0                        0.622500</w:t>
      </w:r>
      <w:r>
        <w:br/>
      </w:r>
      <w:r>
        <w:rPr>
          <w:rStyle w:val="VerbatimChar"/>
        </w:rPr>
        <w:t xml:space="preserve"> RMSEA                     0.050000</w:t>
      </w:r>
      <w:r>
        <w:br/>
      </w:r>
      <w:r>
        <w:rPr>
          <w:rStyle w:val="VerbatimChar"/>
        </w:rPr>
        <w:t xml:space="preserve"> Mc                        0.732531</w:t>
      </w:r>
      <w:r>
        <w:br/>
      </w:r>
      <w:r>
        <w:rPr>
          <w:rStyle w:val="VerbatimChar"/>
        </w:rPr>
        <w:t xml:space="preserve"> GFI                       0.950683</w:t>
      </w:r>
      <w:r>
        <w:br/>
      </w:r>
      <w:r>
        <w:rPr>
          <w:rStyle w:val="VerbatimChar"/>
        </w:rPr>
        <w:t xml:space="preserve"> AGFI                      0.940582</w:t>
      </w:r>
      <w:r>
        <w:br/>
      </w:r>
      <w:r>
        <w:rPr>
          <w:rStyle w:val="VerbatimChar"/>
        </w:rPr>
        <w:t xml:space="preserve">                                   </w:t>
      </w:r>
      <w:r>
        <w:br/>
      </w:r>
      <w:r>
        <w:rPr>
          <w:rStyle w:val="VerbatimChar"/>
        </w:rPr>
        <w:t xml:space="preserve"> df                        249     </w:t>
      </w:r>
      <w:r>
        <w:br/>
      </w:r>
      <w:r>
        <w:rPr>
          <w:rStyle w:val="VerbatimChar"/>
        </w:rPr>
        <w:t xml:space="preserve"> Required Num Observations 99      </w:t>
      </w:r>
      <w:r>
        <w:br/>
      </w:r>
      <w:r>
        <w:rPr>
          <w:rStyle w:val="VerbatimChar"/>
        </w:rPr>
        <w:t xml:space="preserve">                                   </w:t>
      </w:r>
      <w:r>
        <w:br/>
      </w:r>
      <w:r>
        <w:rPr>
          <w:rStyle w:val="VerbatimChar"/>
        </w:rPr>
        <w:t xml:space="preserve"> Critical Chi-Square       286.8077</w:t>
      </w:r>
      <w:r>
        <w:br/>
      </w:r>
      <w:r>
        <w:rPr>
          <w:rStyle w:val="VerbatimChar"/>
        </w:rPr>
        <w:t xml:space="preserve"> NCP                       61.00500</w:t>
      </w:r>
      <w:r>
        <w:br/>
      </w:r>
      <w:r>
        <w:rPr>
          <w:rStyle w:val="VerbatimChar"/>
        </w:rPr>
        <w:t xml:space="preserve"> Alpha                     0.050000</w:t>
      </w:r>
      <w:r>
        <w:br/>
      </w:r>
      <w:r>
        <w:rPr>
          <w:rStyle w:val="VerbatimChar"/>
        </w:rPr>
        <w:t xml:space="preserve"> Beta                      0.199217</w:t>
      </w:r>
      <w:r>
        <w:br/>
      </w:r>
      <w:r>
        <w:rPr>
          <w:rStyle w:val="VerbatimChar"/>
        </w:rPr>
        <w:t xml:space="preserve"> Power (1 - Beta)          0.800783</w:t>
      </w:r>
      <w:r>
        <w:br/>
      </w:r>
      <w:r>
        <w:rPr>
          <w:rStyle w:val="VerbatimChar"/>
        </w:rPr>
        <w:t xml:space="preserve"> Implied Alpha/Beta Ratio  0.250983</w:t>
      </w:r>
    </w:p>
    <w:p>
      <w:pPr>
        <w:pStyle w:val="FirstParagraph"/>
      </w:pPr>
      <w:bookmarkStart w:id="59" w:name="apriori-rmsea"/>
      <w:r>
        <w:drawing>
          <wp:inline>
            <wp:extent cx="5334000" cy="3810000"/>
            <wp:effectExtent b="0" l="0" r="0" t="0"/>
            <wp:docPr descr="" title="" id="57" name="Picture"/>
            <a:graphic>
              <a:graphicData uri="http://schemas.openxmlformats.org/drawingml/2006/picture">
                <pic:pic>
                  <pic:nvPicPr>
                    <pic:cNvPr descr="index_files/figure-docx/Scripts-AnalysisScripts-02_analytical_power-apriori-rmsea-output-2.png" id="58" name="Picture"/>
                    <pic:cNvPicPr>
                      <a:picLocks noChangeArrowheads="1" noChangeAspect="1"/>
                    </pic:cNvPicPr>
                  </pic:nvPicPr>
                  <pic:blipFill>
                    <a:blip r:embed="rId56"/>
                    <a:stretch>
                      <a:fillRect/>
                    </a:stretch>
                  </pic:blipFill>
                  <pic:spPr bwMode="auto">
                    <a:xfrm>
                      <a:off x="0" y="0"/>
                      <a:ext cx="5334000" cy="3810000"/>
                    </a:xfrm>
                    <a:prstGeom prst="rect">
                      <a:avLst/>
                    </a:prstGeom>
                    <a:noFill/>
                    <a:ln w="9525">
                      <a:noFill/>
                      <a:headEnd/>
                      <a:tailEnd/>
                    </a:ln>
                  </pic:spPr>
                </pic:pic>
              </a:graphicData>
            </a:graphic>
          </wp:inline>
        </w:drawing>
      </w:r>
      <w:bookmarkEnd w:id="59"/>
    </w:p>
    <w:p>
      <w:pPr>
        <w:pStyle w:val="BodyText"/>
      </w:pPr>
      <w:r>
        <w:rPr>
          <w:vertAlign w:val="subscript"/>
        </w:rPr>
        <w:t xml:space="preserve">Source:</w:t>
      </w:r>
      <w:r>
        <w:rPr>
          <w:vertAlign w:val="subscript"/>
        </w:rPr>
        <w:t xml:space="preserve"> </w:t>
      </w:r>
      <w:hyperlink r:id="rId60">
        <w:r>
          <w:rPr>
            <w:rStyle w:val="Hyperlink"/>
            <w:vertAlign w:val="subscript"/>
          </w:rPr>
          <w:t xml:space="preserve">Analytical Power Analysis</w:t>
        </w:r>
      </w:hyperlink>
    </w:p>
    <w:p>
      <w:pPr>
        <w:pStyle w:val="BodyText"/>
      </w:pPr>
      <w:r>
        <w:t xml:space="preserve">This output shows the minimum sample size required to detect a degree of model misfit equal to</w:t>
      </w:r>
      <w:r>
        <w:t xml:space="preserve"> </w:t>
      </w:r>
      <m:oMath>
        <m:r>
          <m:rPr>
            <m:nor/>
            <m:sty m:val="p"/>
          </m:rPr>
          <m:t>RMSEA</m:t>
        </m:r>
        <m:r>
          <m:rPr>
            <m:sty m:val="p"/>
          </m:rPr>
          <m:t>=</m:t>
        </m:r>
        <m:r>
          <m:t>0.05</m:t>
        </m:r>
      </m:oMath>
      <w:r>
        <w:t xml:space="preserve"> </w:t>
      </w:r>
      <w:r>
        <w:t xml:space="preserve">with target power</w:t>
      </w:r>
      <w:r>
        <w:t xml:space="preserve"> </w:t>
      </w:r>
      <m:oMath>
        <m:r>
          <m:t>0.80</m:t>
        </m:r>
      </m:oMath>
      <w:r>
        <w:t xml:space="preserve"> </w:t>
      </w:r>
      <w:r>
        <w:t xml:space="preserve">at</w:t>
      </w:r>
      <w:r>
        <w:t xml:space="preserve"> </w:t>
      </w:r>
      <m:oMath>
        <m:r>
          <m:t>α</m:t>
        </m:r>
        <m:r>
          <m:rPr>
            <m:sty m:val="p"/>
          </m:rPr>
          <m:t>=</m:t>
        </m:r>
        <m:r>
          <m:t>0.05</m:t>
        </m:r>
      </m:oMath>
      <w:r>
        <w:t xml:space="preserve">. In this setup, the null hypothesis is exact fit, so the reported effect refers to the level of misspecification to be detected under the alternative hypothesis, not to a misfit level assumed under the null</w:t>
      </w:r>
      <w:r>
        <w:t xml:space="preserve"> </w:t>
      </w:r>
      <w:r>
        <w:t xml:space="preserve">(Jobst et al., 2023; Moshagen &amp; Bader, 2024)</w:t>
      </w:r>
      <w:r>
        <w:t xml:space="preserve">.</w:t>
      </w:r>
    </w:p>
    <w:p>
      <w:pPr>
        <w:pStyle w:val="BodyText"/>
      </w:pPr>
      <w:r>
        <w:t xml:space="preserve">The output reports several equivalent representations of the same target effect. The value</w:t>
      </w:r>
      <w:r>
        <w:t xml:space="preserve"> </w:t>
      </w:r>
      <m:oMath>
        <m:sSub>
          <m:e>
            <m:r>
              <m:t>F</m:t>
            </m:r>
          </m:e>
          <m:sub>
            <m:r>
              <m:t>0</m:t>
            </m:r>
          </m:sub>
        </m:sSub>
      </m:oMath>
      <w:r>
        <w:t xml:space="preserve"> </w:t>
      </w:r>
      <w:r>
        <w:t xml:space="preserve">= 0.623 is the population minimum of the fitting function, obtained from</w:t>
      </w:r>
      <w:r>
        <w:t xml:space="preserve"> </w:t>
      </w:r>
      <m:oMath>
        <m:sSub>
          <m:e>
            <m:r>
              <m:t>F</m:t>
            </m:r>
          </m:e>
          <m:sub>
            <m:r>
              <m:t>0</m:t>
            </m:r>
          </m:sub>
        </m:sSub>
        <m:r>
          <m:rPr>
            <m:sty m:val="p"/>
          </m:rPr>
          <m:t>=</m:t>
        </m:r>
        <m:r>
          <m:t>d</m:t>
        </m:r>
        <m:r>
          <m:t>f</m:t>
        </m:r>
        <m:r>
          <m:rPr>
            <m:sty m:val="p"/>
          </m:rPr>
          <m:t>⋅</m:t>
        </m:r>
        <m:sSup>
          <m:e>
            <m:r>
              <m:rPr>
                <m:nor/>
                <m:sty m:val="p"/>
              </m:rPr>
              <m:t>RMSEA</m:t>
            </m:r>
          </m:e>
          <m:sup>
            <m:r>
              <m:t>2</m:t>
            </m:r>
          </m:sup>
        </m:sSup>
      </m:oMath>
      <w:r>
        <w:t xml:space="preserve"> </w:t>
      </w:r>
      <w:r>
        <w:t xml:space="preserve">= 249</w:t>
      </w:r>
      <w:r>
        <w:t xml:space="preserve"> </w:t>
      </w:r>
      <m:oMath>
        <m:r>
          <m:rPr>
            <m:sty m:val="p"/>
          </m:rPr>
          <m:t>⋅</m:t>
        </m:r>
      </m:oMath>
      <w:r>
        <w:t xml:space="preserve"> </w:t>
      </w:r>
      <m:oMath>
        <m:sSup>
          <m:e>
            <m:r>
              <m:t>0.05</m:t>
            </m:r>
          </m:e>
          <m:sup>
            <m:r>
              <m:t>2</m:t>
            </m:r>
          </m:sup>
        </m:sSup>
      </m:oMath>
      <w:r>
        <w:t xml:space="preserve">, so it is simply the RMSEA target expressed on the scale used by the chi-square power calculation</w:t>
      </w:r>
      <w:r>
        <w:t xml:space="preserve"> </w:t>
      </w:r>
      <w:r>
        <w:t xml:space="preserve">(Jobst et al., 2023; Moshagen &amp; Bader, 2024)</w:t>
      </w:r>
      <w:r>
        <w:t xml:space="preserve">.</w:t>
      </w:r>
    </w:p>
    <w:p>
      <w:pPr>
        <w:pStyle w:val="BodyText"/>
      </w:pPr>
      <w:r>
        <w:t xml:space="preserve">The same discrepancy is also shown as</w:t>
      </w:r>
      <w:r>
        <w:t xml:space="preserve"> </w:t>
      </w:r>
      <m:oMath>
        <m:r>
          <m:rPr>
            <m:nor/>
            <m:sty m:val="p"/>
          </m:rPr>
          <m:t>RMSEA</m:t>
        </m:r>
        <m:r>
          <m:rPr>
            <m:sty m:val="p"/>
          </m:rPr>
          <m:t>=</m:t>
        </m:r>
        <m:r>
          <m:t>0.050</m:t>
        </m:r>
      </m:oMath>
      <w:r>
        <w:t xml:space="preserve">,</w:t>
      </w:r>
      <w:r>
        <w:t xml:space="preserve"> </w:t>
      </w:r>
      <m:oMath>
        <m:r>
          <m:t>M</m:t>
        </m:r>
        <m:r>
          <m:t>c</m:t>
        </m:r>
      </m:oMath>
      <w:r>
        <w:t xml:space="preserve"> </w:t>
      </w:r>
      <w:r>
        <w:t xml:space="preserve">= 0.733,</w:t>
      </w:r>
      <w:r>
        <w:t xml:space="preserve"> </w:t>
      </w:r>
      <m:oMath>
        <m:r>
          <m:t>G</m:t>
        </m:r>
        <m:r>
          <m:t>F</m:t>
        </m:r>
        <m:r>
          <m:t>I</m:t>
        </m:r>
      </m:oMath>
      <w:r>
        <w:t xml:space="preserve"> </w:t>
      </w:r>
      <w:r>
        <w:t xml:space="preserve">= 0.951, and</w:t>
      </w:r>
      <w:r>
        <w:t xml:space="preserve"> </w:t>
      </w:r>
      <m:oMath>
        <m:r>
          <m:t>A</m:t>
        </m:r>
        <m:r>
          <m:t>G</m:t>
        </m:r>
        <m:r>
          <m:t>F</m:t>
        </m:r>
        <m:r>
          <m:t>I</m:t>
        </m:r>
      </m:oMath>
      <w:r>
        <w:t xml:space="preserve"> </w:t>
      </w:r>
      <w:r>
        <w:t xml:space="preserve">= 0.941. These are not different effects; they are alternative summaries of the same amount of model misfit, reported in the format used by</w:t>
      </w:r>
      <w:r>
        <w:t xml:space="preserve"> </w:t>
      </w:r>
      <w:r>
        <w:rPr>
          <w:rStyle w:val="VerbatimChar"/>
        </w:rPr>
        <w:t xml:space="preserve">semPower</w:t>
      </w:r>
      <w:r>
        <w:t xml:space="preserve"> </w:t>
      </w:r>
      <w:r>
        <w:t xml:space="preserve">(Moshagen &amp; Bader, 2024)</w:t>
      </w:r>
      <w:r>
        <w:t xml:space="preserve">.</w:t>
      </w:r>
    </w:p>
    <w:p>
      <w:pPr>
        <w:pStyle w:val="BodyText"/>
      </w:pPr>
      <w:r>
        <w:t xml:space="preserve">The key conversion behind the output is</w:t>
      </w:r>
    </w:p>
    <w:p>
      <w:pPr>
        <w:pStyle w:val="BodyText"/>
      </w:pPr>
      <m:oMathPara>
        <m:oMathParaPr>
          <m:jc m:val="center"/>
        </m:oMathParaPr>
        <m:oMath>
          <m:r>
            <m:t>λ</m:t>
          </m:r>
          <m:r>
            <m:rPr>
              <m:sty m:val="p"/>
            </m:rPr>
            <m:t>=</m:t>
          </m:r>
          <m:r>
            <m:rPr>
              <m:sty m:val="p"/>
            </m:rPr>
            <m:t>(</m:t>
          </m:r>
          <m:r>
            <m:t>N</m:t>
          </m:r>
          <m:r>
            <m:rPr>
              <m:sty m:val="p"/>
            </m:rPr>
            <m:t>−</m:t>
          </m:r>
          <m:r>
            <m:t>1</m:t>
          </m:r>
          <m:r>
            <m:rPr>
              <m:sty m:val="p"/>
            </m:rPr>
            <m:t>)</m:t>
          </m:r>
          <m:sSub>
            <m:e>
              <m:r>
                <m:t>F</m:t>
              </m:r>
            </m:e>
            <m:sub>
              <m:r>
                <m:t>0</m:t>
              </m:r>
            </m:sub>
          </m:sSub>
          <m:r>
            <m:rPr>
              <m:sty m:val="p"/>
            </m:rPr>
            <m:t>=</m:t>
          </m:r>
          <m:r>
            <m:rPr>
              <m:sty m:val="p"/>
            </m:rPr>
            <m:t>(</m:t>
          </m:r>
          <m:r>
            <m:t>N</m:t>
          </m:r>
          <m:r>
            <m:rPr>
              <m:sty m:val="p"/>
            </m:rPr>
            <m:t>−</m:t>
          </m:r>
          <m:r>
            <m:t>1</m:t>
          </m:r>
          <m:r>
            <m:rPr>
              <m:sty m:val="p"/>
            </m:rPr>
            <m:t>)</m:t>
          </m:r>
          <m:r>
            <m:t> </m:t>
          </m:r>
          <m:r>
            <m:t>d</m:t>
          </m:r>
          <m:r>
            <m:t>f</m:t>
          </m:r>
          <m:r>
            <m:t> </m:t>
          </m:r>
          <m:sSup>
            <m:e>
              <m:r>
                <m:rPr>
                  <m:nor/>
                  <m:sty m:val="p"/>
                </m:rPr>
                <m:t>RMSEA</m:t>
              </m:r>
            </m:e>
            <m:sup>
              <m:r>
                <m:t>2</m:t>
              </m:r>
            </m:sup>
          </m:sSup>
        </m:oMath>
      </m:oMathPara>
    </w:p>
    <w:p>
      <w:pPr>
        <w:pStyle w:val="FirstParagraph"/>
      </w:pPr>
      <w:r>
        <w:t xml:space="preserve">which translates the chosen effect size into the noncentrality parameter used to define the alternative chi-square distribution</w:t>
      </w:r>
      <w:r>
        <w:t xml:space="preserve"> </w:t>
      </w:r>
      <w:r>
        <w:t xml:space="preserve">(Jobst et al., 2023; Moshagen &amp; Bader, 2024)</w:t>
      </w:r>
      <w:r>
        <w:t xml:space="preserve">.</w:t>
      </w:r>
    </w:p>
    <w:p>
      <w:pPr>
        <w:pStyle w:val="BodyText"/>
      </w:pPr>
      <w:r>
        <w:t xml:space="preserve">The model has</w:t>
      </w:r>
      <w:r>
        <w:t xml:space="preserve"> </w:t>
      </w:r>
      <m:oMath>
        <m:r>
          <m:t>d</m:t>
        </m:r>
        <m:r>
          <m:t>f</m:t>
        </m:r>
      </m:oMath>
      <w:r>
        <w:t xml:space="preserve"> </w:t>
      </w:r>
      <w:r>
        <w:t xml:space="preserve">= 249, and these degrees of freedom determine the reference central chi-square distribution used in the test. Given the requested operating conditions, the a priori solution is</w:t>
      </w:r>
      <w:r>
        <w:t xml:space="preserve"> </w:t>
      </w:r>
      <m:oMath>
        <m:r>
          <m:t>N</m:t>
        </m:r>
      </m:oMath>
      <w:r>
        <w:t xml:space="preserve"> </w:t>
      </w:r>
      <w:r>
        <w:t xml:space="preserve">= 99, meaning that 99 observations are the minimum sample size needed to achieve power of about 0.80 in this exact specification</w:t>
      </w:r>
      <w:r>
        <w:t xml:space="preserve"> </w:t>
      </w:r>
      <w:r>
        <w:t xml:space="preserve">(Jak et al., 2021; Jobst et al., 2023)</w:t>
      </w:r>
      <w:r>
        <w:t xml:space="preserve">.</w:t>
      </w:r>
    </w:p>
    <w:p>
      <w:pPr>
        <w:pStyle w:val="BodyText"/>
      </w:pPr>
      <w:r>
        <w:t xml:space="preserve">At that sample size, the noncentrality parameter is</w:t>
      </w:r>
      <w:r>
        <w:t xml:space="preserve"> </w:t>
      </w:r>
      <m:oMath>
        <m:r>
          <m:t>λ</m:t>
        </m:r>
      </m:oMath>
      <w:r>
        <w:t xml:space="preserve"> </w:t>
      </w:r>
      <w:r>
        <w:t xml:space="preserve">= 61.005, obtained from (99</w:t>
      </w:r>
      <w:r>
        <w:t xml:space="preserve"> </w:t>
      </w:r>
      <m:oMath>
        <m:r>
          <m:rPr>
            <m:sty m:val="p"/>
          </m:rPr>
          <m:t>−</m:t>
        </m:r>
      </m:oMath>
      <w:r>
        <w:t xml:space="preserve"> </w:t>
      </w:r>
      <w:r>
        <w:t xml:space="preserve">1)</w:t>
      </w:r>
      <w:r>
        <w:t xml:space="preserve"> </w:t>
      </w:r>
      <m:oMath>
        <m:r>
          <m:rPr>
            <m:sty m:val="p"/>
          </m:rPr>
          <m:t>⋅</m:t>
        </m:r>
      </m:oMath>
      <w:r>
        <w:t xml:space="preserve"> </w:t>
      </w:r>
      <w:r>
        <w:t xml:space="preserve">0.623. This value determines how far the alternative chi-square distribution is shifted to the right relative to the null distribution</w:t>
      </w:r>
      <w:r>
        <w:t xml:space="preserve"> </w:t>
      </w:r>
      <w:r>
        <w:t xml:space="preserve">(Jak et al., 2021; Moshagen &amp; Bader, 2024)</w:t>
      </w:r>
      <w:r>
        <w:t xml:space="preserve">.</w:t>
      </w:r>
    </w:p>
    <w:p>
      <w:pPr>
        <w:pStyle w:val="BodyText"/>
      </w:pPr>
      <w:r>
        <w:t xml:space="preserve">The critical value is</w:t>
      </w:r>
      <w:r>
        <w:t xml:space="preserve"> </w:t>
      </w:r>
      <m:oMath>
        <m:sSubSup>
          <m:e>
            <m:r>
              <m:t>χ</m:t>
            </m:r>
          </m:e>
          <m:sub>
            <m:r>
              <m:t>c</m:t>
            </m:r>
          </m:sub>
          <m:sup>
            <m:r>
              <m:t>2</m:t>
            </m:r>
          </m:sup>
        </m:sSubSup>
      </m:oMath>
      <w:r>
        <w:t xml:space="preserve"> </w:t>
      </w:r>
      <w:r>
        <w:t xml:space="preserve">= 286.808. In practical terms, this is the cutoff used to decide whether the observed test statistic is large enough to reject exact fit at the</w:t>
      </w:r>
      <w:r>
        <w:t xml:space="preserve"> </w:t>
      </w:r>
      <m:oMath>
        <m:r>
          <m:t>α</m:t>
        </m:r>
        <m:r>
          <m:rPr>
            <m:sty m:val="p"/>
          </m:rPr>
          <m:t>=</m:t>
        </m:r>
        <m:r>
          <m:t>0.05</m:t>
        </m:r>
      </m:oMath>
      <w:r>
        <w:t xml:space="preserve"> </w:t>
      </w:r>
      <w:r>
        <w:t xml:space="preserve">level</w:t>
      </w:r>
      <w:r>
        <w:t xml:space="preserve"> </w:t>
      </w:r>
      <w:r>
        <w:t xml:space="preserve">(Jak et al., 2021; Jobst et al., 2023)</w:t>
      </w:r>
      <w:r>
        <w:t xml:space="preserve">.</w:t>
      </w:r>
    </w:p>
    <w:p>
      <w:pPr>
        <w:pStyle w:val="BodyText"/>
      </w:pPr>
      <w:r>
        <w:t xml:space="preserve">The reported</w:t>
      </w:r>
      <w:r>
        <w:t xml:space="preserve"> </w:t>
      </w:r>
      <m:oMath>
        <m:r>
          <m:t>α</m:t>
        </m:r>
        <m:r>
          <m:rPr>
            <m:sty m:val="p"/>
          </m:rPr>
          <m:t>=</m:t>
        </m:r>
        <m:r>
          <m:t>0.05</m:t>
        </m:r>
      </m:oMath>
      <w:r>
        <w:t xml:space="preserve"> </w:t>
      </w:r>
      <w:r>
        <w:t xml:space="preserve">is the probability of rejecting the model when exact fit is actually true. The reported</w:t>
      </w:r>
      <w:r>
        <w:t xml:space="preserve"> </w:t>
      </w:r>
      <m:oMath>
        <m:r>
          <m:t>β</m:t>
        </m:r>
      </m:oMath>
      <w:r>
        <w:t xml:space="preserve"> </w:t>
      </w:r>
      <m:oMath>
        <m:r>
          <m:rPr>
            <m:sty m:val="p"/>
          </m:rPr>
          <m:t>≈</m:t>
        </m:r>
      </m:oMath>
      <w:r>
        <w:t xml:space="preserve"> </w:t>
      </w:r>
      <w:r>
        <w:t xml:space="preserve">0.199 is the probability of failing to reject the model even though the population misfit is</w:t>
      </w:r>
      <w:r>
        <w:t xml:space="preserve"> </w:t>
      </w:r>
      <m:oMath>
        <m:r>
          <m:rPr>
            <m:nor/>
            <m:sty m:val="p"/>
          </m:rPr>
          <m:t>RMSEA</m:t>
        </m:r>
        <m:r>
          <m:rPr>
            <m:sty m:val="p"/>
          </m:rPr>
          <m:t>=</m:t>
        </m:r>
        <m:r>
          <m:t>0.05</m:t>
        </m:r>
      </m:oMath>
      <w:r>
        <w:t xml:space="preserve"> </w:t>
      </w:r>
      <w:r>
        <w:t xml:space="preserve">(Jak et al., 2021; Jobst et al., 2023)</w:t>
      </w:r>
      <w:r>
        <w:t xml:space="preserve">.</w:t>
      </w:r>
    </w:p>
    <w:p>
      <w:pPr>
        <w:pStyle w:val="BodyText"/>
      </w:pPr>
      <w:r>
        <w:t xml:space="preserve">Accordingly, the reported power is</w:t>
      </w:r>
      <w:r>
        <w:t xml:space="preserve"> </w:t>
      </w:r>
      <m:oMath>
        <m:r>
          <m:t>1</m:t>
        </m:r>
        <m:r>
          <m:rPr>
            <m:sty m:val="p"/>
          </m:rPr>
          <m:t>−</m:t>
        </m:r>
        <m:r>
          <m:t>β</m:t>
        </m:r>
      </m:oMath>
      <w:r>
        <w:t xml:space="preserve"> </w:t>
      </w:r>
      <m:oMath>
        <m:r>
          <m:rPr>
            <m:sty m:val="p"/>
          </m:rPr>
          <m:t>≈</m:t>
        </m:r>
      </m:oMath>
      <w:r>
        <w:t xml:space="preserve"> </w:t>
      </w:r>
      <w:r>
        <w:t xml:space="preserve">0.801. This means that, with</w:t>
      </w:r>
      <w:r>
        <w:t xml:space="preserve"> </w:t>
      </w:r>
      <m:oMath>
        <m:r>
          <m:t>N</m:t>
        </m:r>
      </m:oMath>
      <w:r>
        <w:t xml:space="preserve"> </w:t>
      </w:r>
      <w:r>
        <w:t xml:space="preserve">= 99, the analysis has about an 80% chance of detecting this level of misspecification if it is truly present in the population</w:t>
      </w:r>
      <w:r>
        <w:t xml:space="preserve"> </w:t>
      </w:r>
      <w:r>
        <w:t xml:space="preserve">(Jobst et al., 2023; Moshagen &amp; Bader, 2024)</w:t>
      </w:r>
      <w:r>
        <w:t xml:space="preserve">.</w:t>
      </w:r>
    </w:p>
    <w:p>
      <w:pPr>
        <w:pStyle w:val="BodyText"/>
      </w:pPr>
      <w:r>
        <w:t xml:space="preserve">In the figure, the solid red curve represents the central</w:t>
      </w:r>
      <w:r>
        <w:t xml:space="preserve"> </w:t>
      </w:r>
      <m:oMath>
        <m:sSup>
          <m:e>
            <m:r>
              <m:t>χ</m:t>
            </m:r>
          </m:e>
          <m:sup>
            <m:r>
              <m:t>2</m:t>
            </m:r>
          </m:sup>
        </m:sSup>
      </m:oMath>
      <w:r>
        <w:t xml:space="preserve"> </w:t>
      </w:r>
      <w:r>
        <w:t xml:space="preserve">distribution under exact fit, and the dashed blue curve represents the noncentral</w:t>
      </w:r>
      <w:r>
        <w:t xml:space="preserve"> </w:t>
      </w:r>
      <m:oMath>
        <m:sSup>
          <m:e>
            <m:r>
              <m:t>χ</m:t>
            </m:r>
          </m:e>
          <m:sup>
            <m:r>
              <m:t>2</m:t>
            </m:r>
          </m:sup>
        </m:sSup>
      </m:oMath>
      <w:r>
        <w:t xml:space="preserve"> </w:t>
      </w:r>
      <w:r>
        <w:t xml:space="preserve">distribution under the target misspecification</w:t>
      </w:r>
      <w:r>
        <w:t xml:space="preserve"> </w:t>
      </w:r>
      <m:oMath>
        <m:r>
          <m:rPr>
            <m:nor/>
            <m:sty m:val="p"/>
          </m:rPr>
          <m:t>RMSEA</m:t>
        </m:r>
        <m:r>
          <m:rPr>
            <m:sty m:val="p"/>
          </m:rPr>
          <m:t>=</m:t>
        </m:r>
        <m:r>
          <m:t>0.05</m:t>
        </m:r>
      </m:oMath>
      <w:r>
        <w:t xml:space="preserve">. The vertical dotted line at</w:t>
      </w:r>
      <w:r>
        <w:t xml:space="preserve"> </w:t>
      </w:r>
      <m:oMath>
        <m:sSup>
          <m:e>
            <m:r>
              <m:t>χ</m:t>
            </m:r>
          </m:e>
          <m:sup>
            <m:r>
              <m:t>2</m:t>
            </m:r>
          </m:sup>
        </m:sSup>
      </m:oMath>
      <w:r>
        <w:t xml:space="preserve"> </w:t>
      </w:r>
      <w:r>
        <w:t xml:space="preserve">= 286.808 is the decision threshold, so the two shaded tail areas visualize the reported</w:t>
      </w:r>
      <w:r>
        <w:t xml:space="preserve"> </w:t>
      </w:r>
      <m:oMath>
        <m:r>
          <m:t>α</m:t>
        </m:r>
      </m:oMath>
      <w:r>
        <w:t xml:space="preserve">,</w:t>
      </w:r>
      <w:r>
        <w:t xml:space="preserve"> </w:t>
      </w:r>
      <m:oMath>
        <m:r>
          <m:t>β</m:t>
        </m:r>
      </m:oMath>
      <w:r>
        <w:t xml:space="preserve">, and power values</w:t>
      </w:r>
      <w:r>
        <w:t xml:space="preserve"> </w:t>
      </w:r>
      <w:r>
        <w:t xml:space="preserve">(Jak et al., 2021; Moshagen &amp; Bader, 2024)</w:t>
      </w:r>
      <w:r>
        <w:t xml:space="preserve">.</w:t>
      </w:r>
    </w:p>
    <w:p>
      <w:pPr>
        <w:pStyle w:val="BodyText"/>
      </w:pPr>
      <w:r>
        <w:t xml:space="preserve">Because the achieved power is 0.801, the solution is essentially right at the requested threshold rather than comfortably above it. The output therefore supports the interpretation that</w:t>
      </w:r>
      <w:r>
        <w:t xml:space="preserve"> </w:t>
      </w:r>
      <m:oMath>
        <m:r>
          <m:t>N</m:t>
        </m:r>
      </m:oMath>
      <w:r>
        <w:t xml:space="preserve"> </w:t>
      </w:r>
      <w:r>
        <w:t xml:space="preserve">= 99 is the minimum adequate sample size for this particular a priori specification</w:t>
      </w:r>
      <w:r>
        <w:t xml:space="preserve"> </w:t>
      </w:r>
      <w:r>
        <w:t xml:space="preserve">(Jobst et al., 2023)</w:t>
      </w:r>
      <w:r>
        <w:t xml:space="preserve">.</w:t>
      </w:r>
    </w:p>
    <w:bookmarkEnd w:id="61"/>
    <w:bookmarkStart w:id="64" w:name="model-based-approach"/>
    <w:p>
      <w:pPr>
        <w:pStyle w:val="Heading4"/>
      </w:pPr>
      <w:r>
        <w:t xml:space="preserve">3.2.2 Model-based approach</w:t>
      </w:r>
    </w:p>
    <w:p>
      <w:pPr>
        <w:pStyle w:val="FirstParagraph"/>
      </w:pPr>
      <w:r>
        <w:t xml:space="preserve">By contrast, when the substantive hypothesis concerns a specific loading, regression coefficient, factor correlation, or cross-group constraint, a model-based power analysis is typically more appropriate than a global RMSEA-based specification</w:t>
      </w:r>
      <w:r>
        <w:t xml:space="preserve"> </w:t>
      </w:r>
      <w:r>
        <w:t xml:space="preserve">(Moshagen &amp; Bader, 2024)</w:t>
      </w:r>
      <w:r>
        <w:t xml:space="preserve">.</w:t>
      </w:r>
    </w:p>
    <w:p>
      <w:pPr>
        <w:pStyle w:val="BodyText"/>
      </w:pPr>
      <w:r>
        <w:t xml:space="preserve">In this framework, power is defined for a specific hypothesis, so the relevant sample size depends on the discrepancy between the null model and the comparison model rather than on a universal rule of thumb for SEM sample sizes</w:t>
      </w:r>
      <w:r>
        <w:t xml:space="preserve"> </w:t>
      </w:r>
      <w:r>
        <w:t xml:space="preserve">(Jobst et al., 2023; Moshagen &amp; Bader, 2024)</w:t>
      </w:r>
      <w:r>
        <w:t xml:space="preserve">.</w:t>
      </w:r>
    </w:p>
    <w:p>
      <w:pPr>
        <w:pStyle w:val="BodyText"/>
      </w:pPr>
      <w:r>
        <w:t xml:space="preserve">Using</w:t>
      </w:r>
      <w:r>
        <w:t xml:space="preserve"> </w:t>
      </w:r>
      <w:r>
        <w:rPr>
          <w:rStyle w:val="VerbatimChar"/>
        </w:rPr>
        <w:t xml:space="preserve">semPower.powerLav()</w:t>
      </w:r>
      <w:r>
        <w:t xml:space="preserve">, the population model represents the data-generating structure, whereas</w:t>
      </w:r>
      <w:r>
        <w:t xml:space="preserve"> </w:t>
      </w:r>
      <w:r>
        <w:rPr>
          <w:rStyle w:val="VerbatimChar"/>
        </w:rPr>
        <w:t xml:space="preserve">modelH0</w:t>
      </w:r>
      <w:r>
        <w:t xml:space="preserve"> </w:t>
      </w:r>
      <w:r>
        <w:t xml:space="preserve">represents the null analysis model to be challenged. When</w:t>
      </w:r>
      <w:r>
        <w:t xml:space="preserve"> </w:t>
      </w:r>
      <w:r>
        <w:rPr>
          <w:rStyle w:val="VerbatimChar"/>
        </w:rPr>
        <w:t xml:space="preserve">modelH1</w:t>
      </w:r>
      <w:r>
        <w:t xml:space="preserve"> </w:t>
      </w:r>
      <w:r>
        <w:t xml:space="preserve">is omitted, the null model is evaluated against the saturated model, which makes the analysis a test of global model misfit rather than a test of a single isolated parameter restriction</w:t>
      </w:r>
      <w:r>
        <w:t xml:space="preserve"> </w:t>
      </w:r>
      <w:r>
        <w:t xml:space="preserve">(Jobst et al., 2023; Moshagen &amp; Bader, 2024)</w:t>
      </w:r>
      <w:r>
        <w:t xml:space="preserve">.</w:t>
      </w:r>
    </w:p>
    <w:p>
      <w:pPr>
        <w:pStyle w:val="BodyText"/>
      </w:pPr>
      <w:r>
        <w:t xml:space="preserve">Conceptually, the analytical procedure fits the null model to the population-implied covariance structure and converts the resulting discrepancy into a noncentrality-based effect size. The key quantity is the population minimum of the fitting function,</w:t>
      </w:r>
      <w:r>
        <w:t xml:space="preserve"> </w:t>
      </w:r>
      <m:oMath>
        <m:sSub>
          <m:e>
            <m:r>
              <m:t>F</m:t>
            </m:r>
          </m:e>
          <m:sub>
            <m:r>
              <m:t>0</m:t>
            </m:r>
          </m:sub>
        </m:sSub>
      </m:oMath>
      <w:r>
        <w:t xml:space="preserve">, which is linked to the noncentrality parameter by</w:t>
      </w:r>
      <w:r>
        <w:t xml:space="preserve"> </w:t>
      </w:r>
      <m:oMath>
        <m:r>
          <m:t>λ</m:t>
        </m:r>
        <m:r>
          <m:rPr>
            <m:sty m:val="p"/>
          </m:rPr>
          <m:t>=</m:t>
        </m:r>
        <m:r>
          <m:rPr>
            <m:sty m:val="p"/>
          </m:rPr>
          <m:t>(</m:t>
        </m:r>
        <m:r>
          <m:t>N</m:t>
        </m:r>
        <m:r>
          <m:rPr>
            <m:sty m:val="p"/>
          </m:rPr>
          <m:t>−</m:t>
        </m:r>
        <m:r>
          <m:t>1</m:t>
        </m:r>
        <m:r>
          <m:rPr>
            <m:sty m:val="p"/>
          </m:rPr>
          <m:t>)</m:t>
        </m:r>
        <m:sSub>
          <m:e>
            <m:r>
              <m:t>F</m:t>
            </m:r>
          </m:e>
          <m:sub>
            <m:r>
              <m:t>0</m:t>
            </m:r>
          </m:sub>
        </m:sSub>
      </m:oMath>
      <w:r>
        <w:t xml:space="preserve"> </w:t>
      </w:r>
      <w:r>
        <w:t xml:space="preserve">and therefore connects substantive model misspecification to statistical power</w:t>
      </w:r>
      <w:r>
        <w:t xml:space="preserve"> </w:t>
      </w:r>
      <w:r>
        <w:t xml:space="preserve">(Jobst et al., 2023; Moshagen &amp; Bader, 2024)</w:t>
      </w:r>
      <w:r>
        <w:t xml:space="preserve">.</w:t>
      </w:r>
    </w:p>
    <w:p>
      <w:pPr>
        <w:pStyle w:val="BodyText"/>
      </w:pPr>
      <w:r>
        <w:t xml:space="preserve">Because the effect is generated by the full model specification, the required sample size is inherently model-dependent and may change when loadings, factor correlations, residual variances, or other population parameters are modified</w:t>
      </w:r>
      <w:r>
        <w:t xml:space="preserve"> </w:t>
      </w:r>
      <w:r>
        <w:t xml:space="preserve">(Jobst et al., 2023; Moshagen &amp; Bader, 2024)</w:t>
      </w:r>
      <w:r>
        <w:t xml:space="preserve">.</w:t>
      </w:r>
    </w:p>
    <w:p>
      <w:pPr>
        <w:pStyle w:val="BodyText"/>
      </w:pPr>
      <w:r>
        <w:t xml:space="preserve">This type of analysis is especially useful when the goal is to justify sample size planning from a theoretically specified SEM rather than from a generic fit index threshold. At the same time, its interpretation relies on the assumptions underlying analytical chi-square-based power analysis, so simulation-based approaches become preferable when nonnormality, missing data, or convergence issues are central concerns</w:t>
      </w:r>
      <w:r>
        <w:t xml:space="preserve"> </w:t>
      </w:r>
      <w:r>
        <w:t xml:space="preserve">(Jobst et al., 2023; Moshagen &amp; Bader, 2024)</w:t>
      </w:r>
      <w:r>
        <w:t xml:space="preserve">.</w:t>
      </w:r>
    </w:p>
    <w:p>
      <w:pPr>
        <w:pStyle w:val="SourceCode"/>
      </w:pPr>
      <w:r>
        <w:br/>
      </w:r>
      <w:r>
        <w:rPr>
          <w:rStyle w:val="VerbatimChar"/>
        </w:rPr>
        <w:t xml:space="preserve"> semPower: A priori power analysis</w:t>
      </w:r>
      <w:r>
        <w:br/>
      </w:r>
      <w:r>
        <w:rPr>
          <w:rStyle w:val="VerbatimChar"/>
        </w:rPr>
        <w:t xml:space="preserve">                                   </w:t>
      </w:r>
      <w:r>
        <w:br/>
      </w:r>
      <w:r>
        <w:rPr>
          <w:rStyle w:val="VerbatimChar"/>
        </w:rPr>
        <w:t xml:space="preserve"> F0                        0.303870</w:t>
      </w:r>
      <w:r>
        <w:br/>
      </w:r>
      <w:r>
        <w:rPr>
          <w:rStyle w:val="VerbatimChar"/>
        </w:rPr>
        <w:t xml:space="preserve"> RMSEA                     0.034934</w:t>
      </w:r>
      <w:r>
        <w:br/>
      </w:r>
      <w:r>
        <w:rPr>
          <w:rStyle w:val="VerbatimChar"/>
        </w:rPr>
        <w:t xml:space="preserve"> SRMR                      0.175600</w:t>
      </w:r>
      <w:r>
        <w:br/>
      </w:r>
      <w:r>
        <w:rPr>
          <w:rStyle w:val="VerbatimChar"/>
        </w:rPr>
        <w:t xml:space="preserve"> Mc                        0.859044</w:t>
      </w:r>
      <w:r>
        <w:br/>
      </w:r>
      <w:r>
        <w:rPr>
          <w:rStyle w:val="VerbatimChar"/>
        </w:rPr>
        <w:t xml:space="preserve"> GFI                       0.975303</w:t>
      </w:r>
      <w:r>
        <w:br/>
      </w:r>
      <w:r>
        <w:rPr>
          <w:rStyle w:val="VerbatimChar"/>
        </w:rPr>
        <w:t xml:space="preserve"> AGFI                      0.970244</w:t>
      </w:r>
      <w:r>
        <w:br/>
      </w:r>
      <w:r>
        <w:rPr>
          <w:rStyle w:val="VerbatimChar"/>
        </w:rPr>
        <w:t xml:space="preserve"> CFI                       0.977582</w:t>
      </w:r>
      <w:r>
        <w:br/>
      </w:r>
      <w:r>
        <w:rPr>
          <w:rStyle w:val="VerbatimChar"/>
        </w:rPr>
        <w:t xml:space="preserve">                                   </w:t>
      </w:r>
      <w:r>
        <w:br/>
      </w:r>
      <w:r>
        <w:rPr>
          <w:rStyle w:val="VerbatimChar"/>
        </w:rPr>
        <w:t xml:space="preserve"> df                        249     </w:t>
      </w:r>
      <w:r>
        <w:br/>
      </w:r>
      <w:r>
        <w:rPr>
          <w:rStyle w:val="VerbatimChar"/>
        </w:rPr>
        <w:t xml:space="preserve"> Required Num Observations 202     </w:t>
      </w:r>
      <w:r>
        <w:br/>
      </w:r>
      <w:r>
        <w:rPr>
          <w:rStyle w:val="VerbatimChar"/>
        </w:rPr>
        <w:t xml:space="preserve">                                   </w:t>
      </w:r>
      <w:r>
        <w:br/>
      </w:r>
      <w:r>
        <w:rPr>
          <w:rStyle w:val="VerbatimChar"/>
        </w:rPr>
        <w:t xml:space="preserve"> Critical Chi-Square       286.8077</w:t>
      </w:r>
      <w:r>
        <w:br/>
      </w:r>
      <w:r>
        <w:rPr>
          <w:rStyle w:val="VerbatimChar"/>
        </w:rPr>
        <w:t xml:space="preserve"> NCP                       61.07791</w:t>
      </w:r>
      <w:r>
        <w:br/>
      </w:r>
      <w:r>
        <w:rPr>
          <w:rStyle w:val="VerbatimChar"/>
        </w:rPr>
        <w:t xml:space="preserve"> Alpha                     0.050000</w:t>
      </w:r>
      <w:r>
        <w:br/>
      </w:r>
      <w:r>
        <w:rPr>
          <w:rStyle w:val="VerbatimChar"/>
        </w:rPr>
        <w:t xml:space="preserve"> Beta                      0.198481</w:t>
      </w:r>
      <w:r>
        <w:br/>
      </w:r>
      <w:r>
        <w:rPr>
          <w:rStyle w:val="VerbatimChar"/>
        </w:rPr>
        <w:t xml:space="preserve"> Power (1 - Beta)          0.801519</w:t>
      </w:r>
      <w:r>
        <w:br/>
      </w:r>
      <w:r>
        <w:rPr>
          <w:rStyle w:val="VerbatimChar"/>
        </w:rPr>
        <w:t xml:space="preserve"> Implied Alpha/Beta Ratio  0.251914</w:t>
      </w:r>
    </w:p>
    <w:bookmarkStart w:id="62" w:name="apriori-popmodel"/>
    <w:bookmarkEnd w:id="62"/>
    <w:p>
      <w:pPr>
        <w:pStyle w:val="FirstParagraph"/>
      </w:pPr>
      <w:r>
        <w:rPr>
          <w:vertAlign w:val="subscript"/>
        </w:rPr>
        <w:t xml:space="preserve">Source:</w:t>
      </w:r>
      <w:r>
        <w:rPr>
          <w:vertAlign w:val="subscript"/>
        </w:rPr>
        <w:t xml:space="preserve"> </w:t>
      </w:r>
      <w:hyperlink r:id="rId63">
        <w:r>
          <w:rPr>
            <w:rStyle w:val="Hyperlink"/>
            <w:vertAlign w:val="subscript"/>
          </w:rPr>
          <w:t xml:space="preserve">Analytical Power Analysis</w:t>
        </w:r>
      </w:hyperlink>
    </w:p>
    <w:p>
      <w:pPr>
        <w:pStyle w:val="BodyText"/>
      </w:pPr>
      <w:r>
        <w:t xml:space="preserve">The output indicates a population discrepancy of</w:t>
      </w:r>
      <w:r>
        <w:t xml:space="preserve"> </w:t>
      </w:r>
      <m:oMath>
        <m:sSub>
          <m:e>
            <m:r>
              <m:t>F</m:t>
            </m:r>
          </m:e>
          <m:sub>
            <m:r>
              <m:t>0</m:t>
            </m:r>
          </m:sub>
        </m:sSub>
      </m:oMath>
      <w:r>
        <w:t xml:space="preserve"> </w:t>
      </w:r>
      <w:r>
        <w:t xml:space="preserve">= 0.304, which is also expressed as</w:t>
      </w:r>
      <w:r>
        <w:t xml:space="preserve"> </w:t>
      </w:r>
      <m:oMath>
        <m:r>
          <m:rPr>
            <m:nor/>
            <m:sty m:val="p"/>
          </m:rPr>
          <m:t>RMSEA</m:t>
        </m:r>
      </m:oMath>
      <w:r>
        <w:t xml:space="preserve"> </w:t>
      </w:r>
      <w:r>
        <w:t xml:space="preserve">= 0.035 and</w:t>
      </w:r>
      <w:r>
        <w:t xml:space="preserve"> </w:t>
      </w:r>
      <m:oMath>
        <m:r>
          <m:t>M</m:t>
        </m:r>
        <m:r>
          <m:t>c</m:t>
        </m:r>
      </m:oMath>
      <w:r>
        <w:t xml:space="preserve"> </w:t>
      </w:r>
      <w:r>
        <w:t xml:space="preserve">= 0.859 in the summary table.</w:t>
      </w:r>
    </w:p>
    <w:p>
      <w:pPr>
        <w:pStyle w:val="BodyText"/>
      </w:pPr>
      <w:r>
        <w:t xml:space="preserve">The null model has</w:t>
      </w:r>
      <w:r>
        <w:t xml:space="preserve"> </w:t>
      </w:r>
      <m:oMath>
        <m:r>
          <m:t>d</m:t>
        </m:r>
        <m:r>
          <m:t>f</m:t>
        </m:r>
      </m:oMath>
      <w:r>
        <w:t xml:space="preserve"> </w:t>
      </w:r>
      <w:r>
        <w:t xml:space="preserve">= 249, and the a priori analysis shows that the required sample size is</w:t>
      </w:r>
      <w:r>
        <w:t xml:space="preserve"> </w:t>
      </w:r>
      <m:oMath>
        <m:r>
          <m:t>N</m:t>
        </m:r>
      </m:oMath>
      <w:r>
        <w:t xml:space="preserve"> </w:t>
      </w:r>
      <w:r>
        <w:t xml:space="preserve">= 202 to attain the requested design conditions. The corresponding critical chi-square is 286.808, which is the cutoff used by the test at the specified significance level.</w:t>
      </w:r>
    </w:p>
    <w:p>
      <w:pPr>
        <w:pStyle w:val="BodyText"/>
      </w:pPr>
      <w:r>
        <w:t xml:space="preserve">The output also reports a noncentrality parameter of 61.078, consistent with the relationship</w:t>
      </w:r>
      <w:r>
        <w:t xml:space="preserve"> </w:t>
      </w:r>
      <m:oMath>
        <m:r>
          <m:t>λ</m:t>
        </m:r>
        <m:r>
          <m:rPr>
            <m:sty m:val="p"/>
          </m:rPr>
          <m:t>=</m:t>
        </m:r>
        <m:r>
          <m:rPr>
            <m:sty m:val="p"/>
          </m:rPr>
          <m:t>(</m:t>
        </m:r>
        <m:r>
          <m:t>N</m:t>
        </m:r>
        <m:r>
          <m:rPr>
            <m:sty m:val="p"/>
          </m:rPr>
          <m:t>−</m:t>
        </m:r>
        <m:r>
          <m:t>1</m:t>
        </m:r>
        <m:r>
          <m:rPr>
            <m:sty m:val="p"/>
          </m:rPr>
          <m:t>)</m:t>
        </m:r>
        <m:sSub>
          <m:e>
            <m:r>
              <m:t>F</m:t>
            </m:r>
          </m:e>
          <m:sub>
            <m:r>
              <m:t>0</m:t>
            </m:r>
          </m:sub>
        </m:sSub>
      </m:oMath>
      <w:r>
        <w:t xml:space="preserve"> </w:t>
      </w:r>
      <w:r>
        <w:t xml:space="preserve">for the obtained solution.</w:t>
      </w:r>
    </w:p>
    <w:p>
      <w:pPr>
        <w:pStyle w:val="BodyText"/>
      </w:pPr>
      <w:r>
        <w:t xml:space="preserve">Regarding the error rates, the summary shows</w:t>
      </w:r>
      <w:r>
        <w:t xml:space="preserve"> </w:t>
      </w:r>
      <m:oMath>
        <m:r>
          <m:t>α</m:t>
        </m:r>
      </m:oMath>
      <w:r>
        <w:t xml:space="preserve"> </w:t>
      </w:r>
      <w:r>
        <w:t xml:space="preserve">= 0.05,</w:t>
      </w:r>
      <w:r>
        <w:t xml:space="preserve"> </w:t>
      </w:r>
      <m:oMath>
        <m:r>
          <m:t>β</m:t>
        </m:r>
      </m:oMath>
      <w:r>
        <w:t xml:space="preserve"> </w:t>
      </w:r>
      <w:r>
        <w:t xml:space="preserve">= 0.198, and</w:t>
      </w:r>
      <w:r>
        <w:t xml:space="preserve"> </w:t>
      </w:r>
      <m:oMath>
        <m:r>
          <m:rPr>
            <m:nor/>
            <m:sty m:val="p"/>
          </m:rPr>
          <m:t>Power</m:t>
        </m:r>
        <m:r>
          <m:rPr>
            <m:sty m:val="p"/>
          </m:rPr>
          <m:t>=</m:t>
        </m:r>
        <m:r>
          <m:t>1</m:t>
        </m:r>
        <m:r>
          <m:rPr>
            <m:sty m:val="p"/>
          </m:rPr>
          <m:t>−</m:t>
        </m:r>
        <m:r>
          <m:t>β</m:t>
        </m:r>
      </m:oMath>
      <w:r>
        <w:t xml:space="preserve"> </w:t>
      </w:r>
      <w:r>
        <w:t xml:space="preserve">= 0.802, indicating that the result reaches the intended power of approximately 80%.</w:t>
      </w:r>
    </w:p>
    <w:bookmarkEnd w:id="64"/>
    <w:bookmarkEnd w:id="65"/>
    <w:bookmarkStart w:id="78" w:name="sec-power-curves"/>
    <w:p>
      <w:pPr>
        <w:pStyle w:val="Heading3"/>
      </w:pPr>
      <w:r>
        <w:t xml:space="preserve">3.3 Power Curves</w:t>
      </w:r>
    </w:p>
    <w:p>
      <w:pPr>
        <w:pStyle w:val="FirstParagraph"/>
      </w:pPr>
      <w:r>
        <w:t xml:space="preserve">This figures are used to frame power analysis as a relationship between sample size and the probability of detecting a prespecified degree of model misspecification, holding the significance level and model degrees of freedom constant</w:t>
      </w:r>
      <w:r>
        <w:t xml:space="preserve"> </w:t>
      </w:r>
      <w:r>
        <w:t xml:space="preserve">(Jobst et al., 2023; Moshagen &amp; Bader, 2024)</w:t>
      </w:r>
      <w:r>
        <w:t xml:space="preserve">.</w:t>
      </w:r>
    </w:p>
    <w:bookmarkStart w:id="71" w:name="model-free-approach-rmsea-based-1"/>
    <w:p>
      <w:pPr>
        <w:pStyle w:val="Heading4"/>
      </w:pPr>
      <w:r>
        <w:t xml:space="preserve">3.3.1 Model-free approach (RMSEA-based)</w:t>
      </w:r>
    </w:p>
    <w:p>
      <w:pPr>
        <w:pStyle w:val="FirstParagraph"/>
      </w:pPr>
      <w:r>
        <w:t xml:space="preserve">In setting below, power is evaluated analytically and</w:t>
      </w:r>
      <w:r>
        <w:t xml:space="preserve"> </w:t>
      </w:r>
      <w:r>
        <w:rPr>
          <w:b/>
          <w:bCs/>
        </w:rPr>
        <w:t xml:space="preserve">model-free</w:t>
      </w:r>
      <w:r>
        <w:t xml:space="preserve">, which means the calculation depends on the chosen effect size metric,</w:t>
      </w:r>
      <w:r>
        <w:t xml:space="preserve"> </w:t>
      </w:r>
      <m:oMath>
        <m:r>
          <m:t>α</m:t>
        </m:r>
      </m:oMath>
      <w:r>
        <w:t xml:space="preserve">, and</w:t>
      </w:r>
      <w:r>
        <w:t xml:space="preserve"> </w:t>
      </w:r>
      <m:oMath>
        <m:r>
          <m:t>d</m:t>
        </m:r>
        <m:r>
          <m:t>f</m:t>
        </m:r>
      </m:oMath>
      <w:r>
        <w:t xml:space="preserve">, rather than on a fully parameterized substantive SEM</w:t>
      </w:r>
      <w:r>
        <w:t xml:space="preserve"> </w:t>
      </w:r>
      <w:r>
        <w:t xml:space="preserve">(Jobst et al., 2023; Moshagen &amp; Bader, 2024)</w:t>
      </w:r>
      <w:r>
        <w:t xml:space="preserve">.</w:t>
      </w:r>
    </w:p>
    <w:p>
      <w:pPr>
        <w:pStyle w:val="BodyText"/>
      </w:pPr>
      <w:r>
        <w:t xml:space="preserve">Using RMSEA as the effect definition is convenient because it is a noncentrality-based fit measure with a direct connection to the discrepancy underlying the chi-square test, typically expressed as</w:t>
      </w:r>
      <w:r>
        <w:t xml:space="preserve"> </w:t>
      </w:r>
      <m:oMath>
        <m:sSub>
          <m:e>
            <m:r>
              <m:t>F</m:t>
            </m:r>
          </m:e>
          <m:sub>
            <m:r>
              <m:t>0</m:t>
            </m:r>
          </m:sub>
        </m:sSub>
        <m:r>
          <m:rPr>
            <m:sty m:val="p"/>
          </m:rPr>
          <m:t>=</m:t>
        </m:r>
        <m:sSup>
          <m:e>
            <m:r>
              <m:rPr>
                <m:nor/>
                <m:sty m:val="p"/>
              </m:rPr>
              <m:t>RMSEA</m:t>
            </m:r>
          </m:e>
          <m:sup>
            <m:r>
              <m:t>2</m:t>
            </m:r>
          </m:sup>
        </m:sSup>
        <m:r>
          <m:rPr>
            <m:sty m:val="p"/>
          </m:rPr>
          <m:t>×</m:t>
        </m:r>
        <m:r>
          <m:t>d</m:t>
        </m:r>
        <m:r>
          <m:t>f</m:t>
        </m:r>
      </m:oMath>
      <w:r>
        <w:t xml:space="preserve"> </w:t>
      </w:r>
      <w:r>
        <w:t xml:space="preserve">(Jobst et al., 2023; Moshagen &amp; Bader, 2024)</w:t>
      </w:r>
      <w:r>
        <w:t xml:space="preserve">.</w:t>
      </w:r>
    </w:p>
    <w:p>
      <w:pPr>
        <w:pStyle w:val="BodyText"/>
      </w:pPr>
      <w:r>
        <w:t xml:space="preserve">Conceptually, the plot answers a planning question: for a model with fixed</w:t>
      </w:r>
      <w:r>
        <w:t xml:space="preserve"> </w:t>
      </w:r>
      <m:oMath>
        <m:r>
          <m:t>d</m:t>
        </m:r>
        <m:r>
          <m:t>f</m:t>
        </m:r>
      </m:oMath>
      <w:r>
        <w:t xml:space="preserve">, how large must</w:t>
      </w:r>
      <w:r>
        <w:t xml:space="preserve"> </w:t>
      </w:r>
      <m:oMath>
        <m:r>
          <m:t>N</m:t>
        </m:r>
      </m:oMath>
      <w:r>
        <w:t xml:space="preserve"> </w:t>
      </w:r>
      <w:r>
        <w:t xml:space="preserve">be so that the test has a sufficiently high probability of detecting misspecification of at least the target magnitude</w:t>
      </w:r>
      <w:r>
        <w:t xml:space="preserve"> </w:t>
      </w:r>
      <w:r>
        <w:t xml:space="preserve">(Jobst et al., 2023; Moshagen &amp; Bader, 2024)</w:t>
      </w:r>
      <w:r>
        <w:t xml:space="preserve">.</w:t>
      </w:r>
    </w:p>
    <w:p>
      <w:pPr>
        <w:pStyle w:val="BodyText"/>
      </w:pPr>
      <w:r>
        <w:t xml:space="preserve">This type of visualization is especially useful when the research objective concerns global model fit rather than a single parameter restriction, because it summarizes the sensitivity of the chi-square-based test across a continuum of sample sizes</w:t>
      </w:r>
      <w:r>
        <w:t xml:space="preserve"> </w:t>
      </w:r>
      <w:r>
        <w:t xml:space="preserve">(Jobst et al., 2023; Moshagen &amp; Bader, 2024)</w:t>
      </w:r>
      <w:r>
        <w:t xml:space="preserve">. It therefore supports design justification by linking substantive tolerance for model misfit to sample size requirements in a transparent and reproducible way</w:t>
      </w:r>
      <w:r>
        <w:t xml:space="preserve"> </w:t>
      </w:r>
      <w:r>
        <w:t xml:space="preserve">(Jobst et al., 2023; Moshagen &amp; Bader, 2024)</w:t>
      </w:r>
      <w:r>
        <w:t xml:space="preserve">.</w:t>
      </w:r>
    </w:p>
    <w:tbl>
      <w:tblPr>
        <w:tblStyle w:val="Table"/>
        <w:tblW w:type="pct" w:w="5000"/>
        <w:tblLayout w:type="fixed"/>
        <w:tblLook w:firstRow="0" w:lastRow="0" w:firstColumn="0" w:lastColumn="0" w:noHBand="0" w:noVBand="0" w:val="0000"/>
      </w:tblPr>
      <w:tblGrid>
        <w:gridCol w:w="7920"/>
      </w:tblGrid>
      <w:tr>
        <w:tc>
          <w:tcPr/>
          <w:bookmarkStart w:id="69" w:name="fig-power-rmsea"/>
          <w:p>
            <w:pPr>
              <w:pStyle w:val="Compact"/>
              <w:jc w:val="center"/>
            </w:pPr>
            <w:r>
              <w:drawing>
                <wp:inline>
                  <wp:extent cx="5334000" cy="3333749"/>
                  <wp:effectExtent b="0" l="0" r="0" t="0"/>
                  <wp:docPr descr="" title="" id="67" name="Picture"/>
                  <a:graphic>
                    <a:graphicData uri="http://schemas.openxmlformats.org/drawingml/2006/picture">
                      <pic:pic>
                        <pic:nvPicPr>
                          <pic:cNvPr descr="index_files/figure-docx/Scripts-AnalysisScripts-02_analytical_power-fig-power-rmsea-output-1.png" id="68" name="Picture"/>
                          <pic:cNvPicPr>
                            <a:picLocks noChangeArrowheads="1" noChangeAspect="1"/>
                          </pic:cNvPicPr>
                        </pic:nvPicPr>
                        <pic:blipFill>
                          <a:blip r:embed="rId6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Power as a function of sample size for RMSEA = 0.05</w:t>
            </w:r>
          </w:p>
          <w:bookmarkEnd w:id="69"/>
        </w:tc>
      </w:tr>
    </w:tbl>
    <w:p>
      <w:pPr>
        <w:pStyle w:val="BodyText"/>
      </w:pPr>
      <w:r>
        <w:rPr>
          <w:vertAlign w:val="subscript"/>
        </w:rPr>
        <w:t xml:space="preserve">Source:</w:t>
      </w:r>
      <w:r>
        <w:rPr>
          <w:vertAlign w:val="subscript"/>
        </w:rPr>
        <w:t xml:space="preserve"> </w:t>
      </w:r>
      <w:hyperlink r:id="rId70">
        <w:r>
          <w:rPr>
            <w:rStyle w:val="Hyperlink"/>
            <w:vertAlign w:val="subscript"/>
          </w:rPr>
          <w:t xml:space="preserve">Analytical Power Analysis</w:t>
        </w:r>
      </w:hyperlink>
    </w:p>
    <w:p>
      <w:pPr>
        <w:pStyle w:val="BodyText"/>
      </w:pPr>
      <w:r>
        <w:t xml:space="preserve">The figure shows that statistical power increases monotonically as sample size</w:t>
      </w:r>
      <w:r>
        <w:t xml:space="preserve"> </w:t>
      </w:r>
      <m:oMath>
        <m:r>
          <m:t>N</m:t>
        </m:r>
      </m:oMath>
      <w:r>
        <w:t xml:space="preserve"> </w:t>
      </w:r>
      <w:r>
        <w:t xml:space="preserve">becomes larger. At the lower end of the</w:t>
      </w:r>
      <w:r>
        <w:t xml:space="preserve"> </w:t>
      </w:r>
      <m:oMath>
        <m:r>
          <m:t>N</m:t>
        </m:r>
      </m:oMath>
      <w:r>
        <w:t xml:space="preserve"> </w:t>
      </w:r>
      <w:r>
        <w:t xml:space="preserve">range, the curve indicates insufficient sensitivity to detect the prespecified level of misspecification, whereas at higher</w:t>
      </w:r>
      <w:r>
        <w:t xml:space="preserve"> </w:t>
      </w:r>
      <m:oMath>
        <m:r>
          <m:t>N</m:t>
        </m:r>
      </m:oMath>
      <w:r>
        <w:t xml:space="preserve"> </w:t>
      </w:r>
      <w:r>
        <w:t xml:space="preserve">values the curve approaches very high power.</w:t>
      </w:r>
    </w:p>
    <w:p>
      <w:pPr>
        <w:pStyle w:val="BodyText"/>
      </w:pPr>
      <w:r>
        <w:t xml:space="preserve">The most important empirical result in this plot is the point where the curve reaches the target power threshold used in the analysis. That crossing identifies the minimum sample size in the displayed range that is consistent with the desired level of power, while values below that point remain underpowered and values above it provide progressively greater detection probability.</w:t>
      </w:r>
    </w:p>
    <w:p>
      <w:pPr>
        <w:pStyle w:val="BodyText"/>
      </w:pPr>
      <w:r>
        <w:t xml:space="preserve">In practical terms, the graph supports a direct reading of sample-size adequacy from the plotted trajectory. The relevant interpretation is therefore not any single point in isolation, but the location of the curve relative to the target power level across the full range of</w:t>
      </w:r>
      <w:r>
        <w:t xml:space="preserve"> </w:t>
      </w:r>
      <m:oMath>
        <m:r>
          <m:t>N</m:t>
        </m:r>
      </m:oMath>
      <w:r>
        <w:t xml:space="preserve"> </w:t>
      </w:r>
      <w:r>
        <w:t xml:space="preserve">values shown in the figure.</w:t>
      </w:r>
    </w:p>
    <w:bookmarkEnd w:id="71"/>
    <w:bookmarkStart w:id="77" w:name="model-based-approach-1"/>
    <w:p>
      <w:pPr>
        <w:pStyle w:val="Heading4"/>
      </w:pPr>
      <w:r>
        <w:t xml:space="preserve">3.3.2 Model-based approach</w:t>
      </w:r>
    </w:p>
    <w:p>
      <w:pPr>
        <w:pStyle w:val="FirstParagraph"/>
      </w:pPr>
      <w:r>
        <w:t xml:space="preserve">In the model-based approach, power analysis is anchored in a substantively specified SEM rather than in a purely generic fit index value, so the focal effect is defined by the discrepancy between the population model and the restricted analysis model under the null hypothesis</w:t>
      </w:r>
      <w:r>
        <w:t xml:space="preserve"> </w:t>
      </w:r>
      <w:r>
        <w:t xml:space="preserve">(Jobst et al., 2023; Moshagen &amp; Bader, 2024)</w:t>
      </w:r>
      <w:r>
        <w:t xml:space="preserve">.</w:t>
      </w:r>
    </w:p>
    <w:p>
      <w:pPr>
        <w:pStyle w:val="BodyText"/>
      </w:pPr>
      <w:r>
        <w:t xml:space="preserve">Analytically, this discrepancy is translated into a noncentrality-based effect, typically through the population minimum of the fitting function</w:t>
      </w:r>
      <w:r>
        <w:t xml:space="preserve"> </w:t>
      </w:r>
      <m:oMath>
        <m:sSub>
          <m:e>
            <m:r>
              <m:t>F</m:t>
            </m:r>
          </m:e>
          <m:sub>
            <m:r>
              <m:t>0</m:t>
            </m:r>
          </m:sub>
        </m:sSub>
      </m:oMath>
      <w:r>
        <w:t xml:space="preserve">, which then links the substantive model assumptions to the likelihood-ratio testing framework used for power analysis</w:t>
      </w:r>
      <w:r>
        <w:t xml:space="preserve"> </w:t>
      </w:r>
      <w:r>
        <w:t xml:space="preserve">(Jobst et al., 2023; Moshagen &amp; Bader, 2024)</w:t>
      </w:r>
      <w:r>
        <w:t xml:space="preserve">.</w:t>
      </w:r>
    </w:p>
    <w:p>
      <w:pPr>
        <w:pStyle w:val="BodyText"/>
      </w:pPr>
      <w:r>
        <w:t xml:space="preserve">The function</w:t>
      </w:r>
      <w:r>
        <w:t xml:space="preserve"> </w:t>
      </w:r>
      <w:r>
        <w:rPr>
          <w:rStyle w:val="VerbatimChar"/>
        </w:rPr>
        <w:t xml:space="preserve">semPower.powerPlot</w:t>
      </w:r>
      <w:r>
        <w:t xml:space="preserve"> </w:t>
      </w:r>
      <w:r>
        <w:t xml:space="preserve">does not redefine the model or estimate new parameters; instead, it visualizes how the implied statistical power changes as a function of sample size for that previously specified model-based effect</w:t>
      </w:r>
      <w:r>
        <w:t xml:space="preserve"> </w:t>
      </w:r>
      <w:r>
        <w:t xml:space="preserve">(Jobst et al., 2023; Moshagen &amp; Bader, 2024)</w:t>
      </w:r>
      <w:r>
        <w:t xml:space="preserve">.</w:t>
      </w:r>
    </w:p>
    <w:p>
      <w:pPr>
        <w:pStyle w:val="BodyText"/>
      </w:pPr>
      <w:r>
        <w:t xml:space="preserve">Conceptually, this type of graph is useful because it turns the result of the analytical power analysis into a design-oriented representation of sensitivity across possible sample sizes</w:t>
      </w:r>
      <w:r>
        <w:t xml:space="preserve"> </w:t>
      </w:r>
      <w:r>
        <w:t xml:space="preserve">(Jobst et al., 2023; Moshagen &amp; Bader, 2024)</w:t>
      </w:r>
      <w:r>
        <w:t xml:space="preserve">.</w:t>
      </w:r>
    </w:p>
    <w:p>
      <w:pPr>
        <w:pStyle w:val="BodyText"/>
      </w:pPr>
      <w:r>
        <w:t xml:space="preserve">In a model-based setting, this is especially valuable because the effect is tied to the specific covariance structure implied by the substantive model, meaning that the power function reflects the hypothesized parameter configuration rather than an abstract misspecification level detached from the model itself</w:t>
      </w:r>
      <w:r>
        <w:t xml:space="preserve"> </w:t>
      </w:r>
      <w:r>
        <w:t xml:space="preserve">(Jobst et al., 2023; Moshagen &amp; Bader, 2024)</w:t>
      </w:r>
      <w:r>
        <w:t xml:space="preserve">.</w:t>
      </w:r>
    </w:p>
    <w:tbl>
      <w:tblPr>
        <w:tblStyle w:val="Table"/>
        <w:tblW w:type="pct" w:w="5000"/>
        <w:tblLayout w:type="fixed"/>
        <w:tblLook w:firstRow="0" w:lastRow="0" w:firstColumn="0" w:lastColumn="0" w:noHBand="0" w:noVBand="0" w:val="0000"/>
      </w:tblPr>
      <w:tblGrid>
        <w:gridCol w:w="7920"/>
      </w:tblGrid>
      <w:tr>
        <w:tc>
          <w:tcPr/>
          <w:bookmarkStart w:id="75" w:name="fig-power-popmodel"/>
          <w:p>
            <w:pPr>
              <w:pStyle w:val="Compact"/>
              <w:jc w:val="center"/>
            </w:pPr>
            <w:r>
              <w:drawing>
                <wp:inline>
                  <wp:extent cx="5334000" cy="3333749"/>
                  <wp:effectExtent b="0" l="0" r="0" t="0"/>
                  <wp:docPr descr="" title="" id="73" name="Picture"/>
                  <a:graphic>
                    <a:graphicData uri="http://schemas.openxmlformats.org/drawingml/2006/picture">
                      <pic:pic>
                        <pic:nvPicPr>
                          <pic:cNvPr descr="index_files/figure-docx/Scripts-AnalysisScripts-02_analytical_power-fig-power-popmodel-output-1.png" id="74" name="Picture"/>
                          <pic:cNvPicPr>
                            <a:picLocks noChangeArrowheads="1" noChangeAspect="1"/>
                          </pic:cNvPicPr>
                        </pic:nvPicPr>
                        <pic:blipFill>
                          <a:blip r:embed="rId72"/>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Power as a function of sample size for the population model (popModel)</w:t>
            </w:r>
          </w:p>
          <w:bookmarkEnd w:id="75"/>
        </w:tc>
      </w:tr>
    </w:tbl>
    <w:p>
      <w:pPr>
        <w:pStyle w:val="BodyText"/>
      </w:pPr>
      <w:r>
        <w:rPr>
          <w:vertAlign w:val="subscript"/>
        </w:rPr>
        <w:t xml:space="preserve">Source:</w:t>
      </w:r>
      <w:r>
        <w:rPr>
          <w:vertAlign w:val="subscript"/>
        </w:rPr>
        <w:t xml:space="preserve"> </w:t>
      </w:r>
      <w:hyperlink r:id="rId76">
        <w:r>
          <w:rPr>
            <w:rStyle w:val="Hyperlink"/>
            <w:vertAlign w:val="subscript"/>
          </w:rPr>
          <w:t xml:space="preserve">Analytical Power Analysis</w:t>
        </w:r>
      </w:hyperlink>
    </w:p>
    <w:p>
      <w:pPr>
        <w:pStyle w:val="BodyText"/>
      </w:pPr>
      <w:r>
        <w:t xml:space="preserve">The plot titled Power for</w:t>
      </w:r>
      <w:r>
        <w:t xml:space="preserve"> </w:t>
      </w:r>
      <m:oMath>
        <m:sSub>
          <m:e>
            <m:r>
              <m:t>F</m:t>
            </m:r>
          </m:e>
          <m:sub>
            <m:r>
              <m:t>0</m:t>
            </m:r>
          </m:sub>
        </m:sSub>
      </m:oMath>
      <w:r>
        <w:t xml:space="preserve"> </w:t>
      </w:r>
      <w:r>
        <w:t xml:space="preserve">= 0.304 shows a clear monotonic increase in power as sample size</w:t>
      </w:r>
      <w:r>
        <w:t xml:space="preserve"> </w:t>
      </w:r>
      <m:oMath>
        <m:r>
          <m:t>N</m:t>
        </m:r>
      </m:oMath>
      <w:r>
        <w:t xml:space="preserve"> </w:t>
      </w:r>
      <w:r>
        <w:t xml:space="preserve">grows.</w:t>
      </w:r>
    </w:p>
    <w:p>
      <w:pPr>
        <w:pStyle w:val="BodyText"/>
      </w:pPr>
      <w:r>
        <w:t xml:space="preserve">At the lower end of the sample-size range, power is very limited. For very small samples, the curve is close to</w:t>
      </w:r>
      <w:r>
        <w:t xml:space="preserve"> </w:t>
      </w:r>
      <m:oMath>
        <m:r>
          <m:t>0.07</m:t>
        </m:r>
      </m:oMath>
      <w:r>
        <w:t xml:space="preserve">–</w:t>
      </w:r>
      <m:oMath>
        <m:r>
          <m:t>0.10</m:t>
        </m:r>
      </m:oMath>
      <w:r>
        <w:t xml:space="preserve">, indicating a low probability of detecting the effect represented by this</w:t>
      </w:r>
      <w:r>
        <w:t xml:space="preserve"> </w:t>
      </w:r>
      <m:oMath>
        <m:sSub>
          <m:e>
            <m:r>
              <m:t>F</m:t>
            </m:r>
          </m:e>
          <m:sub>
            <m:r>
              <m:t>0</m:t>
            </m:r>
          </m:sub>
        </m:sSub>
      </m:oMath>
      <w:r>
        <w:t xml:space="preserve">.</w:t>
      </w:r>
    </w:p>
    <w:p>
      <w:pPr>
        <w:pStyle w:val="BodyText"/>
      </w:pPr>
      <w:r>
        <w:t xml:space="preserve">The curve enters a stronger growth region between approximately</w:t>
      </w:r>
      <w:r>
        <w:t xml:space="preserve"> </w:t>
      </w:r>
      <m:oMath>
        <m:r>
          <m:t>N</m:t>
        </m:r>
        <m:r>
          <m:rPr>
            <m:sty m:val="p"/>
          </m:rPr>
          <m:t>=</m:t>
        </m:r>
        <m:r>
          <m:t>120</m:t>
        </m:r>
      </m:oMath>
      <w:r>
        <w:t xml:space="preserve"> </w:t>
      </w:r>
      <w:r>
        <w:t xml:space="preserve">and</w:t>
      </w:r>
      <w:r>
        <w:t xml:space="preserve"> </w:t>
      </w:r>
      <m:oMath>
        <m:r>
          <m:t>N</m:t>
        </m:r>
        <m:r>
          <m:rPr>
            <m:sty m:val="p"/>
          </m:rPr>
          <m:t>=</m:t>
        </m:r>
        <m:r>
          <m:t>220</m:t>
        </m:r>
      </m:oMath>
      <w:r>
        <w:t xml:space="preserve">. In this interval, gains in sample size translate into substantial gains in power, with the curve moving from moderate sensitivity to clearly adequate sensitivity.</w:t>
      </w:r>
    </w:p>
    <w:p>
      <w:pPr>
        <w:pStyle w:val="BodyText"/>
      </w:pPr>
      <w:r>
        <w:t xml:space="preserve">The conventional threshold of</w:t>
      </w:r>
      <w:r>
        <w:t xml:space="preserve"> </w:t>
      </w:r>
      <m:oMath>
        <m:r>
          <m:t>0.80</m:t>
        </m:r>
      </m:oMath>
      <w:r>
        <w:t xml:space="preserve"> </w:t>
      </w:r>
      <w:r>
        <w:t xml:space="preserve">power is reached at approximately</w:t>
      </w:r>
      <w:r>
        <w:t xml:space="preserve"> </w:t>
      </w:r>
      <m:oMath>
        <m:r>
          <m:t>N</m:t>
        </m:r>
        <m:r>
          <m:rPr>
            <m:sty m:val="p"/>
          </m:rPr>
          <m:t>≈</m:t>
        </m:r>
        <m:r>
          <m:t>200</m:t>
        </m:r>
      </m:oMath>
      <w:r>
        <w:t xml:space="preserve">. This is the key empirical reading of the graph, because it marks the approximate sample size at which the analysis becomes adequately powered under the specified effect.</w:t>
      </w:r>
    </w:p>
    <w:p>
      <w:pPr>
        <w:pStyle w:val="BodyText"/>
      </w:pPr>
      <w:r>
        <w:t xml:space="preserve">For larger samples, the curve approaches its ceiling. Around</w:t>
      </w:r>
      <w:r>
        <w:t xml:space="preserve"> </w:t>
      </w:r>
      <m:oMath>
        <m:r>
          <m:t>N</m:t>
        </m:r>
        <m:r>
          <m:rPr>
            <m:sty m:val="p"/>
          </m:rPr>
          <m:t>≈</m:t>
        </m:r>
        <m:r>
          <m:t>280</m:t>
        </m:r>
      </m:oMath>
      <w:r>
        <w:t xml:space="preserve">, power is close to</w:t>
      </w:r>
      <w:r>
        <w:t xml:space="preserve"> </w:t>
      </w:r>
      <m:oMath>
        <m:r>
          <m:t>0.95</m:t>
        </m:r>
      </m:oMath>
      <w:r>
        <w:t xml:space="preserve">, and by the upper end of the graph, near</w:t>
      </w:r>
      <w:r>
        <w:t xml:space="preserve"> </w:t>
      </w:r>
      <m:oMath>
        <m:r>
          <m:t>N</m:t>
        </m:r>
        <m:r>
          <m:rPr>
            <m:sty m:val="p"/>
          </m:rPr>
          <m:t>≈</m:t>
        </m:r>
        <m:r>
          <m:t>340</m:t>
        </m:r>
      </m:oMath>
      <w:r>
        <w:t xml:space="preserve"> </w:t>
      </w:r>
      <w:r>
        <w:t xml:space="preserve">to</w:t>
      </w:r>
      <w:r>
        <w:t xml:space="preserve"> </w:t>
      </w:r>
      <m:oMath>
        <m:r>
          <m:t>350</m:t>
        </m:r>
      </m:oMath>
      <w:r>
        <w:t xml:space="preserve">, power is close to</w:t>
      </w:r>
      <w:r>
        <w:t xml:space="preserve"> </w:t>
      </w:r>
      <m:oMath>
        <m:r>
          <m:t>0.99</m:t>
        </m:r>
      </m:oMath>
      <w:r>
        <w:t xml:space="preserve">.</w:t>
      </w:r>
    </w:p>
    <w:p>
      <w:pPr>
        <w:pStyle w:val="BodyText"/>
      </w:pPr>
      <w:r>
        <w:t xml:space="preserve">Overall, the graph indicates that small samples are clearly underpowered, sample sizes around</w:t>
      </w:r>
      <w:r>
        <w:t xml:space="preserve"> </w:t>
      </w:r>
      <m:oMath>
        <m:r>
          <m:t>200</m:t>
        </m:r>
      </m:oMath>
      <w:r>
        <w:t xml:space="preserve"> </w:t>
      </w:r>
      <w:r>
        <w:t xml:space="preserve">are approximately sufficient for the usual</w:t>
      </w:r>
      <w:r>
        <w:t xml:space="preserve"> </w:t>
      </w:r>
      <m:oMath>
        <m:r>
          <m:t>0.80</m:t>
        </m:r>
      </m:oMath>
      <w:r>
        <w:t xml:space="preserve"> </w:t>
      </w:r>
      <w:r>
        <w:t xml:space="preserve">criterion, and larger samples above that level provide increasingly strong detection probability, though with diminishing marginal gains.</w:t>
      </w:r>
    </w:p>
    <w:bookmarkEnd w:id="77"/>
    <w:bookmarkEnd w:id="78"/>
    <w:bookmarkStart w:id="84" w:name="summary-table"/>
    <w:p>
      <w:pPr>
        <w:pStyle w:val="Heading3"/>
      </w:pPr>
      <w:r>
        <w:t xml:space="preserve">3.4 Summary table</w:t>
      </w:r>
    </w:p>
    <w:p>
      <w:pPr>
        <w:pStyle w:val="FirstParagraph"/>
      </w:pPr>
      <w:r>
        <w:t xml:space="preserve">The table shows that the model-based approach is substantially more demanding in sample size than the model-free RMSEA-based approach, requiring roughly twice as many observations to achieve essentially the same target power. This difference suggests that, once the effect is defined from the population model itself, the analysis points to a more conservative and likely more realistic sample size requirement.</w:t>
      </w:r>
    </w:p>
    <w:tbl>
      <w:tblPr>
        <w:tblStyle w:val="Table"/>
        <w:tblW w:type="pct" w:w="5000"/>
        <w:tblLayout w:type="fixed"/>
        <w:tblLook w:firstRow="0" w:lastRow="0" w:firstColumn="0" w:lastColumn="0" w:noHBand="0" w:noVBand="0" w:val="0000"/>
      </w:tblPr>
      <w:tblGrid>
        <w:gridCol w:w="7920"/>
      </w:tblGrid>
      <w:tr>
        <w:tc>
          <w:tcPr/>
          <w:bookmarkStart w:id="79" w:name="tbl-analytical-summary"/>
          <w:p>
            <w:pPr>
              <w:jc w:val="center"/>
            </w:pPr>
            <w:pPr>
              <w:jc w:val="left"/>
              <w:spacing w:before="200"/>
              <w:pStyle w:val="ImageCaption"/>
            </w:pPr>
            <w:r>
              <w:t xml:space="preserve">Table 3: Summary of analytical power analysis results</w:t>
            </w:r>
          </w:p>
          <w:tbl>
            <w:tblPr>
              <w:tblStyle w:val="Table"/>
              <w:tblW w:type="pct" w:w="4872"/>
              <w:tblLayout w:type="fixed"/>
              <w:tblLook w:firstRow="1" w:lastRow="0" w:firstColumn="0" w:lastColumn="0" w:noHBand="0" w:noVBand="0" w:val="0020"/>
            </w:tblPr>
            <w:tblGrid>
              <w:gridCol w:w="3655"/>
              <w:gridCol w:w="1116"/>
              <w:gridCol w:w="913"/>
              <w:gridCol w:w="1421"/>
              <w:gridCol w:w="609"/>
            </w:tblGrid>
            <w:tr>
              <w:trPr>
                <w:tblHeader w:val="on"/>
              </w:trPr>
              <w:tc>
                <w:tcPr/>
                <w:p>
                  <w:pPr>
                    <w:pStyle w:val="Compact"/>
                    <w:jc w:val="left"/>
                    <w:jc w:val="center"/>
                  </w:pPr>
                  <w:r>
                    <w:t xml:space="preserve">Method</w:t>
                  </w:r>
                </w:p>
              </w:tc>
              <w:tc>
                <w:tcPr/>
                <w:p>
                  <w:pPr>
                    <w:pStyle w:val="Compact"/>
                    <w:jc w:val="center"/>
                  </w:pPr>
                  <w:r>
                    <w:t xml:space="preserve">N Required</w:t>
                  </w:r>
                </w:p>
              </w:tc>
              <w:tc>
                <w:tcPr/>
                <w:p>
                  <w:pPr>
                    <w:pStyle w:val="Compact"/>
                    <w:jc w:val="center"/>
                    <w:jc w:val="center"/>
                  </w:pPr>
                  <w:r>
                    <w:t xml:space="preserve">Power</w:t>
                  </w:r>
                </w:p>
              </w:tc>
              <w:tc>
                <w:tcPr/>
                <w:p>
                  <w:pPr>
                    <w:pStyle w:val="Compact"/>
                    <w:jc w:val="center"/>
                  </w:pPr>
                  <w:r>
                    <w:t xml:space="preserve">Implied RMSEA</w:t>
                  </w:r>
                </w:p>
              </w:tc>
              <w:tc>
                <w:tcPr/>
                <w:p>
                  <w:pPr>
                    <w:pStyle w:val="Compact"/>
                    <w:jc w:val="center"/>
                    <w:jc w:val="center"/>
                  </w:pPr>
                  <w:r>
                    <w:t xml:space="preserve">df</w:t>
                  </w:r>
                </w:p>
              </w:tc>
            </w:tr>
            <w:tr>
              <w:tc>
                <w:tcPr/>
                <w:p>
                  <w:pPr>
                    <w:pStyle w:val="Compact"/>
                    <w:jc w:val="left"/>
                    <w:jc w:val="center"/>
                  </w:pPr>
                  <w:r>
                    <w:t xml:space="preserve">Model-free a priori (RMSEA = .05)</w:t>
                  </w:r>
                </w:p>
              </w:tc>
              <w:tc>
                <w:tcPr/>
                <w:p>
                  <w:pPr>
                    <w:pStyle w:val="Compact"/>
                    <w:jc w:val="center"/>
                  </w:pPr>
                  <w:r>
                    <w:t xml:space="preserve">99</w:t>
                  </w:r>
                </w:p>
              </w:tc>
              <w:tc>
                <w:tcPr/>
                <w:p>
                  <w:pPr>
                    <w:pStyle w:val="Compact"/>
                    <w:jc w:val="center"/>
                    <w:jc w:val="center"/>
                  </w:pPr>
                  <w:r>
                    <w:t xml:space="preserve">0.8008</w:t>
                  </w:r>
                </w:p>
              </w:tc>
              <w:tc>
                <w:tcPr/>
                <w:p>
                  <w:pPr>
                    <w:pStyle w:val="Compact"/>
                    <w:jc w:val="center"/>
                  </w:pPr>
                  <w:r>
                    <w:t xml:space="preserve">0.0500</w:t>
                  </w:r>
                </w:p>
              </w:tc>
              <w:tc>
                <w:tcPr/>
                <w:p>
                  <w:pPr>
                    <w:pStyle w:val="Compact"/>
                    <w:jc w:val="center"/>
                    <w:jc w:val="center"/>
                  </w:pPr>
                  <w:r>
                    <w:t xml:space="preserve">249</w:t>
                  </w:r>
                </w:p>
              </w:tc>
            </w:tr>
            <w:tr>
              <w:tc>
                <w:tcPr/>
                <w:p>
                  <w:pPr>
                    <w:pStyle w:val="Compact"/>
                    <w:jc w:val="left"/>
                    <w:jc w:val="center"/>
                  </w:pPr>
                  <w:r>
                    <w:t xml:space="preserve">Model-based a priori (Population</w:t>
                  </w:r>
                  <w:r>
                    <w:t xml:space="preserve"> </w:t>
                  </w:r>
                  <w:r>
                    <w:t xml:space="preserve">Model)</w:t>
                  </w:r>
                </w:p>
              </w:tc>
              <w:tc>
                <w:tcPr/>
                <w:p>
                  <w:pPr>
                    <w:pStyle w:val="Compact"/>
                    <w:jc w:val="center"/>
                  </w:pPr>
                  <w:r>
                    <w:t xml:space="preserve">202</w:t>
                  </w:r>
                </w:p>
              </w:tc>
              <w:tc>
                <w:tcPr/>
                <w:p>
                  <w:pPr>
                    <w:pStyle w:val="Compact"/>
                    <w:jc w:val="center"/>
                    <w:jc w:val="center"/>
                  </w:pPr>
                  <w:r>
                    <w:t xml:space="preserve">0.8015</w:t>
                  </w:r>
                </w:p>
              </w:tc>
              <w:tc>
                <w:tcPr/>
                <w:p>
                  <w:pPr>
                    <w:pStyle w:val="Compact"/>
                    <w:jc w:val="center"/>
                  </w:pPr>
                  <w:r>
                    <w:t xml:space="preserve">0.0349</w:t>
                  </w:r>
                </w:p>
              </w:tc>
              <w:tc>
                <w:tcPr/>
                <w:p>
                  <w:pPr>
                    <w:pStyle w:val="Compact"/>
                    <w:jc w:val="center"/>
                    <w:jc w:val="center"/>
                  </w:pPr>
                  <w:r>
                    <w:t xml:space="preserve">249</w:t>
                  </w:r>
                </w:p>
              </w:tc>
            </w:tr>
          </w:tbl>
          <w:bookmarkEnd w:id="79"/>
          <w:p/>
        </w:tc>
      </w:tr>
    </w:tbl>
    <w:p>
      <w:pPr>
        <w:pStyle w:val="BodyText"/>
      </w:pPr>
      <w:r>
        <w:rPr>
          <w:vertAlign w:val="subscript"/>
        </w:rPr>
        <w:t xml:space="preserve">Source:</w:t>
      </w:r>
      <w:r>
        <w:rPr>
          <w:vertAlign w:val="subscript"/>
        </w:rPr>
        <w:t xml:space="preserve"> </w:t>
      </w:r>
      <w:hyperlink r:id="rId80">
        <w:r>
          <w:rPr>
            <w:rStyle w:val="Hyperlink"/>
            <w:vertAlign w:val="subscript"/>
          </w:rPr>
          <w:t xml:space="preserve">Analytical Power Analysis</w:t>
        </w:r>
      </w:hyperlink>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Program Files\Quarto\share\formats\docx\important.png" id="83" name="Picture"/>
                          <pic:cNvPicPr>
                            <a:picLocks noChangeArrowheads="1" noChangeAspect="1"/>
                          </pic:cNvPicPr>
                        </pic:nvPicPr>
                        <pic:blipFill>
                          <a:blip r:embed="rId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Limitations of the Analytical Approach</w:t>
            </w:r>
          </w:p>
        </w:tc>
      </w:tr>
      <w:tr>
        <w:trPr>
          <w:cantSplit/>
        </w:trPr>
        <w:tc>
          <w:tcPr>
            <w:tcMar>
              <w:top w:w="108" w:type="dxa"/>
              <w:bottom w:w="108" w:type="dxa"/>
            </w:tcMar>
          </w:tcPr>
          <w:p>
            <w:pPr>
              <w:pStyle w:val="BodyText"/>
            </w:pPr>
            <w:pPr>
              <w:spacing w:before="16" w:after="16"/>
            </w:pPr>
            <w:r>
              <w:t xml:space="preserve">The RMSEA/</w:t>
            </w:r>
            <m:oMath>
              <m:sSup>
                <m:e>
                  <m:r>
                    <m:t>χ</m:t>
                  </m:r>
                </m:e>
                <m:sup>
                  <m:r>
                    <m:t>2</m:t>
                  </m:r>
                </m:sup>
              </m:sSup>
            </m:oMath>
            <w:r>
              <w:t xml:space="preserve">-based analytical method classically assumes continuous, multivariate normal data and Maximum Likelihood estimation. It can yield severely biased optimal sample sizes when distributions are non-normal, data are ordinal, or missingness induces efficiency losses. Furthermore, it measures power regarding</w:t>
            </w:r>
            <w:r>
              <w:t xml:space="preserve"> </w:t>
            </w:r>
            <w:r>
              <w:rPr>
                <w:i/>
                <w:iCs/>
              </w:rPr>
              <w:t xml:space="preserve">global misfit</w:t>
            </w:r>
            <w:r>
              <w:t xml:space="preserve">, telling us nothing about whether</w:t>
            </w:r>
            <w:r>
              <w:t xml:space="preserve"> </w:t>
            </w:r>
            <m:oMath>
              <m:r>
                <m:t>N</m:t>
              </m:r>
            </m:oMath>
            <w:r>
              <w:t xml:space="preserve"> </w:t>
            </w:r>
            <w:r>
              <w:t xml:space="preserve">is adequate to detect a specific weak loading or structural path.</w:t>
            </w:r>
          </w:p>
          <w:p/>
        </w:tc>
      </w:tr>
    </w:tbl>
    <w:bookmarkEnd w:id="84"/>
    <w:bookmarkEnd w:id="85"/>
    <w:bookmarkStart w:id="112" w:name="sec-sim-ideal"/>
    <w:p>
      <w:pPr>
        <w:pStyle w:val="Heading2"/>
      </w:pPr>
      <w:r>
        <w:t xml:space="preserve">4 Monte Carlo Simulation: Ideal Conditions</w:t>
      </w:r>
    </w:p>
    <w:p>
      <w:pPr>
        <w:pStyle w:val="FirstParagraph"/>
      </w:pPr>
      <w:r>
        <w:t xml:space="preserve">This section presents a Monte Carlo framework for evaluating</w:t>
      </w:r>
      <w:r>
        <w:t xml:space="preserve"> </w:t>
      </w:r>
      <w:r>
        <w:rPr>
          <w:b/>
          <w:bCs/>
        </w:rPr>
        <w:t xml:space="preserve">fit-based power</w:t>
      </w:r>
      <w:r>
        <w:t xml:space="preserve"> </w:t>
      </w:r>
      <w:r>
        <w:t xml:space="preserve">in SEM under ideal conditions, that is, under a scenario in which the analyst fully specifies both the reference population model and the alternative population model before data are generated</w:t>
      </w:r>
      <w:r>
        <w:t xml:space="preserve"> </w:t>
      </w:r>
      <w:r>
        <w:t xml:space="preserve">(Feng &amp; Hancock, 2023; Jobst et al., 2023)</w:t>
      </w:r>
      <w:r>
        <w:t xml:space="preserve">.</w:t>
      </w:r>
    </w:p>
    <w:p>
      <w:pPr>
        <w:pStyle w:val="BodyText"/>
      </w:pPr>
      <w:r>
        <w:t xml:space="preserve">The central idea is to distinguish between two roles played by models in the simulation design: a data-generating model and an analysis model</w:t>
      </w:r>
      <w:r>
        <w:t xml:space="preserve"> </w:t>
      </w:r>
      <w:r>
        <w:t xml:space="preserve">(Feng &amp; Hancock, 2023)</w:t>
      </w:r>
      <w:r>
        <w:t xml:space="preserve">. The data-generating model defines the population from which replicated samples are drawn, whereas the analysis model defines the structure that is repeatedly fit to each generated sample. This separation is essential because statistical power in SEM depends not only on sample size, but also on the discrepancy between the model used for estimation and the population structure that generated the data</w:t>
      </w:r>
      <w:r>
        <w:t xml:space="preserve"> </w:t>
      </w:r>
      <w:r>
        <w:t xml:space="preserve">(Feng &amp; Hancock, 2023; Jobst et al., 2023)</w:t>
      </w:r>
      <w:r>
        <w:t xml:space="preserve">.</w:t>
      </w:r>
    </w:p>
    <w:p>
      <w:pPr>
        <w:pStyle w:val="BodyText"/>
      </w:pPr>
      <w:r>
        <w:t xml:space="preserve">In this setup, the reference condition represents the benchmark of acceptable fit, while the alternative condition represents a population in which a theoretically relevant misspecification is present</w:t>
      </w:r>
      <w:r>
        <w:t xml:space="preserve"> </w:t>
      </w:r>
      <w:r>
        <w:t xml:space="preserve">(Feng &amp; Hancock, 2023)</w:t>
      </w:r>
      <w:r>
        <w:t xml:space="preserve">. Repeatedly fitting the same analysis model to samples generated under both conditions makes it possible to compare their empirical fit-index distributions and quantify how well the chosen fit criteria separate well-fitting from misspecified situations</w:t>
      </w:r>
      <w:r>
        <w:t xml:space="preserve"> </w:t>
      </w:r>
      <w:r>
        <w:t xml:space="preserve">(Jobst et al., 2023)</w:t>
      </w:r>
      <w:r>
        <w:t xml:space="preserve">.</w:t>
      </w:r>
    </w:p>
    <w:p>
      <w:pPr>
        <w:pStyle w:val="BodyText"/>
      </w:pPr>
      <w:r>
        <w:t xml:space="preserve">Varying</w:t>
      </w:r>
      <w:r>
        <w:t xml:space="preserve"> </w:t>
      </w:r>
      <m:oMath>
        <m:r>
          <m:t>N</m:t>
        </m:r>
      </m:oMath>
      <w:r>
        <w:t xml:space="preserve"> </w:t>
      </w:r>
      <w:r>
        <w:t xml:space="preserve">across a predefined sequence turns the simulation into a sample-size planning exercise rather than a single-condition power check</w:t>
      </w:r>
      <w:r>
        <w:t xml:space="preserve"> </w:t>
      </w:r>
      <w:r>
        <w:t xml:space="preserve">(Feng &amp; Hancock, 2023)</w:t>
      </w:r>
      <w:r>
        <w:t xml:space="preserve">. Conceptually, as</w:t>
      </w:r>
      <w:r>
        <w:t xml:space="preserve"> </w:t>
      </w:r>
      <m:oMath>
        <m:r>
          <m:t>N</m:t>
        </m:r>
      </m:oMath>
      <w:r>
        <w:t xml:space="preserve"> </w:t>
      </w:r>
      <w:r>
        <w:t xml:space="preserve">increases, the sampling distributions under the reference and alternative conditions tend to become more distinguishable, so the probability of correctly flagging the misspecified condition increases as well</w:t>
      </w:r>
      <w:r>
        <w:t xml:space="preserve"> </w:t>
      </w:r>
      <w:r>
        <w:t xml:space="preserve">(Feng &amp; Hancock, 2023; Jobst et al., 2023)</w:t>
      </w:r>
      <w:r>
        <w:t xml:space="preserve">.</w:t>
      </w:r>
    </w:p>
    <w:p>
      <w:pPr>
        <w:pStyle w:val="BodyText"/>
      </w:pPr>
      <w:r>
        <w:t xml:space="preserve">Power based on fit indices is therefore interpreted here as the probability that a fit rule, calibrated from the reference condition, classifies data generated under the alternative condition as showing worse fit than expected under the benchmark model. In practical terms, this approach shifts the focus from testing a single parameter to evaluating whether global fit measures are sensitive enough to detect a substantively meaningful form of model misspecification across plausible sample sizes</w:t>
      </w:r>
      <w:r>
        <w:t xml:space="preserve"> </w:t>
      </w:r>
      <w:r>
        <w:t xml:space="preserve">(Feng &amp; Hancock, 2023; Jobst et al., 2023; Moshagen &amp; Bader, 2024)</w:t>
      </w:r>
      <w:r>
        <w:t xml:space="preserve">.</w:t>
      </w:r>
    </w:p>
    <w:p>
      <w:pPr>
        <w:pStyle w:val="BodyText"/>
      </w:pPr>
      <w:r>
        <w:t xml:space="preserve">This logic is especially useful when the main research question concerns model adequacy at the global level, or when the inferential goal is to determine the sample size required for fit indices to reliably distinguish acceptable from unacceptable model-data correspondence under explicitly defined assumptions</w:t>
      </w:r>
      <w:r>
        <w:t xml:space="preserve"> </w:t>
      </w:r>
      <w:r>
        <w:t xml:space="preserve">(Feng &amp; Hancock, 2023; Jobst et al., 2023)</w:t>
      </w:r>
      <w:r>
        <w:t xml:space="preserve">.</w:t>
      </w:r>
    </w:p>
    <w:p>
      <w:pPr>
        <w:pStyle w:val="BodyText"/>
      </w:pPr>
      <w:r>
        <w:t xml:space="preserve">Below, we present the results of this simulation under ideal conditions. First, the power curve is shown for all four fit indexes (RMSEA, CFI, TLI, SRMR) across the range of sample sizes. Then, we compare the two generated distributions for the reference and alternative conditions across the four fit indices, showing how the separation between them evolves as</w:t>
      </w:r>
      <w:r>
        <w:t xml:space="preserve"> </w:t>
      </w:r>
      <m:oMath>
        <m:r>
          <m:t>N</m:t>
        </m:r>
      </m:oMath>
      <w:r>
        <w:t xml:space="preserve"> </w:t>
      </w:r>
      <w:r>
        <w:t xml:space="preserve">increases.</w:t>
      </w:r>
    </w:p>
    <w:tbl>
      <w:tblPr>
        <w:tblStyle w:val="Table"/>
        <w:tblW w:type="pct" w:w="5000"/>
        <w:tblLayout w:type="fixed"/>
        <w:tblLook w:firstRow="0" w:lastRow="0" w:firstColumn="0" w:lastColumn="0" w:noHBand="0" w:noVBand="0" w:val="0000"/>
      </w:tblPr>
      <w:tblGrid>
        <w:gridCol w:w="7920"/>
      </w:tblGrid>
      <w:tr>
        <w:tc>
          <w:tcPr/>
          <w:bookmarkStart w:id="89" w:name="fig-power-curve-ideal"/>
          <w:p>
            <w:pPr>
              <w:pStyle w:val="Compact"/>
              <w:jc w:val="center"/>
            </w:pPr>
            <w:r>
              <w:drawing>
                <wp:inline>
                  <wp:extent cx="5334000" cy="3333749"/>
                  <wp:effectExtent b="0" l="0" r="0" t="0"/>
                  <wp:docPr descr="" title="" id="87" name="Picture"/>
                  <a:graphic>
                    <a:graphicData uri="http://schemas.openxmlformats.org/drawingml/2006/picture">
                      <pic:pic>
                        <pic:nvPicPr>
                          <pic:cNvPr descr="index_files/figure-docx/Scripts-AnalysisScripts-03_simulation_ideal-fig-power-curve-ideal-output-1.png" id="88" name="Picture"/>
                          <pic:cNvPicPr>
                            <a:picLocks noChangeArrowheads="1" noChangeAspect="1"/>
                          </pic:cNvPicPr>
                        </pic:nvPicPr>
                        <pic:blipFill>
                          <a:blip r:embed="rId8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Power curves for fit indices under ideal conditions.</w:t>
            </w:r>
          </w:p>
          <w:bookmarkEnd w:id="89"/>
        </w:tc>
      </w:tr>
    </w:tbl>
    <w:p>
      <w:pPr>
        <w:pStyle w:val="BodyText"/>
      </w:pPr>
      <w:r>
        <w:rPr>
          <w:vertAlign w:val="subscript"/>
        </w:rPr>
        <w:t xml:space="preserve">Source:</w:t>
      </w:r>
      <w:r>
        <w:rPr>
          <w:vertAlign w:val="subscript"/>
        </w:rPr>
        <w:t xml:space="preserve"> </w:t>
      </w:r>
      <w:hyperlink r:id="rId90">
        <w:r>
          <w:rPr>
            <w:rStyle w:val="Hyperlink"/>
            <w:vertAlign w:val="subscript"/>
          </w:rPr>
          <w:t xml:space="preserve">Simulation — Ideal Conditions</w:t>
        </w:r>
      </w:hyperlink>
    </w:p>
    <w:p>
      <w:pPr>
        <w:pStyle w:val="BodyText"/>
      </w:pPr>
      <w:r>
        <w:t xml:space="preserve">The simulation under ideal conditions shows that power increases as sample size grows. At the lower end of the sample-size sequence, the fit indices remain below the target power threshold, indicating limited sensitivity to detect the imposed misspecification.</w:t>
      </w:r>
    </w:p>
    <w:p>
      <w:pPr>
        <w:pStyle w:val="BodyText"/>
      </w:pPr>
      <w:r>
        <w:t xml:space="preserve">As</w:t>
      </w:r>
      <w:r>
        <w:t xml:space="preserve"> </w:t>
      </w:r>
      <m:oMath>
        <m:r>
          <m:t>N</m:t>
        </m:r>
      </m:oMath>
      <w:r>
        <w:t xml:space="preserve"> </w:t>
      </w:r>
      <w:r>
        <w:t xml:space="preserve">increases, the power curves rise steadily, showing that the same degree of misspecification becomes easier to detect in larger samples. The point at which each curve crosses the conventional target level (e.g., .80) marks the approximate minimum sample size required for that fit index to achieve adequate discriminatory performance.</w:t>
      </w:r>
    </w:p>
    <w:p>
      <w:pPr>
        <w:pStyle w:val="BodyText"/>
      </w:pPr>
      <w:r>
        <w:t xml:space="preserve">The graph also shows that the fit indices do not behave identically across the sample-size range. Some indices reach the target power earlier, which indicates greater sensitivity to the discrepancy built into the alternative model, whereas others require larger</w:t>
      </w:r>
      <w:r>
        <w:t xml:space="preserve"> </w:t>
      </w:r>
      <m:oMath>
        <m:r>
          <m:t>N</m:t>
        </m:r>
      </m:oMath>
      <w:r>
        <w:t xml:space="preserve"> </w:t>
      </w:r>
      <w:r>
        <w:t xml:space="preserve">to attain the same level of power.</w:t>
      </w:r>
    </w:p>
    <w:p>
      <w:pPr>
        <w:pStyle w:val="BodyText"/>
      </w:pPr>
      <w:r>
        <w:t xml:space="preserve">Taken together, the figure indicates that the required sample size depends on the specific fit criterion being used. Therefore, the most conservative planning decision is based on the fit index whose curve reaches the desired power threshold at the largest sample size.</w:t>
      </w:r>
    </w:p>
    <w:tbl>
      <w:tblPr>
        <w:tblStyle w:val="Table"/>
        <w:tblW w:type="pct" w:w="5000"/>
        <w:tblLayout w:type="fixed"/>
        <w:tblLook w:firstRow="0" w:lastRow="0" w:firstColumn="0" w:lastColumn="0" w:noHBand="0" w:noVBand="0" w:val="0000"/>
      </w:tblPr>
      <w:tblGrid>
        <w:gridCol w:w="7920"/>
      </w:tblGrid>
      <w:tr>
        <w:tc>
          <w:tcPr/>
          <w:bookmarkStart w:id="94" w:name="fig-fit-curve-ideal"/>
          <w:p>
            <w:pPr>
              <w:pStyle w:val="Compact"/>
              <w:jc w:val="center"/>
            </w:pPr>
            <w:r>
              <w:drawing>
                <wp:inline>
                  <wp:extent cx="5334000" cy="3333749"/>
                  <wp:effectExtent b="0" l="0" r="0" t="0"/>
                  <wp:docPr descr="" title="" id="92" name="Picture"/>
                  <a:graphic>
                    <a:graphicData uri="http://schemas.openxmlformats.org/drawingml/2006/picture">
                      <pic:pic>
                        <pic:nvPicPr>
                          <pic:cNvPr descr="index_files/figure-docx/Scripts-AnalysisScripts-03_simulation_ideal-fig-fit-curve-ideal-output-1.png" id="93" name="Picture"/>
                          <pic:cNvPicPr>
                            <a:picLocks noChangeArrowheads="1" noChangeAspect="1"/>
                          </pic:cNvPicPr>
                        </pic:nvPicPr>
                        <pic:blipFill>
                          <a:blip r:embed="rId91"/>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Power curves for fit indices under ideal conditions without logistic smoothing.</w:t>
            </w:r>
          </w:p>
          <w:bookmarkEnd w:id="94"/>
        </w:tc>
      </w:tr>
    </w:tbl>
    <w:p>
      <w:pPr>
        <w:pStyle w:val="BodyText"/>
      </w:pPr>
      <w:r>
        <w:rPr>
          <w:vertAlign w:val="subscript"/>
        </w:rPr>
        <w:t xml:space="preserve">Source:</w:t>
      </w:r>
      <w:r>
        <w:rPr>
          <w:vertAlign w:val="subscript"/>
        </w:rPr>
        <w:t xml:space="preserve"> </w:t>
      </w:r>
      <w:hyperlink r:id="rId95">
        <w:r>
          <w:rPr>
            <w:rStyle w:val="Hyperlink"/>
            <w:vertAlign w:val="subscript"/>
          </w:rPr>
          <w:t xml:space="preserve">Simulation — Ideal Conditions</w:t>
        </w:r>
      </w:hyperlink>
    </w:p>
    <w:p>
      <w:pPr>
        <w:pStyle w:val="BodyText"/>
      </w:pPr>
      <w:r>
        <w:t xml:space="preserve">The second figure shows the empirical distributions of the four fit indices under the reference and alternative conditions for each sample size. At the smallest</w:t>
      </w:r>
      <w:r>
        <w:t xml:space="preserve"> </w:t>
      </w:r>
      <m:oMath>
        <m:r>
          <m:t>N</m:t>
        </m:r>
      </m:oMath>
      <w:r>
        <w:t xml:space="preserve">, the two distributions are heavily overlapping, which means that the fit indices have limited ability to distinguish between the well-fitting and misspecified scenarios.</w:t>
      </w:r>
    </w:p>
    <w:p>
      <w:pPr>
        <w:pStyle w:val="BodyText"/>
      </w:pPr>
      <w:r>
        <w:t xml:space="preserve">As</w:t>
      </w:r>
      <w:r>
        <w:t xml:space="preserve"> </w:t>
      </w:r>
      <m:oMath>
        <m:r>
          <m:t>N</m:t>
        </m:r>
      </m:oMath>
      <w:r>
        <w:t xml:space="preserve"> </w:t>
      </w:r>
      <w:r>
        <w:t xml:space="preserve">increases, the distribution under the alternative condition shifts towards worse fit values, while the distribution under the reference condition remains relatively stable. This growing separation between the distributions illustrates how the fit indices become more effective at detecting the misspecification as sample size increases, which is the empirical basis for the observed power curves.</w:t>
      </w:r>
    </w:p>
    <w:p>
      <w:pPr>
        <w:pStyle w:val="BodyText"/>
      </w:pPr>
      <w:r>
        <w:t xml:space="preserve">This plot is best understood as a Monte Carlo view of</w:t>
      </w:r>
      <w:r>
        <w:t xml:space="preserve"> </w:t>
      </w:r>
      <w:r>
        <w:rPr>
          <w:b/>
          <w:bCs/>
        </w:rPr>
        <w:t xml:space="preserve">discrimination</w:t>
      </w:r>
      <w:r>
        <w:t xml:space="preserve"> </w:t>
      </w:r>
      <w:r>
        <w:t xml:space="preserve">between well-fitting and misspecified conditions in SEM, using fit indices as decision variables rather than relying only on a single observed estimate</w:t>
      </w:r>
      <w:r>
        <w:t xml:space="preserve"> </w:t>
      </w:r>
      <w:r>
        <w:t xml:space="preserve">(Jobst et al., 2023; Moshagen &amp; Bader, 2024)</w:t>
      </w:r>
      <w:r>
        <w:t xml:space="preserve">. In</w:t>
      </w:r>
      <w:r>
        <w:t xml:space="preserve"> </w:t>
      </w:r>
      <w:r>
        <w:rPr>
          <w:rStyle w:val="VerbatimChar"/>
        </w:rPr>
        <w:t xml:space="preserve">simsem</w:t>
      </w:r>
      <w:r>
        <w:t xml:space="preserve">,</w:t>
      </w:r>
      <w:r>
        <w:t xml:space="preserve"> </w:t>
      </w:r>
      <w:r>
        <w:rPr>
          <w:rStyle w:val="VerbatimChar"/>
        </w:rPr>
        <w:t xml:space="preserve">plotPowerFit()</w:t>
      </w:r>
      <w:r>
        <w:t xml:space="preserve"> </w:t>
      </w:r>
      <w:r>
        <w:t xml:space="preserve">is designed to visualize the sampling distributions of fit indices under an alternative condition and, when a null object is supplied, to relate them to cutoffs derived from the null-model distribution at a prespecified</w:t>
      </w:r>
      <w:r>
        <w:t xml:space="preserve"> </w:t>
      </w:r>
      <m:oMath>
        <m:r>
          <m:t>α</m:t>
        </m:r>
      </m:oMath>
      <w:r>
        <w:t xml:space="preserve"> </w:t>
      </w:r>
      <w:r>
        <w:t xml:space="preserve">level. Conceptually, this turns power into a question of how often values generated under misspecification fall beyond the acceptance region implied by the null/reference model</w:t>
      </w:r>
      <w:r>
        <w:t xml:space="preserve"> </w:t>
      </w:r>
      <w:r>
        <w:t xml:space="preserve">(Jobst et al., 2023)</w:t>
      </w:r>
      <w:r>
        <w:t xml:space="preserve">.</w:t>
      </w:r>
    </w:p>
    <w:p>
      <w:pPr>
        <w:pStyle w:val="BodyText"/>
      </w:pPr>
      <w:r>
        <w:t xml:space="preserve">When sample size varies across replications, the figure shows how the empirical behavior of indices such as CFI, TLI, RMSEA, or SRMR changes as information accumulates, which is central to power analysis in SEM because power depends on the separation between the null and alternative sampling distributions</w:t>
      </w:r>
      <w:r>
        <w:t xml:space="preserve"> </w:t>
      </w:r>
      <w:r>
        <w:t xml:space="preserve">(Feng &amp; Hancock, 2023; Jobst et al., 2023; Moshagen &amp; Bader, 2024)</w:t>
      </w:r>
      <w:r>
        <w:t xml:space="preserve">. In that sense, the graph is not just a display of fit indices; it is a visual representation of the decision process underlying rejection of inadequate models</w:t>
      </w:r>
      <w:r>
        <w:t xml:space="preserve"> </w:t>
      </w:r>
      <w:r>
        <w:t xml:space="preserve">(Jobst et al., 2023)</w:t>
      </w:r>
      <w:r>
        <w:t xml:space="preserve">.</w:t>
      </w:r>
    </w:p>
    <w:p>
      <w:pPr>
        <w:pStyle w:val="BodyText"/>
      </w:pPr>
      <w:r>
        <w:t xml:space="preserve">The resulting figure therefore serves as a diagnostic complement to formal power summaries, helping the reader assess whether rejection is driven by clear distributional separation or by marginal boundary behavior around the cutoff</w:t>
      </w:r>
      <w:r>
        <w:t xml:space="preserve"> </w:t>
      </w:r>
      <w:r>
        <w:t xml:space="preserve">(Moshagen &amp; Bader, 2024)</w:t>
      </w:r>
      <w:r>
        <w:t xml:space="preserve">. As</w:t>
      </w:r>
      <w:r>
        <w:t xml:space="preserve"> </w:t>
      </w:r>
      <m:oMath>
        <m:r>
          <m:t>N</m:t>
        </m:r>
      </m:oMath>
      <w:r>
        <w:t xml:space="preserve"> </w:t>
      </w:r>
      <w:r>
        <w:t xml:space="preserve">increases, the indices move progressively to the rejection side, and this pattern becomes stable around</w:t>
      </w:r>
      <w:r>
        <w:t xml:space="preserve"> </w:t>
      </w:r>
      <m:oMath>
        <m:r>
          <m:t>N</m:t>
        </m:r>
        <m:r>
          <m:rPr>
            <m:sty m:val="p"/>
          </m:rPr>
          <m:t>=</m:t>
        </m:r>
        <m:r>
          <m:t>200</m:t>
        </m:r>
        <m:r>
          <m:rPr>
            <m:sty m:val="p"/>
          </m:rPr>
          <m:t>−</m:t>
        </m:r>
        <m:r>
          <m:t>250</m:t>
        </m:r>
      </m:oMath>
      <w:r>
        <w:t xml:space="preserve">. RMSEA and SRMR are [more/less] visually separated from the cutoff than CFI and TLI, while among the incremental indices, [CFI/TLI] shows the earliest clear discrimination. The table below summarizes the power and cutoff values for each fit index at</w:t>
      </w:r>
      <w:r>
        <w:t xml:space="preserve"> </w:t>
      </w:r>
      <m:oMath>
        <m:r>
          <m:t>N</m:t>
        </m:r>
        <m:r>
          <m:rPr>
            <m:sty m:val="p"/>
          </m:rPr>
          <m:t>=</m:t>
        </m:r>
        <m:r>
          <m:t>231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96" w:name="tbl-power-cutoff-ideal"/>
          <w:p>
            <w:pPr>
              <w:jc w:val="center"/>
            </w:pPr>
            <w:pPr>
              <w:jc w:val="left"/>
              <w:spacing w:before="200"/>
              <w:pStyle w:val="ImageCaption"/>
            </w:pPr>
            <w:r>
              <w:t xml:space="preserve">Table 4: Power and fit index cutoff values under ideal conditions at N = 231.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0.900</w:t>
                  </w:r>
                </w:p>
              </w:tc>
              <w:tc>
                <w:tcPr/>
                <w:p>
                  <w:pPr>
                    <w:pStyle w:val="Compact"/>
                    <w:jc w:val="center"/>
                    <w:jc w:val="center"/>
                  </w:pPr>
                  <w:r>
                    <w:t xml:space="preserve">0.995</w:t>
                  </w:r>
                </w:p>
              </w:tc>
              <w:tc>
                <w:tcPr/>
                <w:p>
                  <w:pPr>
                    <w:pStyle w:val="Compact"/>
                    <w:jc w:val="center"/>
                    <w:jc w:val="center"/>
                  </w:pPr>
                  <w:r>
                    <w:t xml:space="preserve">0.801</w:t>
                  </w:r>
                </w:p>
              </w:tc>
              <w:tc>
                <w:tcPr/>
                <w:p>
                  <w:pPr>
                    <w:pStyle w:val="Compact"/>
                    <w:jc w:val="center"/>
                    <w:jc w:val="center"/>
                  </w:pPr>
                  <w:r>
                    <w:t xml:space="preserve">0.801</w:t>
                  </w:r>
                </w:p>
              </w:tc>
            </w:tr>
            <w:tr>
              <w:tc>
                <w:tcPr/>
                <w:p>
                  <w:pPr>
                    <w:pStyle w:val="Compact"/>
                    <w:jc w:val="center"/>
                  </w:pPr>
                  <w:r>
                    <w:t xml:space="preserve">Cutoff</w:t>
                  </w:r>
                </w:p>
              </w:tc>
              <w:tc>
                <w:tcPr/>
                <w:p>
                  <w:pPr>
                    <w:pStyle w:val="Compact"/>
                    <w:jc w:val="center"/>
                    <w:jc w:val="center"/>
                  </w:pPr>
                  <w:r>
                    <w:t xml:space="preserve">0.039</w:t>
                  </w:r>
                </w:p>
              </w:tc>
              <w:tc>
                <w:tcPr/>
                <w:p>
                  <w:pPr>
                    <w:pStyle w:val="Compact"/>
                    <w:jc w:val="center"/>
                    <w:jc w:val="center"/>
                  </w:pPr>
                  <w:r>
                    <w:t xml:space="preserve">0.058</w:t>
                  </w:r>
                </w:p>
              </w:tc>
              <w:tc>
                <w:tcPr/>
                <w:p>
                  <w:pPr>
                    <w:pStyle w:val="Compact"/>
                    <w:jc w:val="center"/>
                    <w:jc w:val="center"/>
                  </w:pPr>
                  <w:r>
                    <w:t xml:space="preserve">0.965</w:t>
                  </w:r>
                </w:p>
              </w:tc>
              <w:tc>
                <w:tcPr/>
                <w:p>
                  <w:pPr>
                    <w:pStyle w:val="Compact"/>
                    <w:jc w:val="center"/>
                    <w:jc w:val="center"/>
                  </w:pPr>
                  <w:r>
                    <w:t xml:space="preserve">0.961</w:t>
                  </w:r>
                </w:p>
              </w:tc>
            </w:tr>
          </w:tbl>
          <w:bookmarkEnd w:id="96"/>
          <w:p/>
        </w:tc>
      </w:tr>
    </w:tbl>
    <w:p>
      <w:pPr>
        <w:pStyle w:val="BodyText"/>
      </w:pPr>
      <w:r>
        <w:rPr>
          <w:vertAlign w:val="subscript"/>
        </w:rPr>
        <w:t xml:space="preserve">Source:</w:t>
      </w:r>
      <w:r>
        <w:rPr>
          <w:vertAlign w:val="subscript"/>
        </w:rPr>
        <w:t xml:space="preserve"> </w:t>
      </w:r>
      <w:hyperlink r:id="rId97">
        <w:r>
          <w:rPr>
            <w:rStyle w:val="Hyperlink"/>
            <w:vertAlign w:val="subscript"/>
          </w:rPr>
          <w:t xml:space="preserve">Simulation — Ideal Conditions</w:t>
        </w:r>
      </w:hyperlink>
    </w:p>
    <w:p>
      <w:pPr>
        <w:pStyle w:val="BodyText"/>
      </w:pPr>
      <w:r>
        <w:t xml:space="preserve">At</w:t>
      </w:r>
      <w:r>
        <w:t xml:space="preserve"> </w:t>
      </w:r>
      <m:oMath>
        <m:r>
          <m:t>N</m:t>
        </m:r>
        <m:r>
          <m:rPr>
            <m:sty m:val="p"/>
          </m:rPr>
          <m:t>=</m:t>
        </m:r>
        <m:r>
          <m:t>231</m:t>
        </m:r>
      </m:oMath>
      <w:r>
        <w:t xml:space="preserve">, the table shows that the estimated power was 0.9 for RMSEA, 0.995 for SRMR, and 0.801 for both CFI and TLI. Among the four indices, SRMR yielded the highest power, followed by RMSEA, whereas CFI and TLI produced the lowest and virtually identical power values.</w:t>
      </w:r>
    </w:p>
    <w:p>
      <w:pPr>
        <w:pStyle w:val="BodyText"/>
      </w:pPr>
      <w:r>
        <w:t xml:space="preserve">The empirical cutoff values were 0.039 for RMSEA, 0.058 for SRMR, 0.965 for CFI, and 0.961 for TLI. In practical terms, the rejection rule is stricter for RMSEA and SRMR above their cutoffs, and for CFI and TLI below their cutoffs.</w:t>
      </w:r>
    </w:p>
    <w:p>
      <w:pPr>
        <w:pStyle w:val="BodyText"/>
      </w:pPr>
      <w:r>
        <w:t xml:space="preserve">Taken together, the pattern of results is clear: SRMR &gt; RMSEA &gt; CFI/TLI in terms of power. Thus, within this specific analysis, SRMR provided the strongest discrimination, RMSEA also performed strongly, and CFI and TLI were just above the conventional</w:t>
      </w:r>
      <w:r>
        <w:t xml:space="preserve"> </w:t>
      </w:r>
      <m:oMath>
        <m:r>
          <m:t>0.80</m:t>
        </m:r>
      </m:oMath>
      <w:r>
        <w:t xml:space="preserve"> </w:t>
      </w:r>
      <w:r>
        <w:t xml:space="preserve">threshold.</w:t>
      </w:r>
    </w:p>
    <w:bookmarkStart w:id="105" w:name="X70068e6c6160cb41119ebf72f66dcb66c5fd7ee"/>
    <w:p>
      <w:pPr>
        <w:pStyle w:val="Heading3"/>
      </w:pPr>
      <w:r>
        <w:t xml:space="preserve">4.1 Traditional cutoff values for fit indices</w:t>
      </w:r>
    </w:p>
    <w:p>
      <w:pPr>
        <w:pStyle w:val="FirstParagraph"/>
      </w:pPr>
      <w:r>
        <w:t xml:space="preserve">When traditional cutoffs are used, the analysis adopts fixed threshold values such as</w:t>
      </w:r>
      <w:r>
        <w:t xml:space="preserve"> </w:t>
      </w:r>
      <m:oMath>
        <m:r>
          <m:rPr>
            <m:nor/>
            <m:sty m:val="p"/>
          </m:rPr>
          <m:t>RMSEA</m:t>
        </m:r>
        <m:r>
          <m:rPr>
            <m:sty m:val="p"/>
          </m:rPr>
          <m:t>≤</m:t>
        </m:r>
        <m:r>
          <m:t>.06</m:t>
        </m:r>
      </m:oMath>
      <w:r>
        <w:t xml:space="preserve">,</w:t>
      </w:r>
      <w:r>
        <w:t xml:space="preserve"> </w:t>
      </w:r>
      <m:oMath>
        <m:r>
          <m:rPr>
            <m:nor/>
            <m:sty m:val="p"/>
          </m:rPr>
          <m:t>CFI</m:t>
        </m:r>
        <m:r>
          <m:rPr>
            <m:sty m:val="p"/>
          </m:rPr>
          <m:t>≥</m:t>
        </m:r>
        <m:r>
          <m:t>.95</m:t>
        </m:r>
      </m:oMath>
      <w:r>
        <w:t xml:space="preserve">,</w:t>
      </w:r>
      <w:r>
        <w:t xml:space="preserve"> </w:t>
      </w:r>
      <m:oMath>
        <m:r>
          <m:rPr>
            <m:nor/>
            <m:sty m:val="p"/>
          </m:rPr>
          <m:t>TLI</m:t>
        </m:r>
        <m:r>
          <m:rPr>
            <m:sty m:val="p"/>
          </m:rPr>
          <m:t>≥</m:t>
        </m:r>
        <m:r>
          <m:t>.95</m:t>
        </m:r>
      </m:oMath>
      <w:r>
        <w:t xml:space="preserve">, and</w:t>
      </w:r>
      <w:r>
        <w:t xml:space="preserve"> </w:t>
      </w:r>
      <m:oMath>
        <m:r>
          <m:rPr>
            <m:nor/>
            <m:sty m:val="p"/>
          </m:rPr>
          <m:t>SRMR</m:t>
        </m:r>
        <m:r>
          <m:rPr>
            <m:sty m:val="p"/>
          </m:rPr>
          <m:t>≤</m:t>
        </m:r>
        <m:r>
          <m:t>.06</m:t>
        </m:r>
      </m:oMath>
      <w:r>
        <w:t xml:space="preserve"> </w:t>
      </w:r>
      <w:r>
        <w:t xml:space="preserve">as the decision boundaries for acceptable fit. Conceptually, this means that power is defined here as the proportion of replications in which the misspecified model crosses those predefined boundaries in the direction of worse fit.</w:t>
      </w:r>
    </w:p>
    <w:p>
      <w:pPr>
        <w:pStyle w:val="BodyText"/>
      </w:pPr>
      <w:r>
        <w:t xml:space="preserve">This setup is convenient because it mirrors common applied practice, but the literature also emphasizes that such rule-of-thumb cutoffs are not universally valid and should be interpreted cautiously, since fit measures are influenced by model features beyond the focal misspecification itself</w:t>
      </w:r>
      <w:r>
        <w:t xml:space="preserve"> </w:t>
      </w:r>
      <w:r>
        <w:t xml:space="preserve">(Jobst et al., 2023; Moshagen &amp; Bader, 2024)</w:t>
      </w:r>
      <w:r>
        <w:t xml:space="preserve">.</w:t>
      </w:r>
    </w:p>
    <w:p>
      <w:pPr>
        <w:pStyle w:val="BodyText"/>
      </w:pPr>
      <w:r>
        <w:t xml:space="preserve">A simulation-based power display is especially informative in SEM because it shows how the sampling behavior of fit indices changes as sample size varies, rather than relying only on a single summary value</w:t>
      </w:r>
      <w:r>
        <w:t xml:space="preserve"> </w:t>
      </w:r>
      <w:r>
        <w:t xml:space="preserve">(Moshagen &amp; Bader, 2024)</w:t>
      </w:r>
      <w:r>
        <w:t xml:space="preserve">. This is important because the same nominal cutoff may correspond to different practical rejection behavior depending on the model structure and the empirical distribution of the index under misspecification</w:t>
      </w:r>
      <w:r>
        <w:t xml:space="preserve"> </w:t>
      </w:r>
      <w:r>
        <w:t xml:space="preserve">(Jobst et al., 2023; Moshagen &amp; Bader, 2024)</w:t>
      </w:r>
      <w:r>
        <w:t xml:space="preserve">.</w:t>
      </w:r>
    </w:p>
    <w:p>
      <w:pPr>
        <w:pStyle w:val="BodyText"/>
      </w:pPr>
      <w:r>
        <w:t xml:space="preserve">For that reason, plotting fit-index-based power provides an intuitive bridge between formal power analysis and the applied decision rules researchers often use when judging model adequacy in substantive SEM work</w:t>
      </w:r>
      <w:r>
        <w:t xml:space="preserve"> </w:t>
      </w:r>
      <w:r>
        <w:t xml:space="preserve">(Jobst et al., 2023)</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fit-curve-traditional"/>
          <w:p>
            <w:pPr>
              <w:pStyle w:val="Compact"/>
              <w:jc w:val="center"/>
            </w:pPr>
            <w:r>
              <w:drawing>
                <wp:inline>
                  <wp:extent cx="5334000" cy="3333749"/>
                  <wp:effectExtent b="0" l="0" r="0" t="0"/>
                  <wp:docPr descr="" title="" id="99" name="Picture"/>
                  <a:graphic>
                    <a:graphicData uri="http://schemas.openxmlformats.org/drawingml/2006/picture">
                      <pic:pic>
                        <pic:nvPicPr>
                          <pic:cNvPr descr="index_files/figure-docx/Scripts-AnalysisScripts-03_simulation_ideal-fig-fit-curve-traditional-output-1.png" id="100" name="Picture"/>
                          <pic:cNvPicPr>
                            <a:picLocks noChangeArrowheads="1" noChangeAspect="1"/>
                          </pic:cNvPicPr>
                        </pic:nvPicPr>
                        <pic:blipFill>
                          <a:blip r:embed="rId98"/>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Power curves using traditional fit index cutoffs under ideal conditions.</w:t>
            </w:r>
          </w:p>
          <w:bookmarkEnd w:id="101"/>
        </w:tc>
      </w:tr>
    </w:tbl>
    <w:p>
      <w:pPr>
        <w:pStyle w:val="BodyText"/>
      </w:pPr>
      <w:r>
        <w:rPr>
          <w:vertAlign w:val="subscript"/>
        </w:rPr>
        <w:t xml:space="preserve">Source:</w:t>
      </w:r>
      <w:r>
        <w:rPr>
          <w:vertAlign w:val="subscript"/>
        </w:rPr>
        <w:t xml:space="preserve"> </w:t>
      </w:r>
      <w:hyperlink r:id="rId102">
        <w:r>
          <w:rPr>
            <w:rStyle w:val="Hyperlink"/>
            <w:vertAlign w:val="subscript"/>
          </w:rPr>
          <w:t xml:space="preserve">Simulation — Ideal Conditions</w:t>
        </w:r>
      </w:hyperlink>
    </w:p>
    <w:p>
      <w:pPr>
        <w:pStyle w:val="BodyText"/>
      </w:pPr>
      <w:r>
        <w:t xml:space="preserve">The figure shows that all four fit indices become more stable as sample size increases, with noticeably less dispersion from</w:t>
      </w:r>
      <w:r>
        <w:t xml:space="preserve"> </w:t>
      </w:r>
      <m:oMath>
        <m:r>
          <m:t>N</m:t>
        </m:r>
        <m:r>
          <m:rPr>
            <m:sty m:val="p"/>
          </m:rPr>
          <m:t>≈</m:t>
        </m:r>
        <m:r>
          <m:t>50</m:t>
        </m:r>
      </m:oMath>
      <w:r>
        <w:t xml:space="preserve"> </w:t>
      </w:r>
      <w:r>
        <w:t xml:space="preserve">to</w:t>
      </w:r>
      <w:r>
        <w:t xml:space="preserve"> </w:t>
      </w:r>
      <m:oMath>
        <m:r>
          <m:t>N</m:t>
        </m:r>
        <m:r>
          <m:rPr>
            <m:sty m:val="p"/>
          </m:rPr>
          <m:t>≈</m:t>
        </m:r>
        <m:r>
          <m:t>350</m:t>
        </m:r>
      </m:oMath>
      <w:r>
        <w:t xml:space="preserve">. At smaller sample sizes, the points are widely scattered in every panel, whereas at larger sample sizes the values concentrate into narrower bands.</w:t>
      </w:r>
    </w:p>
    <w:p>
      <w:pPr>
        <w:pStyle w:val="BodyText"/>
      </w:pPr>
      <w:r>
        <w:t xml:space="preserve">For</w:t>
      </w:r>
      <w:r>
        <w:t xml:space="preserve"> </w:t>
      </w:r>
      <w:r>
        <w:rPr>
          <w:b/>
          <w:bCs/>
        </w:rPr>
        <w:t xml:space="preserve">RMSEA</w:t>
      </w:r>
      <w:r>
        <w:t xml:space="preserve">, the black points decrease clearly as</w:t>
      </w:r>
      <w:r>
        <w:t xml:space="preserve"> </w:t>
      </w:r>
      <m:oMath>
        <m:r>
          <m:t>N</m:t>
        </m:r>
      </m:oMath>
      <w:r>
        <w:t xml:space="preserve"> </w:t>
      </w:r>
      <w:r>
        <w:t xml:space="preserve">increases and are mostly well below the red cutoff line at moderate and large sample sizes. However, at the red line cutoff of</w:t>
      </w:r>
      <w:r>
        <w:t xml:space="preserve"> </w:t>
      </w:r>
      <m:oMath>
        <m:r>
          <m:t>0.05</m:t>
        </m:r>
      </m:oMath>
      <w:r>
        <w:t xml:space="preserve">, the distinction is still weak because the light-blue points remain close to that threshold and there is substantial overlap. In practical terms, RMSEA would need a cutoff around</w:t>
      </w:r>
      <w:r>
        <w:t xml:space="preserve"> </w:t>
      </w:r>
      <m:oMath>
        <m:r>
          <m:t>0.04</m:t>
        </m:r>
      </m:oMath>
      <w:r>
        <w:t xml:space="preserve"> </w:t>
      </w:r>
      <w:r>
        <w:t xml:space="preserve">or lower to provide a clearer distinction in this figure.</w:t>
      </w:r>
    </w:p>
    <w:p>
      <w:pPr>
        <w:pStyle w:val="BodyText"/>
      </w:pPr>
      <w:r>
        <w:t xml:space="preserve">For</w:t>
      </w:r>
      <w:r>
        <w:t xml:space="preserve"> </w:t>
      </w:r>
      <w:r>
        <w:rPr>
          <w:b/>
          <w:bCs/>
        </w:rPr>
        <w:t xml:space="preserve">SRMR</w:t>
      </w:r>
      <w:r>
        <w:t xml:space="preserve">, the separation is visually the strongest. The black points decline from roughly</w:t>
      </w:r>
      <w:r>
        <w:t xml:space="preserve"> </w:t>
      </w:r>
      <m:oMath>
        <m:r>
          <m:t>0.09</m:t>
        </m:r>
      </m:oMath>
      <w:r>
        <w:t xml:space="preserve"> </w:t>
      </w:r>
      <w:r>
        <w:t xml:space="preserve">at low</w:t>
      </w:r>
      <w:r>
        <w:t xml:space="preserve"> </w:t>
      </w:r>
      <m:oMath>
        <m:r>
          <m:t>N</m:t>
        </m:r>
      </m:oMath>
      <w:r>
        <w:t xml:space="preserve"> </w:t>
      </w:r>
      <w:r>
        <w:t xml:space="preserve">to around</w:t>
      </w:r>
      <w:r>
        <w:t xml:space="preserve"> </w:t>
      </w:r>
      <m:oMath>
        <m:r>
          <m:t>0.03</m:t>
        </m:r>
      </m:oMath>
      <w:r>
        <w:t xml:space="preserve"> </w:t>
      </w:r>
      <w:r>
        <w:t xml:space="preserve">to</w:t>
      </w:r>
      <w:r>
        <w:t xml:space="preserve"> </w:t>
      </w:r>
      <m:oMath>
        <m:r>
          <m:t>0.04</m:t>
        </m:r>
      </m:oMath>
      <w:r>
        <w:t xml:space="preserve"> </w:t>
      </w:r>
      <w:r>
        <w:t xml:space="preserve">at high</w:t>
      </w:r>
      <w:r>
        <w:t xml:space="preserve"> </w:t>
      </w:r>
      <m:oMath>
        <m:r>
          <m:t>N</m:t>
        </m:r>
      </m:oMath>
      <w:r>
        <w:t xml:space="preserve">, while the light-blue points remain higher, mostly around</w:t>
      </w:r>
      <w:r>
        <w:t xml:space="preserve"> </w:t>
      </w:r>
      <m:oMath>
        <m:r>
          <m:t>0.07</m:t>
        </m:r>
      </m:oMath>
      <w:r>
        <w:t xml:space="preserve"> </w:t>
      </w:r>
      <w:r>
        <w:t xml:space="preserve">to</w:t>
      </w:r>
      <w:r>
        <w:t xml:space="preserve"> </w:t>
      </w:r>
      <m:oMath>
        <m:r>
          <m:t>0.09</m:t>
        </m:r>
      </m:oMath>
      <w:r>
        <w:t xml:space="preserve">. At the red cutoff of</w:t>
      </w:r>
      <w:r>
        <w:t xml:space="preserve"> </w:t>
      </w:r>
      <m:oMath>
        <m:r>
          <m:t>0.06</m:t>
        </m:r>
      </m:oMath>
      <w:r>
        <w:t xml:space="preserve">, SRMR is the only index that begins to make a clear distinction, and this becomes visible only when</w:t>
      </w:r>
      <w:r>
        <w:t xml:space="preserve"> </w:t>
      </w:r>
      <m:oMath>
        <m:r>
          <m:t>N</m:t>
        </m:r>
      </m:oMath>
      <w:r>
        <w:t xml:space="preserve"> </w:t>
      </w:r>
      <w:r>
        <w:t xml:space="preserve">is close to</w:t>
      </w:r>
      <w:r>
        <w:t xml:space="preserve"> </w:t>
      </w:r>
      <m:oMath>
        <m:r>
          <m:t>200</m:t>
        </m:r>
      </m:oMath>
      <w:r>
        <w:t xml:space="preserve"> </w:t>
      </w:r>
      <w:r>
        <w:t xml:space="preserve">or larger.</w:t>
      </w:r>
    </w:p>
    <w:p>
      <w:pPr>
        <w:pStyle w:val="BodyText"/>
      </w:pPr>
      <w:r>
        <w:t xml:space="preserve">For</w:t>
      </w:r>
      <w:r>
        <w:t xml:space="preserve"> </w:t>
      </w:r>
      <w:r>
        <w:rPr>
          <w:b/>
          <w:bCs/>
        </w:rPr>
        <w:t xml:space="preserve">CFI</w:t>
      </w:r>
      <w:r>
        <w:t xml:space="preserve">, both sets of points increase with</w:t>
      </w:r>
      <w:r>
        <w:t xml:space="preserve"> </w:t>
      </w:r>
      <m:oMath>
        <m:r>
          <m:t>N</m:t>
        </m:r>
      </m:oMath>
      <w:r>
        <w:t xml:space="preserve">, but at the red cutoff of</w:t>
      </w:r>
      <w:r>
        <w:t xml:space="preserve"> </w:t>
      </w:r>
      <m:oMath>
        <m:r>
          <m:t>0.95</m:t>
        </m:r>
      </m:oMath>
      <w:r>
        <w:t xml:space="preserve"> </w:t>
      </w:r>
      <w:r>
        <w:t xml:space="preserve">the two clouds are not clearly separated. Many light-blue points stay around that same region, so the cutoff does not create a meaningful visual distinction between the two groups.</w:t>
      </w:r>
    </w:p>
    <w:p>
      <w:pPr>
        <w:pStyle w:val="BodyText"/>
      </w:pPr>
      <w:r>
        <w:t xml:space="preserve">For</w:t>
      </w:r>
      <w:r>
        <w:t xml:space="preserve"> </w:t>
      </w:r>
      <w:r>
        <w:rPr>
          <w:b/>
          <w:bCs/>
        </w:rPr>
        <w:t xml:space="preserve">TLI</w:t>
      </w:r>
      <w:r>
        <w:t xml:space="preserve">, the pattern is very similar to CFI. Although the black points approach values close to</w:t>
      </w:r>
      <w:r>
        <w:t xml:space="preserve"> </w:t>
      </w:r>
      <m:oMath>
        <m:r>
          <m:t>1.00</m:t>
        </m:r>
      </m:oMath>
      <w:r>
        <w:t xml:space="preserve">, the light-blue points also cluster around the</w:t>
      </w:r>
      <w:r>
        <w:t xml:space="preserve"> </w:t>
      </w:r>
      <m:oMath>
        <m:r>
          <m:t>0.95</m:t>
        </m:r>
      </m:oMath>
      <w:r>
        <w:t xml:space="preserve"> </w:t>
      </w:r>
      <w:r>
        <w:t xml:space="preserve">region, so at this cutoff the red line does not provide a clear distinction either.</w:t>
      </w:r>
    </w:p>
    <w:p>
      <w:pPr>
        <w:pStyle w:val="BodyText"/>
      </w:pPr>
      <w:r>
        <w:t xml:space="preserve">Overall, when the red cutoff lines are used as the reference, only</w:t>
      </w:r>
      <w:r>
        <w:t xml:space="preserve"> </w:t>
      </w:r>
      <w:r>
        <w:rPr>
          <w:b/>
          <w:bCs/>
        </w:rPr>
        <w:t xml:space="preserve">SRMR</w:t>
      </w:r>
      <w:r>
        <w:t xml:space="preserve"> </w:t>
      </w:r>
      <w:r>
        <w:t xml:space="preserve">shows effective discrimination, and even then only after sample sizes approach</w:t>
      </w:r>
      <w:r>
        <w:t xml:space="preserve"> </w:t>
      </w:r>
      <m:oMath>
        <m:r>
          <m:t>N</m:t>
        </m:r>
        <m:r>
          <m:rPr>
            <m:sty m:val="p"/>
          </m:rPr>
          <m:t>≈</m:t>
        </m:r>
        <m:r>
          <m:t>200</m:t>
        </m:r>
      </m:oMath>
      <w:r>
        <w:t xml:space="preserve">. RMSEA shows some separation, but not enough at</w:t>
      </w:r>
      <w:r>
        <w:t xml:space="preserve"> </w:t>
      </w:r>
      <m:oMath>
        <m:r>
          <m:t>0.06</m:t>
        </m:r>
      </m:oMath>
      <w:r>
        <w:t xml:space="preserve">, suggesting that a cutoff near</w:t>
      </w:r>
      <w:r>
        <w:t xml:space="preserve"> </w:t>
      </w:r>
      <m:oMath>
        <m:r>
          <m:t>0.04</m:t>
        </m:r>
      </m:oMath>
      <w:r>
        <w:t xml:space="preserve"> </w:t>
      </w:r>
      <w:r>
        <w:t xml:space="preserve">would be more informative in this plot. At the</w:t>
      </w:r>
      <w:r>
        <w:t xml:space="preserve"> </w:t>
      </w:r>
      <m:oMath>
        <m:r>
          <m:t>0.95</m:t>
        </m:r>
      </m:oMath>
      <w:r>
        <w:t xml:space="preserve"> </w:t>
      </w:r>
      <w:r>
        <w:t xml:space="preserve">cutoff, CFI and TLI do not provide any meaningful distinction.</w:t>
      </w:r>
    </w:p>
    <w:p>
      <w:pPr>
        <w:pStyle w:val="BodyText"/>
      </w:pPr>
      <w:r>
        <w:t xml:space="preserve">The table below summarizes the power and cutoff values for each fit index at</w:t>
      </w:r>
      <w:r>
        <w:t xml:space="preserve"> </w:t>
      </w:r>
      <m:oMath>
        <m:r>
          <m:t>N</m:t>
        </m:r>
        <m:r>
          <m:rPr>
            <m:sty m:val="p"/>
          </m:rPr>
          <m:t>=</m:t>
        </m:r>
        <m:r>
          <m:t>231</m:t>
        </m:r>
      </m:oMath>
      <w:r>
        <w:t xml:space="preserve"> </w:t>
      </w:r>
      <w:r>
        <w:t xml:space="preserve">when traditional cutoffs are applied.</w:t>
      </w:r>
    </w:p>
    <w:tbl>
      <w:tblPr>
        <w:tblStyle w:val="Table"/>
        <w:tblW w:type="pct" w:w="5000"/>
        <w:tblLayout w:type="fixed"/>
        <w:tblLook w:firstRow="0" w:lastRow="0" w:firstColumn="0" w:lastColumn="0" w:noHBand="0" w:noVBand="0" w:val="0000"/>
      </w:tblPr>
      <w:tblGrid>
        <w:gridCol w:w="7920"/>
      </w:tblGrid>
      <w:tr>
        <w:tc>
          <w:tcPr/>
          <w:bookmarkStart w:id="103" w:name="tbl-power-cutoff-traditional"/>
          <w:p>
            <w:pPr>
              <w:jc w:val="center"/>
            </w:pPr>
            <w:pPr>
              <w:jc w:val="left"/>
              <w:spacing w:before="200"/>
              <w:pStyle w:val="ImageCaption"/>
            </w:pPr>
            <w:r>
              <w:t xml:space="preserve">Table 5: Power for traditional fit index cutoffs under ideal conditions at N = 231.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CFI</w:t>
                  </w:r>
                </w:p>
              </w:tc>
              <w:tc>
                <w:tcPr/>
                <w:p>
                  <w:pPr>
                    <w:pStyle w:val="Compact"/>
                    <w:jc w:val="center"/>
                    <w:jc w:val="center"/>
                  </w:pPr>
                  <w:r>
                    <w:t xml:space="preserve">TLI</w:t>
                  </w:r>
                </w:p>
              </w:tc>
              <w:tc>
                <w:tcPr/>
                <w:p>
                  <w:pPr>
                    <w:pStyle w:val="Compact"/>
                    <w:jc w:val="center"/>
                    <w:jc w:val="center"/>
                  </w:pPr>
                  <w:r>
                    <w:t xml:space="preserve">RMSEA</w:t>
                  </w:r>
                </w:p>
              </w:tc>
              <w:tc>
                <w:tcPr/>
                <w:p>
                  <w:pPr>
                    <w:pStyle w:val="Compact"/>
                    <w:jc w:val="center"/>
                    <w:jc w:val="center"/>
                  </w:pPr>
                  <w:r>
                    <w:t xml:space="preserve">SRMR</w:t>
                  </w:r>
                </w:p>
              </w:tc>
            </w:tr>
            <w:tr>
              <w:tc>
                <w:tcPr/>
                <w:p>
                  <w:pPr>
                    <w:pStyle w:val="Compact"/>
                    <w:jc w:val="center"/>
                  </w:pPr>
                  <w:r>
                    <w:t xml:space="preserve">Power</w:t>
                  </w:r>
                </w:p>
              </w:tc>
              <w:tc>
                <w:tcPr/>
                <w:p>
                  <w:pPr>
                    <w:pStyle w:val="Compact"/>
                    <w:jc w:val="center"/>
                    <w:jc w:val="center"/>
                  </w:pPr>
                  <w:r>
                    <w:t xml:space="preserve">0.381</w:t>
                  </w:r>
                </w:p>
              </w:tc>
              <w:tc>
                <w:tcPr/>
                <w:p>
                  <w:pPr>
                    <w:pStyle w:val="Compact"/>
                    <w:jc w:val="center"/>
                    <w:jc w:val="center"/>
                  </w:pPr>
                  <w:r>
                    <w:t xml:space="preserve">0.579</w:t>
                  </w:r>
                </w:p>
              </w:tc>
              <w:tc>
                <w:tcPr/>
                <w:p>
                  <w:pPr>
                    <w:pStyle w:val="Compact"/>
                    <w:jc w:val="center"/>
                    <w:jc w:val="center"/>
                  </w:pPr>
                  <w:r>
                    <w:t xml:space="preserve">0.153</w:t>
                  </w:r>
                </w:p>
              </w:tc>
              <w:tc>
                <w:tcPr/>
                <w:p>
                  <w:pPr>
                    <w:pStyle w:val="Compact"/>
                    <w:jc w:val="center"/>
                    <w:jc w:val="center"/>
                  </w:pPr>
                  <w:r>
                    <w:t xml:space="preserve">&gt; 0.98</w:t>
                  </w:r>
                </w:p>
              </w:tc>
            </w:tr>
          </w:tbl>
          <w:bookmarkEnd w:id="103"/>
          <w:p/>
        </w:tc>
      </w:tr>
    </w:tbl>
    <w:p>
      <w:pPr>
        <w:pStyle w:val="BodyText"/>
      </w:pPr>
      <w:r>
        <w:rPr>
          <w:vertAlign w:val="subscript"/>
        </w:rPr>
        <w:t xml:space="preserve">Source:</w:t>
      </w:r>
      <w:r>
        <w:rPr>
          <w:vertAlign w:val="subscript"/>
        </w:rPr>
        <w:t xml:space="preserve"> </w:t>
      </w:r>
      <w:hyperlink r:id="rId104">
        <w:r>
          <w:rPr>
            <w:rStyle w:val="Hyperlink"/>
            <w:vertAlign w:val="subscript"/>
          </w:rPr>
          <w:t xml:space="preserve">Simulation — Ideal Conditions</w:t>
        </w:r>
      </w:hyperlink>
    </w:p>
    <w:bookmarkEnd w:id="105"/>
    <w:bookmarkStart w:id="110" w:name="targeting-specific-parameters"/>
    <w:p>
      <w:pPr>
        <w:pStyle w:val="Heading3"/>
      </w:pPr>
      <w:r>
        <w:t xml:space="preserve">4.2 Targeting specific parameters</w:t>
      </w:r>
    </w:p>
    <w:p>
      <w:pPr>
        <w:pStyle w:val="FirstParagraph"/>
      </w:pPr>
      <w:r>
        <w:t xml:space="preserve">The previous analyses focused on global fit indices, which summarize overall model adequacy but do not directly address the power to detect specific parameter misspecifications. In this section, we evaluate power for a particular parameter (e.g.,</w:t>
      </w:r>
      <w:r>
        <w:t xml:space="preserve"> </w:t>
      </w:r>
      <m:oMath>
        <m:r>
          <m:t>Q</m:t>
        </m:r>
        <m:r>
          <m:t>8</m:t>
        </m:r>
      </m:oMath>
      <w:r>
        <w:t xml:space="preserve"> </w:t>
      </w:r>
      <w:r>
        <w:t xml:space="preserve">on the Physical factor) by defining the alternative condition as a population in which that parameter is set to zero, while the reference condition retains the original nonzero parameter. This approach allows us to assess the sensitivity of the analysis to detect a specific parameter misspecification rather than relying on global fit measures alone.</w:t>
      </w:r>
    </w:p>
    <w:p>
      <w:pPr>
        <w:pStyle w:val="BodyText"/>
      </w:pPr>
      <w:r>
        <w:t xml:space="preserve">From this perspective, Monte Carlo summaries such as bias, standard error bias, and confidence-interval coverage are not secondary diagnostics. They indicate whether the estimator behaves as expected in finite samples, that is, whether</w:t>
      </w:r>
      <w:r>
        <w:t xml:space="preserve"> </w:t>
      </w:r>
      <m:oMath>
        <m:acc>
          <m:accPr>
            <m:chr m:val="̂"/>
          </m:accPr>
          <m:e>
            <m:r>
              <m:t>θ</m:t>
            </m:r>
          </m:e>
        </m:acc>
      </m:oMath>
      <w:r>
        <w:t xml:space="preserve"> </w:t>
      </w:r>
      <w:r>
        <w:t xml:space="preserve">is centered around the population value</w:t>
      </w:r>
      <w:r>
        <w:t xml:space="preserve"> </w:t>
      </w:r>
      <m:oMath>
        <m:r>
          <m:t>θ</m:t>
        </m:r>
      </m:oMath>
      <w:r>
        <w:t xml:space="preserve">, whether the estimated uncertainty is calibrated, and whether the nominal interval actually contains the true parameter with approximately the intended frequency across replications</w:t>
      </w:r>
      <w:r>
        <w:t xml:space="preserve"> </w:t>
      </w:r>
      <w:r>
        <w:t xml:space="preserve">(Pornprasertmanit et al., 2021)</w:t>
      </w:r>
      <w:r>
        <w:t xml:space="preserve">.</w:t>
      </w:r>
    </w:p>
    <w:p>
      <w:pPr>
        <w:pStyle w:val="BodyText"/>
      </w:pPr>
      <w:r>
        <w:t xml:space="preserve">In</w:t>
      </w:r>
      <w:r>
        <w:t xml:space="preserve"> </w:t>
      </w:r>
      <w:hyperlink w:anchor="tbl-param-estimate-ideal">
        <w:r>
          <w:rPr>
            <w:rStyle w:val="Hyperlink"/>
          </w:rPr>
          <w:t xml:space="preserve">Table 6</w:t>
        </w:r>
      </w:hyperlink>
      <w:r>
        <w:t xml:space="preserve">,</w:t>
      </w:r>
      <w:r>
        <w:t xml:space="preserve"> </w:t>
      </w:r>
      <w:r>
        <w:rPr>
          <w:rStyle w:val="VerbatimChar"/>
        </w:rPr>
        <w:t xml:space="preserve">Rel Bias</w:t>
      </w:r>
      <w:r>
        <w:t xml:space="preserve"> </w:t>
      </w:r>
      <w:r>
        <w:t xml:space="preserve">refers to relative parameter bias,</w:t>
      </w:r>
      <w:r>
        <w:t xml:space="preserve"> </w:t>
      </w:r>
      <w:r>
        <w:rPr>
          <w:rStyle w:val="VerbatimChar"/>
        </w:rPr>
        <w:t xml:space="preserve">Rel SE Bias</w:t>
      </w:r>
      <w:r>
        <w:t xml:space="preserve"> </w:t>
      </w:r>
      <w:r>
        <w:t xml:space="preserve">refers to relative standard-error bias,</w:t>
      </w:r>
      <w:r>
        <w:t xml:space="preserve"> </w:t>
      </w:r>
      <w:r>
        <w:rPr>
          <w:rStyle w:val="VerbatimChar"/>
        </w:rPr>
        <w:t xml:space="preserve">Coverage</w:t>
      </w:r>
      <w:r>
        <w:t xml:space="preserve"> </w:t>
      </w:r>
      <w:r>
        <w:t xml:space="preserve">is the proportion of confidence intervals that contain the true value, and</w:t>
      </w:r>
      <w:r>
        <w:t xml:space="preserve"> </w:t>
      </w:r>
      <w:r>
        <w:rPr>
          <w:rStyle w:val="VerbatimChar"/>
        </w:rPr>
        <w:t xml:space="preserve">Power (Not equal 0)</w:t>
      </w:r>
      <w:r>
        <w:t xml:space="preserve"> </w:t>
      </w:r>
      <w:r>
        <w:t xml:space="preserve">is the proportion of replications in which the parameter is detected as different from zero at the chosen significance level</w:t>
      </w:r>
      <w:r>
        <w:t xml:space="preserve"> </w:t>
      </w:r>
      <w:r>
        <w:t xml:space="preserve">(Pornprasertmanit et al., 2021)</w:t>
      </w:r>
      <w:r>
        <w:t xml:space="preserve">. A parameter may show high power and still be poorly recovered if its estimate is biased or its standard error is poorly calibrated, so detection and estimation quality should be evaluated separately</w:t>
      </w:r>
      <w:r>
        <w:t xml:space="preserve"> </w:t>
      </w:r>
      <w:r>
        <w:t xml:space="preserve">(Jobst et al., 2023; Moshagen &amp; Bader, 2024; Pornprasertmanit et al., 2021)</w:t>
      </w:r>
      <w:r>
        <w:t xml:space="preserve">.</w:t>
      </w:r>
    </w:p>
    <w:p>
      <w:pPr>
        <w:pStyle w:val="BodyText"/>
      </w:pPr>
      <w:r>
        <w:t xml:space="preserve">Overall, the results below are favorable for most parameters, but they also show that power, bias, standard-error bias, and coverage do not tell exactly the same story. The correct interpretation therefore needs to combine all four indicators, rather than relying only on power or only on the required</w:t>
      </w:r>
      <w:r>
        <w:t xml:space="preserve"> </w:t>
      </w:r>
      <m:oMath>
        <m:r>
          <m:t>N</m:t>
        </m:r>
      </m:oMath>
      <w:r>
        <w:t xml:space="preserve"> </w:t>
      </w:r>
      <w:r>
        <w:t xml:space="preserve">(Jobst et al., 2023; Moshagen &amp; Bader, 2024; 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06" w:name="tbl-param-estimate-ideal"/>
          <w:p>
            <w:pPr>
              <w:jc w:val="center"/>
            </w:pPr>
            <w:pPr>
              <w:jc w:val="left"/>
              <w:spacing w:before="200"/>
              <w:pStyle w:val="ImageCaption"/>
            </w:pPr>
            <w:r>
              <w:t xml:space="preserve">Table 6: Summary of parameter estimates under ideal conditions.</w:t>
            </w:r>
          </w:p>
          <w:p>
            <w:pPr>
              <w:pStyle w:val="Compact"/>
              <w:jc w:val="center"/>
            </w:pPr>
            <w:r>
              <w:t xml:space="preserve">Parameter estimates under ideal conditions {quarto-postprocess='true'}</w:t>
            </w:r>
          </w:p>
          <w:tbl>
            <w:tblPr>
              <w:tblStyle w:val="Table"/>
              <w:tblW w:type="auto" w:w="0"/>
              <w:tblLook w:firstRow="1" w:lastRow="0" w:firstColumn="0" w:lastColumn="0" w:noHBand="0" w:noVBand="0" w:val="0020"/>
              <w:tblCaption w:val="Parameter estimates under ideal conditions {quarto-postprocess='true'}"/>
            </w:tblPr>
            <w:tblGrid>
              <w:gridCol w:w="1584"/>
              <w:gridCol w:w="1584"/>
              <w:gridCol w:w="1584"/>
              <w:gridCol w:w="1584"/>
              <w:gridCol w:w="1584"/>
            </w:tblGrid>
            <w:tr>
              <w:trPr>
                <w:tblHeader w:val="on"/>
              </w:trPr>
              <w:tc>
                <w:tcPr/>
                <w:p>
                  <w:pPr>
                    <w:pStyle w:val="Compact"/>
                    <w:jc w:val="left"/>
                    <w:jc w:val="center"/>
                  </w:pPr>
                  <w:r>
                    <w:t xml:space="preserve">Parameter</w:t>
                  </w:r>
                </w:p>
              </w:tc>
              <w:tc>
                <w:tcPr/>
                <w:p>
                  <w:pPr>
                    <w:pStyle w:val="Compact"/>
                    <w:jc w:val="center"/>
                    <w:jc w:val="center"/>
                  </w:pPr>
                  <w:r>
                    <w:t xml:space="preserve">Rel Bias</w:t>
                  </w:r>
                </w:p>
              </w:tc>
              <w:tc>
                <w:tcPr/>
                <w:p>
                  <w:pPr>
                    <w:pStyle w:val="Compact"/>
                    <w:jc w:val="center"/>
                    <w:jc w:val="center"/>
                  </w:pPr>
                  <w:r>
                    <w:t xml:space="preserve">Rel SE Bias</w:t>
                  </w:r>
                </w:p>
              </w:tc>
              <w:tc>
                <w:tcPr/>
                <w:p>
                  <w:pPr>
                    <w:pStyle w:val="Compact"/>
                    <w:jc w:val="center"/>
                    <w:jc w:val="center"/>
                  </w:pPr>
                  <w:r>
                    <w:t xml:space="preserve">Coverage</w:t>
                  </w:r>
                </w:p>
              </w:tc>
              <w:tc>
                <w:tcPr/>
                <w:p>
                  <w:pPr>
                    <w:pStyle w:val="Compact"/>
                    <w:jc w:val="center"/>
                    <w:jc w:val="center"/>
                  </w:pPr>
                  <w:r>
                    <w:t xml:space="preserve">Power (Not equal 0)</w:t>
                  </w:r>
                </w:p>
              </w:tc>
            </w:tr>
            <w:tr>
              <w:tc>
                <w:tcPr/>
                <w:p>
                  <w:pPr>
                    <w:pStyle w:val="Compact"/>
                    <w:jc w:val="left"/>
                    <w:jc w:val="center"/>
                  </w:pPr>
                  <w:r>
                    <w:t xml:space="preserve">psycho=~Q5</w:t>
                  </w:r>
                </w:p>
              </w:tc>
              <w:tc>
                <w:tcPr/>
                <w:p>
                  <w:pPr>
                    <w:pStyle w:val="Compact"/>
                    <w:jc w:val="center"/>
                    <w:jc w:val="center"/>
                  </w:pPr>
                  <w:r>
                    <w:t xml:space="preserve">-0.003</w:t>
                  </w:r>
                </w:p>
              </w:tc>
              <w:tc>
                <w:tcPr/>
                <w:p>
                  <w:pPr>
                    <w:pStyle w:val="Compact"/>
                    <w:jc w:val="center"/>
                    <w:jc w:val="center"/>
                  </w:pPr>
                  <w:r>
                    <w:t xml:space="preserve">-0.043</w:t>
                  </w:r>
                </w:p>
              </w:tc>
              <w:tc>
                <w:tcPr/>
                <w:p>
                  <w:pPr>
                    <w:pStyle w:val="Compact"/>
                    <w:jc w:val="center"/>
                    <w:jc w:val="center"/>
                  </w:pPr>
                  <w:r>
                    <w:t xml:space="preserve">0.947</w:t>
                  </w:r>
                </w:p>
              </w:tc>
              <w:tc>
                <w:tcPr/>
                <w:p>
                  <w:pPr>
                    <w:pStyle w:val="Compact"/>
                    <w:jc w:val="center"/>
                    <w:jc w:val="center"/>
                  </w:pPr>
                  <w:r>
                    <w:t xml:space="preserve">1.000</w:t>
                  </w:r>
                </w:p>
              </w:tc>
            </w:tr>
            <w:tr>
              <w:tc>
                <w:tcPr/>
                <w:p>
                  <w:pPr>
                    <w:pStyle w:val="Compact"/>
                    <w:jc w:val="left"/>
                    <w:jc w:val="center"/>
                  </w:pPr>
                  <w:r>
                    <w:t xml:space="preserve">psycho=~Q6</w:t>
                  </w:r>
                </w:p>
              </w:tc>
              <w:tc>
                <w:tcPr/>
                <w:p>
                  <w:pPr>
                    <w:pStyle w:val="Compact"/>
                    <w:jc w:val="center"/>
                    <w:jc w:val="center"/>
                  </w:pPr>
                  <w:r>
                    <w:t xml:space="preserve">-0.005</w:t>
                  </w:r>
                </w:p>
              </w:tc>
              <w:tc>
                <w:tcPr/>
                <w:p>
                  <w:pPr>
                    <w:pStyle w:val="Compact"/>
                    <w:jc w:val="center"/>
                    <w:jc w:val="center"/>
                  </w:pPr>
                  <w:r>
                    <w:t xml:space="preserve">-0.084</w:t>
                  </w:r>
                </w:p>
              </w:tc>
              <w:tc>
                <w:tcPr/>
                <w:p>
                  <w:pPr>
                    <w:pStyle w:val="Compact"/>
                    <w:jc w:val="center"/>
                    <w:jc w:val="center"/>
                  </w:pPr>
                  <w:r>
                    <w:t xml:space="preserve">0.937</w:t>
                  </w:r>
                </w:p>
              </w:tc>
              <w:tc>
                <w:tcPr/>
                <w:p>
                  <w:pPr>
                    <w:pStyle w:val="Compact"/>
                    <w:jc w:val="center"/>
                    <w:jc w:val="center"/>
                  </w:pPr>
                  <w:r>
                    <w:t xml:space="preserve">1.000</w:t>
                  </w:r>
                </w:p>
              </w:tc>
            </w:tr>
            <w:tr>
              <w:tc>
                <w:tcPr/>
                <w:p>
                  <w:pPr>
                    <w:pStyle w:val="Compact"/>
                    <w:jc w:val="left"/>
                    <w:jc w:val="center"/>
                  </w:pPr>
                  <w:r>
                    <w:t xml:space="preserve">psycho=~Q7</w:t>
                  </w:r>
                </w:p>
              </w:tc>
              <w:tc>
                <w:tcPr/>
                <w:p>
                  <w:pPr>
                    <w:pStyle w:val="Compact"/>
                    <w:jc w:val="center"/>
                    <w:jc w:val="center"/>
                  </w:pPr>
                  <w:r>
                    <w:t xml:space="preserve">-0.004</w:t>
                  </w:r>
                </w:p>
              </w:tc>
              <w:tc>
                <w:tcPr/>
                <w:p>
                  <w:pPr>
                    <w:pStyle w:val="Compact"/>
                    <w:jc w:val="center"/>
                    <w:jc w:val="center"/>
                  </w:pPr>
                  <w:r>
                    <w:t xml:space="preserve">-0.066</w:t>
                  </w:r>
                </w:p>
              </w:tc>
              <w:tc>
                <w:tcPr/>
                <w:p>
                  <w:pPr>
                    <w:pStyle w:val="Compact"/>
                    <w:jc w:val="center"/>
                    <w:jc w:val="center"/>
                  </w:pPr>
                  <w:r>
                    <w:t xml:space="preserve">0.940</w:t>
                  </w:r>
                </w:p>
              </w:tc>
              <w:tc>
                <w:tcPr/>
                <w:p>
                  <w:pPr>
                    <w:pStyle w:val="Compact"/>
                    <w:jc w:val="center"/>
                    <w:jc w:val="center"/>
                  </w:pPr>
                  <w:r>
                    <w:t xml:space="preserve">1.000</w:t>
                  </w:r>
                </w:p>
              </w:tc>
            </w:tr>
            <w:tr>
              <w:tc>
                <w:tcPr/>
                <w:p>
                  <w:pPr>
                    <w:pStyle w:val="Compact"/>
                    <w:jc w:val="left"/>
                    <w:jc w:val="center"/>
                  </w:pPr>
                  <w:r>
                    <w:t xml:space="preserve">psycho=~Q11</w:t>
                  </w:r>
                </w:p>
              </w:tc>
              <w:tc>
                <w:tcPr/>
                <w:p>
                  <w:pPr>
                    <w:pStyle w:val="Compact"/>
                    <w:jc w:val="center"/>
                    <w:jc w:val="center"/>
                  </w:pPr>
                  <w:r>
                    <w:t xml:space="preserve">-0.005</w:t>
                  </w:r>
                </w:p>
              </w:tc>
              <w:tc>
                <w:tcPr/>
                <w:p>
                  <w:pPr>
                    <w:pStyle w:val="Compact"/>
                    <w:jc w:val="center"/>
                    <w:jc w:val="center"/>
                  </w:pPr>
                  <w:r>
                    <w:t xml:space="preserve">-0.050</w:t>
                  </w:r>
                </w:p>
              </w:tc>
              <w:tc>
                <w:tcPr/>
                <w:p>
                  <w:pPr>
                    <w:pStyle w:val="Compact"/>
                    <w:jc w:val="center"/>
                    <w:jc w:val="center"/>
                  </w:pPr>
                  <w:r>
                    <w:t xml:space="preserve">0.945</w:t>
                  </w:r>
                </w:p>
              </w:tc>
              <w:tc>
                <w:tcPr/>
                <w:p>
                  <w:pPr>
                    <w:pStyle w:val="Compact"/>
                    <w:jc w:val="center"/>
                    <w:jc w:val="center"/>
                  </w:pPr>
                  <w:r>
                    <w:t xml:space="preserve">1.000</w:t>
                  </w:r>
                </w:p>
              </w:tc>
            </w:tr>
            <w:tr>
              <w:tc>
                <w:tcPr/>
                <w:p>
                  <w:pPr>
                    <w:pStyle w:val="Compact"/>
                    <w:jc w:val="left"/>
                    <w:jc w:val="center"/>
                  </w:pPr>
                  <w:r>
                    <w:t xml:space="preserve">psycho=~Q19</w:t>
                  </w:r>
                </w:p>
              </w:tc>
              <w:tc>
                <w:tcPr/>
                <w:p>
                  <w:pPr>
                    <w:pStyle w:val="Compact"/>
                    <w:jc w:val="center"/>
                    <w:jc w:val="center"/>
                  </w:pPr>
                  <w:r>
                    <w:t xml:space="preserve">-0.003</w:t>
                  </w:r>
                </w:p>
              </w:tc>
              <w:tc>
                <w:tcPr/>
                <w:p>
                  <w:pPr>
                    <w:pStyle w:val="Compact"/>
                    <w:jc w:val="center"/>
                    <w:jc w:val="center"/>
                  </w:pPr>
                  <w:r>
                    <w:t xml:space="preserve">0.000</w:t>
                  </w:r>
                </w:p>
              </w:tc>
              <w:tc>
                <w:tcPr/>
                <w:p>
                  <w:pPr>
                    <w:pStyle w:val="Compact"/>
                    <w:jc w:val="center"/>
                    <w:jc w:val="center"/>
                  </w:pPr>
                  <w:r>
                    <w:t xml:space="preserve">0.953</w:t>
                  </w:r>
                </w:p>
              </w:tc>
              <w:tc>
                <w:tcPr/>
                <w:p>
                  <w:pPr>
                    <w:pStyle w:val="Compact"/>
                    <w:jc w:val="center"/>
                    <w:jc w:val="center"/>
                  </w:pPr>
                  <w:r>
                    <w:t xml:space="preserve">1.000</w:t>
                  </w:r>
                </w:p>
              </w:tc>
            </w:tr>
            <w:tr>
              <w:tc>
                <w:tcPr/>
                <w:p>
                  <w:pPr>
                    <w:pStyle w:val="Compact"/>
                    <w:jc w:val="left"/>
                    <w:jc w:val="center"/>
                  </w:pPr>
                  <w:r>
                    <w:t xml:space="preserve">psycho=~Q26</w:t>
                  </w:r>
                </w:p>
              </w:tc>
              <w:tc>
                <w:tcPr/>
                <w:p>
                  <w:pPr>
                    <w:pStyle w:val="Compact"/>
                    <w:jc w:val="center"/>
                    <w:jc w:val="center"/>
                  </w:pPr>
                  <w:r>
                    <w:t xml:space="preserve">-0.006</w:t>
                  </w:r>
                </w:p>
              </w:tc>
              <w:tc>
                <w:tcPr/>
                <w:p>
                  <w:pPr>
                    <w:pStyle w:val="Compact"/>
                    <w:jc w:val="center"/>
                    <w:jc w:val="center"/>
                  </w:pPr>
                  <w:r>
                    <w:t xml:space="preserve">-0.079</w:t>
                  </w:r>
                </w:p>
              </w:tc>
              <w:tc>
                <w:tcPr/>
                <w:p>
                  <w:pPr>
                    <w:pStyle w:val="Compact"/>
                    <w:jc w:val="center"/>
                    <w:jc w:val="center"/>
                  </w:pPr>
                  <w:r>
                    <w:t xml:space="preserve">0.938</w:t>
                  </w:r>
                </w:p>
              </w:tc>
              <w:tc>
                <w:tcPr/>
                <w:p>
                  <w:pPr>
                    <w:pStyle w:val="Compact"/>
                    <w:jc w:val="center"/>
                    <w:jc w:val="center"/>
                  </w:pPr>
                  <w:r>
                    <w:t xml:space="preserve">1.000</w:t>
                  </w:r>
                </w:p>
              </w:tc>
            </w:tr>
            <w:tr>
              <w:tc>
                <w:tcPr/>
                <w:p>
                  <w:pPr>
                    <w:pStyle w:val="Compact"/>
                    <w:jc w:val="left"/>
                    <w:jc w:val="center"/>
                  </w:pPr>
                  <w:r>
                    <w:t xml:space="preserve">physical=~Q3</w:t>
                  </w:r>
                </w:p>
              </w:tc>
              <w:tc>
                <w:tcPr/>
                <w:p>
                  <w:pPr>
                    <w:pStyle w:val="Compact"/>
                    <w:jc w:val="center"/>
                    <w:jc w:val="center"/>
                  </w:pPr>
                  <w:r>
                    <w:t xml:space="preserve">-0.011</w:t>
                  </w:r>
                </w:p>
              </w:tc>
              <w:tc>
                <w:tcPr/>
                <w:p>
                  <w:pPr>
                    <w:pStyle w:val="Compact"/>
                    <w:jc w:val="center"/>
                    <w:jc w:val="center"/>
                  </w:pPr>
                  <w:r>
                    <w:t xml:space="preserve">-0.063</w:t>
                  </w:r>
                </w:p>
              </w:tc>
              <w:tc>
                <w:tcPr/>
                <w:p>
                  <w:pPr>
                    <w:pStyle w:val="Compact"/>
                    <w:jc w:val="center"/>
                    <w:jc w:val="center"/>
                  </w:pPr>
                  <w:r>
                    <w:t xml:space="preserve">0.947</w:t>
                  </w:r>
                </w:p>
              </w:tc>
              <w:tc>
                <w:tcPr/>
                <w:p>
                  <w:pPr>
                    <w:pStyle w:val="Compact"/>
                    <w:jc w:val="center"/>
                    <w:jc w:val="center"/>
                  </w:pPr>
                  <w:r>
                    <w:t xml:space="preserve">1.000</w:t>
                  </w:r>
                </w:p>
              </w:tc>
            </w:tr>
            <w:tr>
              <w:tc>
                <w:tcPr/>
                <w:p>
                  <w:pPr>
                    <w:pStyle w:val="Compact"/>
                    <w:jc w:val="left"/>
                    <w:jc w:val="center"/>
                  </w:pPr>
                  <w:r>
                    <w:t xml:space="preserve">physical=~Q4</w:t>
                  </w:r>
                </w:p>
              </w:tc>
              <w:tc>
                <w:tcPr/>
                <w:p>
                  <w:pPr>
                    <w:pStyle w:val="Compact"/>
                    <w:jc w:val="center"/>
                    <w:jc w:val="center"/>
                  </w:pPr>
                  <w:r>
                    <w:t xml:space="preserve">-0.006</w:t>
                  </w:r>
                </w:p>
              </w:tc>
              <w:tc>
                <w:tcPr/>
                <w:p>
                  <w:pPr>
                    <w:pStyle w:val="Compact"/>
                    <w:jc w:val="center"/>
                    <w:jc w:val="center"/>
                  </w:pPr>
                  <w:r>
                    <w:t xml:space="preserve">-0.066</w:t>
                  </w:r>
                </w:p>
              </w:tc>
              <w:tc>
                <w:tcPr/>
                <w:p>
                  <w:pPr>
                    <w:pStyle w:val="Compact"/>
                    <w:jc w:val="center"/>
                    <w:jc w:val="center"/>
                  </w:pPr>
                  <w:r>
                    <w:t xml:space="preserve">0.945</w:t>
                  </w:r>
                </w:p>
              </w:tc>
              <w:tc>
                <w:tcPr/>
                <w:p>
                  <w:pPr>
                    <w:pStyle w:val="Compact"/>
                    <w:jc w:val="center"/>
                    <w:jc w:val="center"/>
                  </w:pPr>
                  <w:r>
                    <w:t xml:space="preserve">1.000</w:t>
                  </w:r>
                </w:p>
              </w:tc>
            </w:tr>
            <w:tr>
              <w:tc>
                <w:tcPr/>
                <w:p>
                  <w:pPr>
                    <w:pStyle w:val="Compact"/>
                    <w:jc w:val="left"/>
                    <w:jc w:val="center"/>
                  </w:pPr>
                  <w:r>
                    <w:t xml:space="preserve">physical=~Q10</w:t>
                  </w:r>
                </w:p>
              </w:tc>
              <w:tc>
                <w:tcPr/>
                <w:p>
                  <w:pPr>
                    <w:pStyle w:val="Compact"/>
                    <w:jc w:val="center"/>
                    <w:jc w:val="center"/>
                  </w:pPr>
                  <w:r>
                    <w:t xml:space="preserve">-0.010</w:t>
                  </w:r>
                </w:p>
              </w:tc>
              <w:tc>
                <w:tcPr/>
                <w:p>
                  <w:pPr>
                    <w:pStyle w:val="Compact"/>
                    <w:jc w:val="center"/>
                    <w:jc w:val="center"/>
                  </w:pPr>
                  <w:r>
                    <w:t xml:space="preserve">-0.062</w:t>
                  </w:r>
                </w:p>
              </w:tc>
              <w:tc>
                <w:tcPr/>
                <w:p>
                  <w:pPr>
                    <w:pStyle w:val="Compact"/>
                    <w:jc w:val="center"/>
                    <w:jc w:val="center"/>
                  </w:pPr>
                  <w:r>
                    <w:t xml:space="preserve">0.947</w:t>
                  </w:r>
                </w:p>
              </w:tc>
              <w:tc>
                <w:tcPr/>
                <w:p>
                  <w:pPr>
                    <w:pStyle w:val="Compact"/>
                    <w:jc w:val="center"/>
                    <w:jc w:val="center"/>
                  </w:pPr>
                  <w:r>
                    <w:t xml:space="preserve">1.000</w:t>
                  </w:r>
                </w:p>
              </w:tc>
            </w:tr>
            <w:tr>
              <w:tc>
                <w:tcPr/>
                <w:p>
                  <w:pPr>
                    <w:pStyle w:val="Compact"/>
                    <w:jc w:val="left"/>
                    <w:jc w:val="center"/>
                  </w:pPr>
                  <w:r>
                    <w:t xml:space="preserve">physical=~Q15</w:t>
                  </w:r>
                </w:p>
              </w:tc>
              <w:tc>
                <w:tcPr/>
                <w:p>
                  <w:pPr>
                    <w:pStyle w:val="Compact"/>
                    <w:jc w:val="center"/>
                    <w:jc w:val="center"/>
                  </w:pPr>
                  <w:r>
                    <w:t xml:space="preserve">0.068</w:t>
                  </w:r>
                </w:p>
              </w:tc>
              <w:tc>
                <w:tcPr/>
                <w:p>
                  <w:pPr>
                    <w:pStyle w:val="Compact"/>
                    <w:jc w:val="center"/>
                    <w:jc w:val="center"/>
                  </w:pPr>
                  <w:r>
                    <w:t xml:space="preserve">-0.106</w:t>
                  </w:r>
                </w:p>
              </w:tc>
              <w:tc>
                <w:tcPr/>
                <w:p>
                  <w:pPr>
                    <w:pStyle w:val="Compact"/>
                    <w:jc w:val="center"/>
                    <w:jc w:val="center"/>
                  </w:pPr>
                  <w:r>
                    <w:t xml:space="preserve">0.871</w:t>
                  </w:r>
                </w:p>
              </w:tc>
              <w:tc>
                <w:tcPr/>
                <w:p>
                  <w:pPr>
                    <w:pStyle w:val="Compact"/>
                    <w:jc w:val="center"/>
                    <w:jc w:val="center"/>
                  </w:pPr>
                  <w:r>
                    <w:t xml:space="preserve">1.000</w:t>
                  </w:r>
                </w:p>
              </w:tc>
            </w:tr>
            <w:tr>
              <w:tc>
                <w:tcPr/>
                <w:p>
                  <w:pPr>
                    <w:pStyle w:val="Compact"/>
                    <w:jc w:val="left"/>
                    <w:jc w:val="center"/>
                  </w:pPr>
                  <w:r>
                    <w:t xml:space="preserve">physical=~Q16</w:t>
                  </w:r>
                </w:p>
              </w:tc>
              <w:tc>
                <w:tcPr/>
                <w:p>
                  <w:pPr>
                    <w:pStyle w:val="Compact"/>
                    <w:jc w:val="center"/>
                    <w:jc w:val="center"/>
                  </w:pPr>
                  <w:r>
                    <w:t xml:space="preserve">-0.011</w:t>
                  </w:r>
                </w:p>
              </w:tc>
              <w:tc>
                <w:tcPr/>
                <w:p>
                  <w:pPr>
                    <w:pStyle w:val="Compact"/>
                    <w:jc w:val="center"/>
                    <w:jc w:val="center"/>
                  </w:pPr>
                  <w:r>
                    <w:t xml:space="preserve">-0.061</w:t>
                  </w:r>
                </w:p>
              </w:tc>
              <w:tc>
                <w:tcPr/>
                <w:p>
                  <w:pPr>
                    <w:pStyle w:val="Compact"/>
                    <w:jc w:val="center"/>
                    <w:jc w:val="center"/>
                  </w:pPr>
                  <w:r>
                    <w:t xml:space="preserve">0.941</w:t>
                  </w:r>
                </w:p>
              </w:tc>
              <w:tc>
                <w:tcPr/>
                <w:p>
                  <w:pPr>
                    <w:pStyle w:val="Compact"/>
                    <w:jc w:val="center"/>
                    <w:jc w:val="center"/>
                  </w:pPr>
                  <w:r>
                    <w:t xml:space="preserve">1.000</w:t>
                  </w:r>
                </w:p>
              </w:tc>
            </w:tr>
            <w:tr>
              <w:tc>
                <w:tcPr/>
                <w:p>
                  <w:pPr>
                    <w:pStyle w:val="Compact"/>
                    <w:jc w:val="left"/>
                    <w:jc w:val="center"/>
                  </w:pPr>
                  <w:r>
                    <w:t xml:space="preserve">physical=~Q17</w:t>
                  </w:r>
                </w:p>
              </w:tc>
              <w:tc>
                <w:tcPr/>
                <w:p>
                  <w:pPr>
                    <w:pStyle w:val="Compact"/>
                    <w:jc w:val="center"/>
                    <w:jc w:val="center"/>
                  </w:pPr>
                  <w:r>
                    <w:t xml:space="preserve">-0.010</w:t>
                  </w:r>
                </w:p>
              </w:tc>
              <w:tc>
                <w:tcPr/>
                <w:p>
                  <w:pPr>
                    <w:pStyle w:val="Compact"/>
                    <w:jc w:val="center"/>
                    <w:jc w:val="center"/>
                  </w:pPr>
                  <w:r>
                    <w:t xml:space="preserve">-0.090</w:t>
                  </w:r>
                </w:p>
              </w:tc>
              <w:tc>
                <w:tcPr/>
                <w:p>
                  <w:pPr>
                    <w:pStyle w:val="Compact"/>
                    <w:jc w:val="center"/>
                    <w:jc w:val="center"/>
                  </w:pPr>
                  <w:r>
                    <w:t xml:space="preserve">0.931</w:t>
                  </w:r>
                </w:p>
              </w:tc>
              <w:tc>
                <w:tcPr/>
                <w:p>
                  <w:pPr>
                    <w:pStyle w:val="Compact"/>
                    <w:jc w:val="center"/>
                    <w:jc w:val="center"/>
                  </w:pPr>
                  <w:r>
                    <w:t xml:space="preserve">1.000</w:t>
                  </w:r>
                </w:p>
              </w:tc>
            </w:tr>
            <w:tr>
              <w:tc>
                <w:tcPr/>
                <w:p>
                  <w:pPr>
                    <w:pStyle w:val="Compact"/>
                    <w:jc w:val="left"/>
                    <w:jc w:val="center"/>
                  </w:pPr>
                  <w:r>
                    <w:t xml:space="preserve">physical=~Q18</w:t>
                  </w:r>
                </w:p>
              </w:tc>
              <w:tc>
                <w:tcPr/>
                <w:p>
                  <w:pPr>
                    <w:pStyle w:val="Compact"/>
                    <w:jc w:val="center"/>
                    <w:jc w:val="center"/>
                  </w:pPr>
                  <w:r>
                    <w:t xml:space="preserve">-0.011</w:t>
                  </w:r>
                </w:p>
              </w:tc>
              <w:tc>
                <w:tcPr/>
                <w:p>
                  <w:pPr>
                    <w:pStyle w:val="Compact"/>
                    <w:jc w:val="center"/>
                    <w:jc w:val="center"/>
                  </w:pPr>
                  <w:r>
                    <w:t xml:space="preserve">-0.077</w:t>
                  </w:r>
                </w:p>
              </w:tc>
              <w:tc>
                <w:tcPr/>
                <w:p>
                  <w:pPr>
                    <w:pStyle w:val="Compact"/>
                    <w:jc w:val="center"/>
                    <w:jc w:val="center"/>
                  </w:pPr>
                  <w:r>
                    <w:t xml:space="preserve">0.938</w:t>
                  </w:r>
                </w:p>
              </w:tc>
              <w:tc>
                <w:tcPr/>
                <w:p>
                  <w:pPr>
                    <w:pStyle w:val="Compact"/>
                    <w:jc w:val="center"/>
                    <w:jc w:val="center"/>
                  </w:pPr>
                  <w:r>
                    <w:t xml:space="preserve">1.000</w:t>
                  </w:r>
                </w:p>
              </w:tc>
            </w:tr>
            <w:tr>
              <w:tc>
                <w:tcPr/>
                <w:p>
                  <w:pPr>
                    <w:pStyle w:val="Compact"/>
                    <w:jc w:val="left"/>
                    <w:jc w:val="center"/>
                  </w:pPr>
                  <w:r>
                    <w:t xml:space="preserve">social=~Q20</w:t>
                  </w:r>
                </w:p>
              </w:tc>
              <w:tc>
                <w:tcPr/>
                <w:p>
                  <w:pPr>
                    <w:pStyle w:val="Compact"/>
                    <w:jc w:val="center"/>
                    <w:jc w:val="center"/>
                  </w:pPr>
                  <w:r>
                    <w:t xml:space="preserve">-0.004</w:t>
                  </w:r>
                </w:p>
              </w:tc>
              <w:tc>
                <w:tcPr/>
                <w:p>
                  <w:pPr>
                    <w:pStyle w:val="Compact"/>
                    <w:jc w:val="center"/>
                    <w:jc w:val="center"/>
                  </w:pPr>
                  <w:r>
                    <w:t xml:space="preserve">-0.050</w:t>
                  </w:r>
                </w:p>
              </w:tc>
              <w:tc>
                <w:tcPr/>
                <w:p>
                  <w:pPr>
                    <w:pStyle w:val="Compact"/>
                    <w:jc w:val="center"/>
                    <w:jc w:val="center"/>
                  </w:pPr>
                  <w:r>
                    <w:t xml:space="preserve">0.941</w:t>
                  </w:r>
                </w:p>
              </w:tc>
              <w:tc>
                <w:tcPr/>
                <w:p>
                  <w:pPr>
                    <w:pStyle w:val="Compact"/>
                    <w:jc w:val="center"/>
                    <w:jc w:val="center"/>
                  </w:pPr>
                  <w:r>
                    <w:t xml:space="preserve">1.000</w:t>
                  </w:r>
                </w:p>
              </w:tc>
            </w:tr>
            <w:tr>
              <w:tc>
                <w:tcPr/>
                <w:p>
                  <w:pPr>
                    <w:pStyle w:val="Compact"/>
                    <w:jc w:val="left"/>
                    <w:jc w:val="center"/>
                  </w:pPr>
                  <w:r>
                    <w:t xml:space="preserve">social=~Q21</w:t>
                  </w:r>
                </w:p>
              </w:tc>
              <w:tc>
                <w:tcPr/>
                <w:p>
                  <w:pPr>
                    <w:pStyle w:val="Compact"/>
                    <w:jc w:val="center"/>
                    <w:jc w:val="center"/>
                  </w:pPr>
                  <w:r>
                    <w:t xml:space="preserve">-0.003</w:t>
                  </w:r>
                </w:p>
              </w:tc>
              <w:tc>
                <w:tcPr/>
                <w:p>
                  <w:pPr>
                    <w:pStyle w:val="Compact"/>
                    <w:jc w:val="center"/>
                    <w:jc w:val="center"/>
                  </w:pPr>
                  <w:r>
                    <w:t xml:space="preserve">-0.025</w:t>
                  </w:r>
                </w:p>
              </w:tc>
              <w:tc>
                <w:tcPr/>
                <w:p>
                  <w:pPr>
                    <w:pStyle w:val="Compact"/>
                    <w:jc w:val="center"/>
                    <w:jc w:val="center"/>
                  </w:pPr>
                  <w:r>
                    <w:t xml:space="preserve">0.952</w:t>
                  </w:r>
                </w:p>
              </w:tc>
              <w:tc>
                <w:tcPr/>
                <w:p>
                  <w:pPr>
                    <w:pStyle w:val="Compact"/>
                    <w:jc w:val="center"/>
                    <w:jc w:val="center"/>
                  </w:pPr>
                  <w:r>
                    <w:t xml:space="preserve">1.000</w:t>
                  </w:r>
                </w:p>
              </w:tc>
            </w:tr>
            <w:tr>
              <w:tc>
                <w:tcPr/>
                <w:p>
                  <w:pPr>
                    <w:pStyle w:val="Compact"/>
                    <w:jc w:val="left"/>
                    <w:jc w:val="center"/>
                  </w:pPr>
                  <w:r>
                    <w:t xml:space="preserve">social=~Q22</w:t>
                  </w:r>
                </w:p>
              </w:tc>
              <w:tc>
                <w:tcPr/>
                <w:p>
                  <w:pPr>
                    <w:pStyle w:val="Compact"/>
                    <w:jc w:val="center"/>
                    <w:jc w:val="center"/>
                  </w:pPr>
                  <w:r>
                    <w:t xml:space="preserve">0.002</w:t>
                  </w:r>
                </w:p>
              </w:tc>
              <w:tc>
                <w:tcPr/>
                <w:p>
                  <w:pPr>
                    <w:pStyle w:val="Compact"/>
                    <w:jc w:val="center"/>
                    <w:jc w:val="center"/>
                  </w:pPr>
                  <w:r>
                    <w:t xml:space="preserve">-0.048</w:t>
                  </w:r>
                </w:p>
              </w:tc>
              <w:tc>
                <w:tcPr/>
                <w:p>
                  <w:pPr>
                    <w:pStyle w:val="Compact"/>
                    <w:jc w:val="center"/>
                    <w:jc w:val="center"/>
                  </w:pPr>
                  <w:r>
                    <w:t xml:space="preserve">0.943</w:t>
                  </w:r>
                </w:p>
              </w:tc>
              <w:tc>
                <w:tcPr/>
                <w:p>
                  <w:pPr>
                    <w:pStyle w:val="Compact"/>
                    <w:jc w:val="center"/>
                    <w:jc w:val="center"/>
                  </w:pPr>
                  <w:r>
                    <w:t xml:space="preserve">1.000</w:t>
                  </w:r>
                </w:p>
              </w:tc>
            </w:tr>
            <w:tr>
              <w:tc>
                <w:tcPr/>
                <w:p>
                  <w:pPr>
                    <w:pStyle w:val="Compact"/>
                    <w:jc w:val="left"/>
                    <w:jc w:val="center"/>
                  </w:pPr>
                  <w:r>
                    <w:t xml:space="preserve">environment=~Q8</w:t>
                  </w:r>
                </w:p>
              </w:tc>
              <w:tc>
                <w:tcPr/>
                <w:p>
                  <w:pPr>
                    <w:pStyle w:val="Compact"/>
                    <w:jc w:val="center"/>
                    <w:jc w:val="center"/>
                  </w:pPr>
                  <w:r>
                    <w:t xml:space="preserve">0.360</w:t>
                  </w:r>
                </w:p>
              </w:tc>
              <w:tc>
                <w:tcPr/>
                <w:p>
                  <w:pPr>
                    <w:pStyle w:val="Compact"/>
                    <w:jc w:val="center"/>
                    <w:jc w:val="center"/>
                  </w:pPr>
                  <w:r>
                    <w:t xml:space="preserve">-0.090</w:t>
                  </w:r>
                </w:p>
              </w:tc>
              <w:tc>
                <w:tcPr/>
                <w:p>
                  <w:pPr>
                    <w:pStyle w:val="Compact"/>
                    <w:jc w:val="center"/>
                    <w:jc w:val="center"/>
                  </w:pPr>
                  <w:r>
                    <w:t xml:space="preserve">0.520</w:t>
                  </w:r>
                </w:p>
              </w:tc>
              <w:tc>
                <w:tcPr/>
                <w:p>
                  <w:pPr>
                    <w:pStyle w:val="Compact"/>
                    <w:jc w:val="center"/>
                    <w:jc w:val="center"/>
                  </w:pPr>
                  <w:r>
                    <w:t xml:space="preserve">0.997</w:t>
                  </w:r>
                </w:p>
              </w:tc>
            </w:tr>
            <w:tr>
              <w:tc>
                <w:tcPr/>
                <w:p>
                  <w:pPr>
                    <w:pStyle w:val="Compact"/>
                    <w:jc w:val="left"/>
                    <w:jc w:val="center"/>
                  </w:pPr>
                  <w:r>
                    <w:t xml:space="preserve">environment=~Q9</w:t>
                  </w:r>
                </w:p>
              </w:tc>
              <w:tc>
                <w:tcPr/>
                <w:p>
                  <w:pPr>
                    <w:pStyle w:val="Compact"/>
                    <w:jc w:val="center"/>
                    <w:jc w:val="center"/>
                  </w:pPr>
                  <w:r>
                    <w:t xml:space="preserve">0.105</w:t>
                  </w:r>
                </w:p>
              </w:tc>
              <w:tc>
                <w:tcPr/>
                <w:p>
                  <w:pPr>
                    <w:pStyle w:val="Compact"/>
                    <w:jc w:val="center"/>
                    <w:jc w:val="center"/>
                  </w:pPr>
                  <w:r>
                    <w:t xml:space="preserve">-0.051</w:t>
                  </w:r>
                </w:p>
              </w:tc>
              <w:tc>
                <w:tcPr/>
                <w:p>
                  <w:pPr>
                    <w:pStyle w:val="Compact"/>
                    <w:jc w:val="center"/>
                    <w:jc w:val="center"/>
                  </w:pPr>
                  <w:r>
                    <w:t xml:space="preserve">0.879</w:t>
                  </w:r>
                </w:p>
              </w:tc>
              <w:tc>
                <w:tcPr/>
                <w:p>
                  <w:pPr>
                    <w:pStyle w:val="Compact"/>
                    <w:jc w:val="center"/>
                    <w:jc w:val="center"/>
                  </w:pPr>
                  <w:r>
                    <w:t xml:space="preserve">0.999</w:t>
                  </w:r>
                </w:p>
              </w:tc>
            </w:tr>
            <w:tr>
              <w:tc>
                <w:tcPr/>
                <w:p>
                  <w:pPr>
                    <w:pStyle w:val="Compact"/>
                    <w:jc w:val="left"/>
                    <w:jc w:val="center"/>
                  </w:pPr>
                  <w:r>
                    <w:t xml:space="preserve">environment=~Q12</w:t>
                  </w:r>
                </w:p>
              </w:tc>
              <w:tc>
                <w:tcPr/>
                <w:p>
                  <w:pPr>
                    <w:pStyle w:val="Compact"/>
                    <w:jc w:val="center"/>
                    <w:jc w:val="center"/>
                  </w:pPr>
                  <w:r>
                    <w:t xml:space="preserve">-0.012</w:t>
                  </w:r>
                </w:p>
              </w:tc>
              <w:tc>
                <w:tcPr/>
                <w:p>
                  <w:pPr>
                    <w:pStyle w:val="Compact"/>
                    <w:jc w:val="center"/>
                    <w:jc w:val="center"/>
                  </w:pPr>
                  <w:r>
                    <w:t xml:space="preserve">-0.065</w:t>
                  </w:r>
                </w:p>
              </w:tc>
              <w:tc>
                <w:tcPr/>
                <w:p>
                  <w:pPr>
                    <w:pStyle w:val="Compact"/>
                    <w:jc w:val="center"/>
                    <w:jc w:val="center"/>
                  </w:pPr>
                  <w:r>
                    <w:t xml:space="preserve">0.939</w:t>
                  </w:r>
                </w:p>
              </w:tc>
              <w:tc>
                <w:tcPr/>
                <w:p>
                  <w:pPr>
                    <w:pStyle w:val="Compact"/>
                    <w:jc w:val="center"/>
                    <w:jc w:val="center"/>
                  </w:pPr>
                  <w:r>
                    <w:t xml:space="preserve">1.000</w:t>
                  </w:r>
                </w:p>
              </w:tc>
            </w:tr>
            <w:tr>
              <w:tc>
                <w:tcPr/>
                <w:p>
                  <w:pPr>
                    <w:pStyle w:val="Compact"/>
                    <w:jc w:val="left"/>
                    <w:jc w:val="center"/>
                  </w:pPr>
                  <w:r>
                    <w:t xml:space="preserve">environment=~Q13</w:t>
                  </w:r>
                </w:p>
              </w:tc>
              <w:tc>
                <w:tcPr/>
                <w:p>
                  <w:pPr>
                    <w:pStyle w:val="Compact"/>
                    <w:jc w:val="center"/>
                    <w:jc w:val="center"/>
                  </w:pPr>
                  <w:r>
                    <w:t xml:space="preserve">-0.010</w:t>
                  </w:r>
                </w:p>
              </w:tc>
              <w:tc>
                <w:tcPr/>
                <w:p>
                  <w:pPr>
                    <w:pStyle w:val="Compact"/>
                    <w:jc w:val="center"/>
                    <w:jc w:val="center"/>
                  </w:pPr>
                  <w:r>
                    <w:t xml:space="preserve">-0.080</w:t>
                  </w:r>
                </w:p>
              </w:tc>
              <w:tc>
                <w:tcPr/>
                <w:p>
                  <w:pPr>
                    <w:pStyle w:val="Compact"/>
                    <w:jc w:val="center"/>
                    <w:jc w:val="center"/>
                  </w:pPr>
                  <w:r>
                    <w:t xml:space="preserve">0.942</w:t>
                  </w:r>
                </w:p>
              </w:tc>
              <w:tc>
                <w:tcPr/>
                <w:p>
                  <w:pPr>
                    <w:pStyle w:val="Compact"/>
                    <w:jc w:val="center"/>
                    <w:jc w:val="center"/>
                  </w:pPr>
                  <w:r>
                    <w:t xml:space="preserve">1.000</w:t>
                  </w:r>
                </w:p>
              </w:tc>
            </w:tr>
            <w:tr>
              <w:tc>
                <w:tcPr/>
                <w:p>
                  <w:pPr>
                    <w:pStyle w:val="Compact"/>
                    <w:jc w:val="left"/>
                    <w:jc w:val="center"/>
                  </w:pPr>
                  <w:r>
                    <w:t xml:space="preserve">environment=~Q14</w:t>
                  </w:r>
                </w:p>
              </w:tc>
              <w:tc>
                <w:tcPr/>
                <w:p>
                  <w:pPr>
                    <w:pStyle w:val="Compact"/>
                    <w:jc w:val="center"/>
                    <w:jc w:val="center"/>
                  </w:pPr>
                  <w:r>
                    <w:t xml:space="preserve">-0.009</w:t>
                  </w:r>
                </w:p>
              </w:tc>
              <w:tc>
                <w:tcPr/>
                <w:p>
                  <w:pPr>
                    <w:pStyle w:val="Compact"/>
                    <w:jc w:val="center"/>
                    <w:jc w:val="center"/>
                  </w:pPr>
                  <w:r>
                    <w:t xml:space="preserve">-0.045</w:t>
                  </w:r>
                </w:p>
              </w:tc>
              <w:tc>
                <w:tcPr/>
                <w:p>
                  <w:pPr>
                    <w:pStyle w:val="Compact"/>
                    <w:jc w:val="center"/>
                    <w:jc w:val="center"/>
                  </w:pPr>
                  <w:r>
                    <w:t xml:space="preserve">0.940</w:t>
                  </w:r>
                </w:p>
              </w:tc>
              <w:tc>
                <w:tcPr/>
                <w:p>
                  <w:pPr>
                    <w:pStyle w:val="Compact"/>
                    <w:jc w:val="center"/>
                    <w:jc w:val="center"/>
                  </w:pPr>
                  <w:r>
                    <w:t xml:space="preserve">1.000</w:t>
                  </w:r>
                </w:p>
              </w:tc>
            </w:tr>
            <w:tr>
              <w:tc>
                <w:tcPr/>
                <w:p>
                  <w:pPr>
                    <w:pStyle w:val="Compact"/>
                    <w:jc w:val="left"/>
                    <w:jc w:val="center"/>
                  </w:pPr>
                  <w:r>
                    <w:t xml:space="preserve">environment=~Q23</w:t>
                  </w:r>
                </w:p>
              </w:tc>
              <w:tc>
                <w:tcPr/>
                <w:p>
                  <w:pPr>
                    <w:pStyle w:val="Compact"/>
                    <w:jc w:val="center"/>
                    <w:jc w:val="center"/>
                  </w:pPr>
                  <w:r>
                    <w:t xml:space="preserve">-0.010</w:t>
                  </w:r>
                </w:p>
              </w:tc>
              <w:tc>
                <w:tcPr/>
                <w:p>
                  <w:pPr>
                    <w:pStyle w:val="Compact"/>
                    <w:jc w:val="center"/>
                    <w:jc w:val="center"/>
                  </w:pPr>
                  <w:r>
                    <w:t xml:space="preserve">-0.075</w:t>
                  </w:r>
                </w:p>
              </w:tc>
              <w:tc>
                <w:tcPr/>
                <w:p>
                  <w:pPr>
                    <w:pStyle w:val="Compact"/>
                    <w:jc w:val="center"/>
                    <w:jc w:val="center"/>
                  </w:pPr>
                  <w:r>
                    <w:t xml:space="preserve">0.939</w:t>
                  </w:r>
                </w:p>
              </w:tc>
              <w:tc>
                <w:tcPr/>
                <w:p>
                  <w:pPr>
                    <w:pStyle w:val="Compact"/>
                    <w:jc w:val="center"/>
                    <w:jc w:val="center"/>
                  </w:pPr>
                  <w:r>
                    <w:t xml:space="preserve">1.000</w:t>
                  </w:r>
                </w:p>
              </w:tc>
            </w:tr>
            <w:tr>
              <w:tc>
                <w:tcPr/>
                <w:p>
                  <w:pPr>
                    <w:pStyle w:val="Compact"/>
                    <w:jc w:val="left"/>
                    <w:jc w:val="center"/>
                  </w:pPr>
                  <w:r>
                    <w:t xml:space="preserve">environment=~Q24</w:t>
                  </w:r>
                </w:p>
              </w:tc>
              <w:tc>
                <w:tcPr/>
                <w:p>
                  <w:pPr>
                    <w:pStyle w:val="Compact"/>
                    <w:jc w:val="center"/>
                    <w:jc w:val="center"/>
                  </w:pPr>
                  <w:r>
                    <w:t xml:space="preserve">-0.006</w:t>
                  </w:r>
                </w:p>
              </w:tc>
              <w:tc>
                <w:tcPr/>
                <w:p>
                  <w:pPr>
                    <w:pStyle w:val="Compact"/>
                    <w:jc w:val="center"/>
                    <w:jc w:val="center"/>
                  </w:pPr>
                  <w:r>
                    <w:t xml:space="preserve">-0.047</w:t>
                  </w:r>
                </w:p>
              </w:tc>
              <w:tc>
                <w:tcPr/>
                <w:p>
                  <w:pPr>
                    <w:pStyle w:val="Compact"/>
                    <w:jc w:val="center"/>
                    <w:jc w:val="center"/>
                  </w:pPr>
                  <w:r>
                    <w:t xml:space="preserve">0.947</w:t>
                  </w:r>
                </w:p>
              </w:tc>
              <w:tc>
                <w:tcPr/>
                <w:p>
                  <w:pPr>
                    <w:pStyle w:val="Compact"/>
                    <w:jc w:val="center"/>
                    <w:jc w:val="center"/>
                  </w:pPr>
                  <w:r>
                    <w:t xml:space="preserve">1.000</w:t>
                  </w:r>
                </w:p>
              </w:tc>
            </w:tr>
            <w:tr>
              <w:tc>
                <w:tcPr/>
                <w:p>
                  <w:pPr>
                    <w:pStyle w:val="Compact"/>
                    <w:jc w:val="left"/>
                    <w:jc w:val="center"/>
                  </w:pPr>
                  <w:r>
                    <w:t xml:space="preserve">environment=~Q25</w:t>
                  </w:r>
                </w:p>
              </w:tc>
              <w:tc>
                <w:tcPr/>
                <w:p>
                  <w:pPr>
                    <w:pStyle w:val="Compact"/>
                    <w:jc w:val="center"/>
                    <w:jc w:val="center"/>
                  </w:pPr>
                  <w:r>
                    <w:t xml:space="preserve">-0.011</w:t>
                  </w:r>
                </w:p>
              </w:tc>
              <w:tc>
                <w:tcPr/>
                <w:p>
                  <w:pPr>
                    <w:pStyle w:val="Compact"/>
                    <w:jc w:val="center"/>
                    <w:jc w:val="center"/>
                  </w:pPr>
                  <w:r>
                    <w:t xml:space="preserve">-0.059</w:t>
                  </w:r>
                </w:p>
              </w:tc>
              <w:tc>
                <w:tcPr/>
                <w:p>
                  <w:pPr>
                    <w:pStyle w:val="Compact"/>
                    <w:jc w:val="center"/>
                    <w:jc w:val="center"/>
                  </w:pPr>
                  <w:r>
                    <w:t xml:space="preserve">0.940</w:t>
                  </w:r>
                </w:p>
              </w:tc>
              <w:tc>
                <w:tcPr/>
                <w:p>
                  <w:pPr>
                    <w:pStyle w:val="Compact"/>
                    <w:jc w:val="center"/>
                    <w:jc w:val="center"/>
                  </w:pPr>
                  <w:r>
                    <w:t xml:space="preserve">1.000</w:t>
                  </w:r>
                </w:p>
              </w:tc>
            </w:tr>
            <w:tr>
              <w:tc>
                <w:tcPr/>
                <w:p>
                  <w:pPr>
                    <w:pStyle w:val="Compact"/>
                    <w:jc w:val="left"/>
                    <w:jc w:val="center"/>
                  </w:pPr>
                  <w:r>
                    <w:t xml:space="preserve">psycho~~physical</w:t>
                  </w:r>
                </w:p>
              </w:tc>
              <w:tc>
                <w:tcPr/>
                <w:p>
                  <w:pPr>
                    <w:pStyle w:val="Compact"/>
                    <w:jc w:val="center"/>
                    <w:jc w:val="center"/>
                  </w:pPr>
                  <w:r>
                    <w:t xml:space="preserve">0.039</w:t>
                  </w:r>
                </w:p>
              </w:tc>
              <w:tc>
                <w:tcPr/>
                <w:p>
                  <w:pPr>
                    <w:pStyle w:val="Compact"/>
                    <w:jc w:val="center"/>
                    <w:jc w:val="center"/>
                  </w:pPr>
                  <w:r>
                    <w:t xml:space="preserve">-0.069</w:t>
                  </w:r>
                </w:p>
              </w:tc>
              <w:tc>
                <w:tcPr/>
                <w:p>
                  <w:pPr>
                    <w:pStyle w:val="Compact"/>
                    <w:jc w:val="center"/>
                    <w:jc w:val="center"/>
                  </w:pPr>
                  <w:r>
                    <w:t xml:space="preserve">0.941</w:t>
                  </w:r>
                </w:p>
              </w:tc>
              <w:tc>
                <w:tcPr/>
                <w:p>
                  <w:pPr>
                    <w:pStyle w:val="Compact"/>
                    <w:jc w:val="center"/>
                    <w:jc w:val="center"/>
                  </w:pPr>
                  <w:r>
                    <w:t xml:space="preserve">0.751</w:t>
                  </w:r>
                </w:p>
              </w:tc>
            </w:tr>
            <w:tr>
              <w:tc>
                <w:tcPr/>
                <w:p>
                  <w:pPr>
                    <w:pStyle w:val="Compact"/>
                    <w:jc w:val="left"/>
                    <w:jc w:val="center"/>
                  </w:pPr>
                  <w:r>
                    <w:t xml:space="preserve">psycho~~social</w:t>
                  </w:r>
                </w:p>
              </w:tc>
              <w:tc>
                <w:tcPr/>
                <w:p>
                  <w:pPr>
                    <w:pStyle w:val="Compact"/>
                    <w:jc w:val="center"/>
                    <w:jc w:val="center"/>
                  </w:pPr>
                  <w:r>
                    <w:t xml:space="preserve">-0.002</w:t>
                  </w:r>
                </w:p>
              </w:tc>
              <w:tc>
                <w:tcPr/>
                <w:p>
                  <w:pPr>
                    <w:pStyle w:val="Compact"/>
                    <w:jc w:val="center"/>
                    <w:jc w:val="center"/>
                  </w:pPr>
                  <w:r>
                    <w:t xml:space="preserve">-0.069</w:t>
                  </w:r>
                </w:p>
              </w:tc>
              <w:tc>
                <w:tcPr/>
                <w:p>
                  <w:pPr>
                    <w:pStyle w:val="Compact"/>
                    <w:jc w:val="center"/>
                    <w:jc w:val="center"/>
                  </w:pPr>
                  <w:r>
                    <w:t xml:space="preserve">0.935</w:t>
                  </w:r>
                </w:p>
              </w:tc>
              <w:tc>
                <w:tcPr/>
                <w:p>
                  <w:pPr>
                    <w:pStyle w:val="Compact"/>
                    <w:jc w:val="center"/>
                    <w:jc w:val="center"/>
                  </w:pPr>
                  <w:r>
                    <w:t xml:space="preserve">0.727</w:t>
                  </w:r>
                </w:p>
              </w:tc>
            </w:tr>
            <w:tr>
              <w:tc>
                <w:tcPr/>
                <w:p>
                  <w:pPr>
                    <w:pStyle w:val="Compact"/>
                    <w:jc w:val="left"/>
                    <w:jc w:val="center"/>
                  </w:pPr>
                  <w:r>
                    <w:t xml:space="preserve">psycho~~environment</w:t>
                  </w:r>
                </w:p>
              </w:tc>
              <w:tc>
                <w:tcPr/>
                <w:p>
                  <w:pPr>
                    <w:pStyle w:val="Compact"/>
                    <w:jc w:val="center"/>
                    <w:jc w:val="center"/>
                  </w:pPr>
                  <w:r>
                    <w:t xml:space="preserve">0.286</w:t>
                  </w:r>
                </w:p>
              </w:tc>
              <w:tc>
                <w:tcPr/>
                <w:p>
                  <w:pPr>
                    <w:pStyle w:val="Compact"/>
                    <w:jc w:val="center"/>
                    <w:jc w:val="center"/>
                  </w:pPr>
                  <w:r>
                    <w:t xml:space="preserve">-0.122</w:t>
                  </w:r>
                </w:p>
              </w:tc>
              <w:tc>
                <w:tcPr/>
                <w:p>
                  <w:pPr>
                    <w:pStyle w:val="Compact"/>
                    <w:jc w:val="center"/>
                    <w:jc w:val="center"/>
                  </w:pPr>
                  <w:r>
                    <w:t xml:space="preserve">0.831</w:t>
                  </w:r>
                </w:p>
              </w:tc>
              <w:tc>
                <w:tcPr/>
                <w:p>
                  <w:pPr>
                    <w:pStyle w:val="Compact"/>
                    <w:jc w:val="center"/>
                    <w:jc w:val="center"/>
                  </w:pPr>
                  <w:r>
                    <w:t xml:space="preserve">0.857</w:t>
                  </w:r>
                </w:p>
              </w:tc>
            </w:tr>
            <w:tr>
              <w:tc>
                <w:tcPr/>
                <w:p>
                  <w:pPr>
                    <w:pStyle w:val="Compact"/>
                    <w:jc w:val="left"/>
                    <w:jc w:val="center"/>
                  </w:pPr>
                  <w:r>
                    <w:t xml:space="preserve">physical~~social</w:t>
                  </w:r>
                </w:p>
              </w:tc>
              <w:tc>
                <w:tcPr/>
                <w:p>
                  <w:pPr>
                    <w:pStyle w:val="Compact"/>
                    <w:jc w:val="center"/>
                    <w:jc w:val="center"/>
                  </w:pPr>
                  <w:r>
                    <w:t xml:space="preserve">0.046</w:t>
                  </w:r>
                </w:p>
              </w:tc>
              <w:tc>
                <w:tcPr/>
                <w:p>
                  <w:pPr>
                    <w:pStyle w:val="Compact"/>
                    <w:jc w:val="center"/>
                    <w:jc w:val="center"/>
                  </w:pPr>
                  <w:r>
                    <w:t xml:space="preserve">-0.047</w:t>
                  </w:r>
                </w:p>
              </w:tc>
              <w:tc>
                <w:tcPr/>
                <w:p>
                  <w:pPr>
                    <w:pStyle w:val="Compact"/>
                    <w:jc w:val="center"/>
                    <w:jc w:val="center"/>
                  </w:pPr>
                  <w:r>
                    <w:t xml:space="preserve">0.944</w:t>
                  </w:r>
                </w:p>
              </w:tc>
              <w:tc>
                <w:tcPr/>
                <w:p>
                  <w:pPr>
                    <w:pStyle w:val="Compact"/>
                    <w:jc w:val="center"/>
                    <w:jc w:val="center"/>
                  </w:pPr>
                  <w:r>
                    <w:t xml:space="preserve">0.760</w:t>
                  </w:r>
                </w:p>
              </w:tc>
            </w:tr>
            <w:tr>
              <w:tc>
                <w:tcPr/>
                <w:p>
                  <w:pPr>
                    <w:pStyle w:val="Compact"/>
                    <w:jc w:val="left"/>
                    <w:jc w:val="center"/>
                  </w:pPr>
                  <w:r>
                    <w:t xml:space="preserve">physical~~environment</w:t>
                  </w:r>
                </w:p>
              </w:tc>
              <w:tc>
                <w:tcPr/>
                <w:p>
                  <w:pPr>
                    <w:pStyle w:val="Compact"/>
                    <w:jc w:val="center"/>
                    <w:jc w:val="center"/>
                  </w:pPr>
                  <w:r>
                    <w:t xml:space="preserve">0.239</w:t>
                  </w:r>
                </w:p>
              </w:tc>
              <w:tc>
                <w:tcPr/>
                <w:p>
                  <w:pPr>
                    <w:pStyle w:val="Compact"/>
                    <w:jc w:val="center"/>
                    <w:jc w:val="center"/>
                  </w:pPr>
                  <w:r>
                    <w:t xml:space="preserve">-0.091</w:t>
                  </w:r>
                </w:p>
              </w:tc>
              <w:tc>
                <w:tcPr/>
                <w:p>
                  <w:pPr>
                    <w:pStyle w:val="Compact"/>
                    <w:jc w:val="center"/>
                    <w:jc w:val="center"/>
                  </w:pPr>
                  <w:r>
                    <w:t xml:space="preserve">0.875</w:t>
                  </w:r>
                </w:p>
              </w:tc>
              <w:tc>
                <w:tcPr/>
                <w:p>
                  <w:pPr>
                    <w:pStyle w:val="Compact"/>
                    <w:jc w:val="center"/>
                    <w:jc w:val="center"/>
                  </w:pPr>
                  <w:r>
                    <w:t xml:space="preserve">0.839</w:t>
                  </w:r>
                </w:p>
              </w:tc>
            </w:tr>
            <w:tr>
              <w:tc>
                <w:tcPr/>
                <w:p>
                  <w:pPr>
                    <w:pStyle w:val="Compact"/>
                    <w:jc w:val="left"/>
                    <w:jc w:val="center"/>
                  </w:pPr>
                  <w:r>
                    <w:t xml:space="preserve">social~~environment</w:t>
                  </w:r>
                </w:p>
              </w:tc>
              <w:tc>
                <w:tcPr/>
                <w:p>
                  <w:pPr>
                    <w:pStyle w:val="Compact"/>
                    <w:jc w:val="center"/>
                    <w:jc w:val="center"/>
                  </w:pPr>
                  <w:r>
                    <w:t xml:space="preserve">0.038</w:t>
                  </w:r>
                </w:p>
              </w:tc>
              <w:tc>
                <w:tcPr/>
                <w:p>
                  <w:pPr>
                    <w:pStyle w:val="Compact"/>
                    <w:jc w:val="center"/>
                    <w:jc w:val="center"/>
                  </w:pPr>
                  <w:r>
                    <w:t xml:space="preserve">-0.070</w:t>
                  </w:r>
                </w:p>
              </w:tc>
              <w:tc>
                <w:tcPr/>
                <w:p>
                  <w:pPr>
                    <w:pStyle w:val="Compact"/>
                    <w:jc w:val="center"/>
                    <w:jc w:val="center"/>
                  </w:pPr>
                  <w:r>
                    <w:t xml:space="preserve">0.931</w:t>
                  </w:r>
                </w:p>
              </w:tc>
              <w:tc>
                <w:tcPr/>
                <w:p>
                  <w:pPr>
                    <w:pStyle w:val="Compact"/>
                    <w:jc w:val="center"/>
                    <w:jc w:val="center"/>
                  </w:pPr>
                  <w:r>
                    <w:t xml:space="preserve">0.736</w:t>
                  </w:r>
                </w:p>
              </w:tc>
            </w:tr>
            <w:tr>
              <w:tc>
                <w:tcPr/>
                <w:p>
                  <w:pPr>
                    <w:pStyle w:val="Compact"/>
                    <w:jc w:val="left"/>
                    <w:jc w:val="center"/>
                  </w:pPr>
                  <w:r>
                    <w:t xml:space="preserve">Q3~~Q4</w:t>
                  </w:r>
                </w:p>
              </w:tc>
              <w:tc>
                <w:tcPr/>
                <w:p>
                  <w:pPr>
                    <w:pStyle w:val="Compact"/>
                    <w:jc w:val="center"/>
                    <w:jc w:val="center"/>
                  </w:pPr>
                  <w:r>
                    <w:t xml:space="preserve">0.007</w:t>
                  </w:r>
                </w:p>
              </w:tc>
              <w:tc>
                <w:tcPr/>
                <w:p>
                  <w:pPr>
                    <w:pStyle w:val="Compact"/>
                    <w:jc w:val="center"/>
                    <w:jc w:val="center"/>
                  </w:pPr>
                  <w:r>
                    <w:t xml:space="preserve">-0.050</w:t>
                  </w:r>
                </w:p>
              </w:tc>
              <w:tc>
                <w:tcPr/>
                <w:p>
                  <w:pPr>
                    <w:pStyle w:val="Compact"/>
                    <w:jc w:val="center"/>
                    <w:jc w:val="center"/>
                  </w:pPr>
                  <w:r>
                    <w:t xml:space="preserve">0.944</w:t>
                  </w:r>
                </w:p>
              </w:tc>
              <w:tc>
                <w:tcPr/>
                <w:p>
                  <w:pPr>
                    <w:pStyle w:val="Compact"/>
                    <w:jc w:val="center"/>
                    <w:jc w:val="center"/>
                  </w:pPr>
                  <w:r>
                    <w:t xml:space="preserve">0.775</w:t>
                  </w:r>
                </w:p>
              </w:tc>
            </w:tr>
            <w:tr>
              <w:tc>
                <w:tcPr/>
                <w:p>
                  <w:pPr>
                    <w:pStyle w:val="Compact"/>
                    <w:jc w:val="left"/>
                    <w:jc w:val="center"/>
                  </w:pPr>
                  <w:r>
                    <w:t xml:space="preserve">Q5~~Q5</w:t>
                  </w:r>
                </w:p>
              </w:tc>
              <w:tc>
                <w:tcPr/>
                <w:p>
                  <w:pPr>
                    <w:pStyle w:val="Compact"/>
                    <w:jc w:val="center"/>
                    <w:jc w:val="center"/>
                  </w:pPr>
                  <w:r>
                    <w:t xml:space="preserve">-0.012</w:t>
                  </w:r>
                </w:p>
              </w:tc>
              <w:tc>
                <w:tcPr/>
                <w:p>
                  <w:pPr>
                    <w:pStyle w:val="Compact"/>
                    <w:jc w:val="center"/>
                    <w:jc w:val="center"/>
                  </w:pPr>
                  <w:r>
                    <w:t xml:space="preserve">-0.043</w:t>
                  </w:r>
                </w:p>
              </w:tc>
              <w:tc>
                <w:tcPr/>
                <w:p>
                  <w:pPr>
                    <w:pStyle w:val="Compact"/>
                    <w:jc w:val="center"/>
                    <w:jc w:val="center"/>
                  </w:pPr>
                  <w:r>
                    <w:t xml:space="preserve">0.944</w:t>
                  </w:r>
                </w:p>
              </w:tc>
              <w:tc>
                <w:tcPr/>
                <w:p>
                  <w:pPr>
                    <w:pStyle w:val="Compact"/>
                    <w:jc w:val="center"/>
                    <w:jc w:val="center"/>
                  </w:pPr>
                  <w:r>
                    <w:t xml:space="preserve">0.999</w:t>
                  </w:r>
                </w:p>
              </w:tc>
            </w:tr>
            <w:tr>
              <w:tc>
                <w:tcPr/>
                <w:p>
                  <w:pPr>
                    <w:pStyle w:val="Compact"/>
                    <w:jc w:val="left"/>
                    <w:jc w:val="center"/>
                  </w:pPr>
                  <w:r>
                    <w:t xml:space="preserve">Q6~~Q6</w:t>
                  </w:r>
                </w:p>
              </w:tc>
              <w:tc>
                <w:tcPr/>
                <w:p>
                  <w:pPr>
                    <w:pStyle w:val="Compact"/>
                    <w:jc w:val="center"/>
                    <w:jc w:val="center"/>
                  </w:pPr>
                  <w:r>
                    <w:t xml:space="preserve">-0.017</w:t>
                  </w:r>
                </w:p>
              </w:tc>
              <w:tc>
                <w:tcPr/>
                <w:p>
                  <w:pPr>
                    <w:pStyle w:val="Compact"/>
                    <w:jc w:val="center"/>
                    <w:jc w:val="center"/>
                  </w:pPr>
                  <w:r>
                    <w:t xml:space="preserve">-0.039</w:t>
                  </w:r>
                </w:p>
              </w:tc>
              <w:tc>
                <w:tcPr/>
                <w:p>
                  <w:pPr>
                    <w:pStyle w:val="Compact"/>
                    <w:jc w:val="center"/>
                    <w:jc w:val="center"/>
                  </w:pPr>
                  <w:r>
                    <w:t xml:space="preserve">0.934</w:t>
                  </w:r>
                </w:p>
              </w:tc>
              <w:tc>
                <w:tcPr/>
                <w:p>
                  <w:pPr>
                    <w:pStyle w:val="Compact"/>
                    <w:jc w:val="center"/>
                    <w:jc w:val="center"/>
                  </w:pPr>
                  <w:r>
                    <w:t xml:space="preserve">1.000</w:t>
                  </w:r>
                </w:p>
              </w:tc>
            </w:tr>
            <w:tr>
              <w:tc>
                <w:tcPr/>
                <w:p>
                  <w:pPr>
                    <w:pStyle w:val="Compact"/>
                    <w:jc w:val="left"/>
                    <w:jc w:val="center"/>
                  </w:pPr>
                  <w:r>
                    <w:t xml:space="preserve">Q7~~Q7</w:t>
                  </w:r>
                </w:p>
              </w:tc>
              <w:tc>
                <w:tcPr/>
                <w:p>
                  <w:pPr>
                    <w:pStyle w:val="Compact"/>
                    <w:jc w:val="center"/>
                    <w:jc w:val="center"/>
                  </w:pPr>
                  <w:r>
                    <w:t xml:space="preserve">-0.020</w:t>
                  </w:r>
                </w:p>
              </w:tc>
              <w:tc>
                <w:tcPr/>
                <w:p>
                  <w:pPr>
                    <w:pStyle w:val="Compact"/>
                    <w:jc w:val="center"/>
                    <w:jc w:val="center"/>
                  </w:pPr>
                  <w:r>
                    <w:t xml:space="preserve">-0.071</w:t>
                  </w:r>
                </w:p>
              </w:tc>
              <w:tc>
                <w:tcPr/>
                <w:p>
                  <w:pPr>
                    <w:pStyle w:val="Compact"/>
                    <w:jc w:val="center"/>
                    <w:jc w:val="center"/>
                  </w:pPr>
                  <w:r>
                    <w:t xml:space="preserve">0.929</w:t>
                  </w:r>
                </w:p>
              </w:tc>
              <w:tc>
                <w:tcPr/>
                <w:p>
                  <w:pPr>
                    <w:pStyle w:val="Compact"/>
                    <w:jc w:val="center"/>
                    <w:jc w:val="center"/>
                  </w:pPr>
                  <w:r>
                    <w:t xml:space="preserve">0.993</w:t>
                  </w:r>
                </w:p>
              </w:tc>
            </w:tr>
            <w:tr>
              <w:tc>
                <w:tcPr/>
                <w:p>
                  <w:pPr>
                    <w:pStyle w:val="Compact"/>
                    <w:jc w:val="left"/>
                    <w:jc w:val="center"/>
                  </w:pPr>
                  <w:r>
                    <w:t xml:space="preserve">Q11~~Q11</w:t>
                  </w:r>
                </w:p>
              </w:tc>
              <w:tc>
                <w:tcPr/>
                <w:p>
                  <w:pPr>
                    <w:pStyle w:val="Compact"/>
                    <w:jc w:val="center"/>
                    <w:jc w:val="center"/>
                  </w:pPr>
                  <w:r>
                    <w:t xml:space="preserve">-0.014</w:t>
                  </w:r>
                </w:p>
              </w:tc>
              <w:tc>
                <w:tcPr/>
                <w:p>
                  <w:pPr>
                    <w:pStyle w:val="Compact"/>
                    <w:jc w:val="center"/>
                    <w:jc w:val="center"/>
                  </w:pPr>
                  <w:r>
                    <w:t xml:space="preserve">-0.073</w:t>
                  </w:r>
                </w:p>
              </w:tc>
              <w:tc>
                <w:tcPr/>
                <w:p>
                  <w:pPr>
                    <w:pStyle w:val="Compact"/>
                    <w:jc w:val="center"/>
                    <w:jc w:val="center"/>
                  </w:pPr>
                  <w:r>
                    <w:t xml:space="preserve">0.926</w:t>
                  </w:r>
                </w:p>
              </w:tc>
              <w:tc>
                <w:tcPr/>
                <w:p>
                  <w:pPr>
                    <w:pStyle w:val="Compact"/>
                    <w:jc w:val="center"/>
                    <w:jc w:val="center"/>
                  </w:pPr>
                  <w:r>
                    <w:t xml:space="preserve">1.000</w:t>
                  </w:r>
                </w:p>
              </w:tc>
            </w:tr>
            <w:tr>
              <w:tc>
                <w:tcPr/>
                <w:p>
                  <w:pPr>
                    <w:pStyle w:val="Compact"/>
                    <w:jc w:val="left"/>
                    <w:jc w:val="center"/>
                  </w:pPr>
                  <w:r>
                    <w:t xml:space="preserve">Q19~~Q19</w:t>
                  </w:r>
                </w:p>
              </w:tc>
              <w:tc>
                <w:tcPr/>
                <w:p>
                  <w:pPr>
                    <w:pStyle w:val="Compact"/>
                    <w:jc w:val="center"/>
                    <w:jc w:val="center"/>
                  </w:pPr>
                  <w:r>
                    <w:t xml:space="preserve">-0.014</w:t>
                  </w:r>
                </w:p>
              </w:tc>
              <w:tc>
                <w:tcPr/>
                <w:p>
                  <w:pPr>
                    <w:pStyle w:val="Compact"/>
                    <w:jc w:val="center"/>
                    <w:jc w:val="center"/>
                  </w:pPr>
                  <w:r>
                    <w:t xml:space="preserve">-0.050</w:t>
                  </w:r>
                </w:p>
              </w:tc>
              <w:tc>
                <w:tcPr/>
                <w:p>
                  <w:pPr>
                    <w:pStyle w:val="Compact"/>
                    <w:jc w:val="center"/>
                    <w:jc w:val="center"/>
                  </w:pPr>
                  <w:r>
                    <w:t xml:space="preserve">0.933</w:t>
                  </w:r>
                </w:p>
              </w:tc>
              <w:tc>
                <w:tcPr/>
                <w:p>
                  <w:pPr>
                    <w:pStyle w:val="Compact"/>
                    <w:jc w:val="center"/>
                    <w:jc w:val="center"/>
                  </w:pPr>
                  <w:r>
                    <w:t xml:space="preserve">1.000</w:t>
                  </w:r>
                </w:p>
              </w:tc>
            </w:tr>
            <w:tr>
              <w:tc>
                <w:tcPr/>
                <w:p>
                  <w:pPr>
                    <w:pStyle w:val="Compact"/>
                    <w:jc w:val="left"/>
                    <w:jc w:val="center"/>
                  </w:pPr>
                  <w:r>
                    <w:t xml:space="preserve">Q26~~Q26</w:t>
                  </w:r>
                </w:p>
              </w:tc>
              <w:tc>
                <w:tcPr/>
                <w:p>
                  <w:pPr>
                    <w:pStyle w:val="Compact"/>
                    <w:jc w:val="center"/>
                    <w:jc w:val="center"/>
                  </w:pPr>
                  <w:r>
                    <w:t xml:space="preserve">-0.018</w:t>
                  </w:r>
                </w:p>
              </w:tc>
              <w:tc>
                <w:tcPr/>
                <w:p>
                  <w:pPr>
                    <w:pStyle w:val="Compact"/>
                    <w:jc w:val="center"/>
                    <w:jc w:val="center"/>
                  </w:pPr>
                  <w:r>
                    <w:t xml:space="preserve">-0.038</w:t>
                  </w:r>
                </w:p>
              </w:tc>
              <w:tc>
                <w:tcPr/>
                <w:p>
                  <w:pPr>
                    <w:pStyle w:val="Compact"/>
                    <w:jc w:val="center"/>
                    <w:jc w:val="center"/>
                  </w:pPr>
                  <w:r>
                    <w:t xml:space="preserve">0.933</w:t>
                  </w:r>
                </w:p>
              </w:tc>
              <w:tc>
                <w:tcPr/>
                <w:p>
                  <w:pPr>
                    <w:pStyle w:val="Compact"/>
                    <w:jc w:val="center"/>
                    <w:jc w:val="center"/>
                  </w:pPr>
                  <w:r>
                    <w:t xml:space="preserve">1.000</w:t>
                  </w:r>
                </w:p>
              </w:tc>
            </w:tr>
            <w:tr>
              <w:tc>
                <w:tcPr/>
                <w:p>
                  <w:pPr>
                    <w:pStyle w:val="Compact"/>
                    <w:jc w:val="left"/>
                    <w:jc w:val="center"/>
                  </w:pPr>
                  <w:r>
                    <w:t xml:space="preserve">Q3~~Q3</w:t>
                  </w:r>
                </w:p>
              </w:tc>
              <w:tc>
                <w:tcPr/>
                <w:p>
                  <w:pPr>
                    <w:pStyle w:val="Compact"/>
                    <w:jc w:val="center"/>
                    <w:jc w:val="center"/>
                  </w:pPr>
                  <w:r>
                    <w:t xml:space="preserve">-0.012</w:t>
                  </w:r>
                </w:p>
              </w:tc>
              <w:tc>
                <w:tcPr/>
                <w:p>
                  <w:pPr>
                    <w:pStyle w:val="Compact"/>
                    <w:jc w:val="center"/>
                    <w:jc w:val="center"/>
                  </w:pPr>
                  <w:r>
                    <w:t xml:space="preserve">-0.059</w:t>
                  </w:r>
                </w:p>
              </w:tc>
              <w:tc>
                <w:tcPr/>
                <w:p>
                  <w:pPr>
                    <w:pStyle w:val="Compact"/>
                    <w:jc w:val="center"/>
                    <w:jc w:val="center"/>
                  </w:pPr>
                  <w:r>
                    <w:t xml:space="preserve">0.935</w:t>
                  </w:r>
                </w:p>
              </w:tc>
              <w:tc>
                <w:tcPr/>
                <w:p>
                  <w:pPr>
                    <w:pStyle w:val="Compact"/>
                    <w:jc w:val="center"/>
                    <w:jc w:val="center"/>
                  </w:pPr>
                  <w:r>
                    <w:t xml:space="preserve">1.000</w:t>
                  </w:r>
                </w:p>
              </w:tc>
            </w:tr>
            <w:tr>
              <w:tc>
                <w:tcPr/>
                <w:p>
                  <w:pPr>
                    <w:pStyle w:val="Compact"/>
                    <w:jc w:val="left"/>
                    <w:jc w:val="center"/>
                  </w:pPr>
                  <w:r>
                    <w:t xml:space="preserve">Q4~~Q4</w:t>
                  </w:r>
                </w:p>
              </w:tc>
              <w:tc>
                <w:tcPr/>
                <w:p>
                  <w:pPr>
                    <w:pStyle w:val="Compact"/>
                    <w:jc w:val="center"/>
                    <w:jc w:val="center"/>
                  </w:pPr>
                  <w:r>
                    <w:t xml:space="preserve">-0.015</w:t>
                  </w:r>
                </w:p>
              </w:tc>
              <w:tc>
                <w:tcPr/>
                <w:p>
                  <w:pPr>
                    <w:pStyle w:val="Compact"/>
                    <w:jc w:val="center"/>
                    <w:jc w:val="center"/>
                  </w:pPr>
                  <w:r>
                    <w:t xml:space="preserve">-0.040</w:t>
                  </w:r>
                </w:p>
              </w:tc>
              <w:tc>
                <w:tcPr/>
                <w:p>
                  <w:pPr>
                    <w:pStyle w:val="Compact"/>
                    <w:jc w:val="center"/>
                    <w:jc w:val="center"/>
                  </w:pPr>
                  <w:r>
                    <w:t xml:space="preserve">0.944</w:t>
                  </w:r>
                </w:p>
              </w:tc>
              <w:tc>
                <w:tcPr/>
                <w:p>
                  <w:pPr>
                    <w:pStyle w:val="Compact"/>
                    <w:jc w:val="center"/>
                    <w:jc w:val="center"/>
                  </w:pPr>
                  <w:r>
                    <w:t xml:space="preserve">1.000</w:t>
                  </w:r>
                </w:p>
              </w:tc>
            </w:tr>
            <w:tr>
              <w:tc>
                <w:tcPr/>
                <w:p>
                  <w:pPr>
                    <w:pStyle w:val="Compact"/>
                    <w:jc w:val="left"/>
                    <w:jc w:val="center"/>
                  </w:pPr>
                  <w:r>
                    <w:t xml:space="preserve">Q10~~Q10</w:t>
                  </w:r>
                </w:p>
              </w:tc>
              <w:tc>
                <w:tcPr/>
                <w:p>
                  <w:pPr>
                    <w:pStyle w:val="Compact"/>
                    <w:jc w:val="center"/>
                    <w:jc w:val="center"/>
                  </w:pPr>
                  <w:r>
                    <w:t xml:space="preserve">-0.008</w:t>
                  </w:r>
                </w:p>
              </w:tc>
              <w:tc>
                <w:tcPr/>
                <w:p>
                  <w:pPr>
                    <w:pStyle w:val="Compact"/>
                    <w:jc w:val="center"/>
                    <w:jc w:val="center"/>
                  </w:pPr>
                  <w:r>
                    <w:t xml:space="preserve">-0.044</w:t>
                  </w:r>
                </w:p>
              </w:tc>
              <w:tc>
                <w:tcPr/>
                <w:p>
                  <w:pPr>
                    <w:pStyle w:val="Compact"/>
                    <w:jc w:val="center"/>
                    <w:jc w:val="center"/>
                  </w:pPr>
                  <w:r>
                    <w:t xml:space="preserve">0.934</w:t>
                  </w:r>
                </w:p>
              </w:tc>
              <w:tc>
                <w:tcPr/>
                <w:p>
                  <w:pPr>
                    <w:pStyle w:val="Compact"/>
                    <w:jc w:val="center"/>
                    <w:jc w:val="center"/>
                  </w:pPr>
                  <w:r>
                    <w:t xml:space="preserve">1.000</w:t>
                  </w:r>
                </w:p>
              </w:tc>
            </w:tr>
            <w:tr>
              <w:tc>
                <w:tcPr/>
                <w:p>
                  <w:pPr>
                    <w:pStyle w:val="Compact"/>
                    <w:jc w:val="left"/>
                    <w:jc w:val="center"/>
                  </w:pPr>
                  <w:r>
                    <w:t xml:space="preserve">Q15~~Q15</w:t>
                  </w:r>
                </w:p>
              </w:tc>
              <w:tc>
                <w:tcPr/>
                <w:p>
                  <w:pPr>
                    <w:pStyle w:val="Compact"/>
                    <w:jc w:val="center"/>
                    <w:jc w:val="center"/>
                  </w:pPr>
                  <w:r>
                    <w:t xml:space="preserve">0.105</w:t>
                  </w:r>
                </w:p>
              </w:tc>
              <w:tc>
                <w:tcPr/>
                <w:p>
                  <w:pPr>
                    <w:pStyle w:val="Compact"/>
                    <w:jc w:val="center"/>
                    <w:jc w:val="center"/>
                  </w:pPr>
                  <w:r>
                    <w:t xml:space="preserve">-0.068</w:t>
                  </w:r>
                </w:p>
              </w:tc>
              <w:tc>
                <w:tcPr/>
                <w:p>
                  <w:pPr>
                    <w:pStyle w:val="Compact"/>
                    <w:jc w:val="center"/>
                    <w:jc w:val="center"/>
                  </w:pPr>
                  <w:r>
                    <w:t xml:space="preserve">0.896</w:t>
                  </w:r>
                </w:p>
              </w:tc>
              <w:tc>
                <w:tcPr/>
                <w:p>
                  <w:pPr>
                    <w:pStyle w:val="Compact"/>
                    <w:jc w:val="center"/>
                    <w:jc w:val="center"/>
                  </w:pPr>
                  <w:r>
                    <w:t xml:space="preserve">1.000</w:t>
                  </w:r>
                </w:p>
              </w:tc>
            </w:tr>
            <w:tr>
              <w:tc>
                <w:tcPr/>
                <w:p>
                  <w:pPr>
                    <w:pStyle w:val="Compact"/>
                    <w:jc w:val="left"/>
                    <w:jc w:val="center"/>
                  </w:pPr>
                  <w:r>
                    <w:t xml:space="preserve">Q16~~Q16</w:t>
                  </w:r>
                </w:p>
              </w:tc>
              <w:tc>
                <w:tcPr/>
                <w:p>
                  <w:pPr>
                    <w:pStyle w:val="Compact"/>
                    <w:jc w:val="center"/>
                    <w:jc w:val="center"/>
                  </w:pPr>
                  <w:r>
                    <w:t xml:space="preserve">-0.011</w:t>
                  </w:r>
                </w:p>
              </w:tc>
              <w:tc>
                <w:tcPr/>
                <w:p>
                  <w:pPr>
                    <w:pStyle w:val="Compact"/>
                    <w:jc w:val="center"/>
                    <w:jc w:val="center"/>
                  </w:pPr>
                  <w:r>
                    <w:t xml:space="preserve">-0.055</w:t>
                  </w:r>
                </w:p>
              </w:tc>
              <w:tc>
                <w:tcPr/>
                <w:p>
                  <w:pPr>
                    <w:pStyle w:val="Compact"/>
                    <w:jc w:val="center"/>
                    <w:jc w:val="center"/>
                  </w:pPr>
                  <w:r>
                    <w:t xml:space="preserve">0.934</w:t>
                  </w:r>
                </w:p>
              </w:tc>
              <w:tc>
                <w:tcPr/>
                <w:p>
                  <w:pPr>
                    <w:pStyle w:val="Compact"/>
                    <w:jc w:val="center"/>
                    <w:jc w:val="center"/>
                  </w:pPr>
                  <w:r>
                    <w:t xml:space="preserve">1.000</w:t>
                  </w:r>
                </w:p>
              </w:tc>
            </w:tr>
            <w:tr>
              <w:tc>
                <w:tcPr/>
                <w:p>
                  <w:pPr>
                    <w:pStyle w:val="Compact"/>
                    <w:jc w:val="left"/>
                    <w:jc w:val="center"/>
                  </w:pPr>
                  <w:r>
                    <w:t xml:space="preserve">Q17~~Q17</w:t>
                  </w:r>
                </w:p>
              </w:tc>
              <w:tc>
                <w:tcPr/>
                <w:p>
                  <w:pPr>
                    <w:pStyle w:val="Compact"/>
                    <w:jc w:val="center"/>
                    <w:jc w:val="center"/>
                  </w:pPr>
                  <w:r>
                    <w:t xml:space="preserve">-0.008</w:t>
                  </w:r>
                </w:p>
              </w:tc>
              <w:tc>
                <w:tcPr/>
                <w:p>
                  <w:pPr>
                    <w:pStyle w:val="Compact"/>
                    <w:jc w:val="center"/>
                    <w:jc w:val="center"/>
                  </w:pPr>
                  <w:r>
                    <w:t xml:space="preserve">-0.084</w:t>
                  </w:r>
                </w:p>
              </w:tc>
              <w:tc>
                <w:tcPr/>
                <w:p>
                  <w:pPr>
                    <w:pStyle w:val="Compact"/>
                    <w:jc w:val="center"/>
                    <w:jc w:val="center"/>
                  </w:pPr>
                  <w:r>
                    <w:t xml:space="preserve">0.934</w:t>
                  </w:r>
                </w:p>
              </w:tc>
              <w:tc>
                <w:tcPr/>
                <w:p>
                  <w:pPr>
                    <w:pStyle w:val="Compact"/>
                    <w:jc w:val="center"/>
                    <w:jc w:val="center"/>
                  </w:pPr>
                  <w:r>
                    <w:t xml:space="preserve">0.999</w:t>
                  </w:r>
                </w:p>
              </w:tc>
            </w:tr>
            <w:tr>
              <w:tc>
                <w:tcPr/>
                <w:p>
                  <w:pPr>
                    <w:pStyle w:val="Compact"/>
                    <w:jc w:val="left"/>
                    <w:jc w:val="center"/>
                  </w:pPr>
                  <w:r>
                    <w:t xml:space="preserve">Q18~~Q18</w:t>
                  </w:r>
                </w:p>
              </w:tc>
              <w:tc>
                <w:tcPr/>
                <w:p>
                  <w:pPr>
                    <w:pStyle w:val="Compact"/>
                    <w:jc w:val="center"/>
                    <w:jc w:val="center"/>
                  </w:pPr>
                  <w:r>
                    <w:t xml:space="preserve">-0.008</w:t>
                  </w:r>
                </w:p>
              </w:tc>
              <w:tc>
                <w:tcPr/>
                <w:p>
                  <w:pPr>
                    <w:pStyle w:val="Compact"/>
                    <w:jc w:val="center"/>
                    <w:jc w:val="center"/>
                  </w:pPr>
                  <w:r>
                    <w:t xml:space="preserve">-0.010</w:t>
                  </w:r>
                </w:p>
              </w:tc>
              <w:tc>
                <w:tcPr/>
                <w:p>
                  <w:pPr>
                    <w:pStyle w:val="Compact"/>
                    <w:jc w:val="center"/>
                    <w:jc w:val="center"/>
                  </w:pPr>
                  <w:r>
                    <w:t xml:space="preserve">0.949</w:t>
                  </w:r>
                </w:p>
              </w:tc>
              <w:tc>
                <w:tcPr/>
                <w:p>
                  <w:pPr>
                    <w:pStyle w:val="Compact"/>
                    <w:jc w:val="center"/>
                    <w:jc w:val="center"/>
                  </w:pPr>
                  <w:r>
                    <w:t xml:space="preserve">1.000</w:t>
                  </w:r>
                </w:p>
              </w:tc>
            </w:tr>
            <w:tr>
              <w:tc>
                <w:tcPr/>
                <w:p>
                  <w:pPr>
                    <w:pStyle w:val="Compact"/>
                    <w:jc w:val="left"/>
                    <w:jc w:val="center"/>
                  </w:pPr>
                  <w:r>
                    <w:t xml:space="preserve">Q20~~Q20</w:t>
                  </w:r>
                </w:p>
              </w:tc>
              <w:tc>
                <w:tcPr/>
                <w:p>
                  <w:pPr>
                    <w:pStyle w:val="Compact"/>
                    <w:jc w:val="center"/>
                    <w:jc w:val="center"/>
                  </w:pPr>
                  <w:r>
                    <w:t xml:space="preserve">-0.004</w:t>
                  </w:r>
                </w:p>
              </w:tc>
              <w:tc>
                <w:tcPr/>
                <w:p>
                  <w:pPr>
                    <w:pStyle w:val="Compact"/>
                    <w:jc w:val="center"/>
                    <w:jc w:val="center"/>
                  </w:pPr>
                  <w:r>
                    <w:t xml:space="preserve">-0.091</w:t>
                  </w:r>
                </w:p>
              </w:tc>
              <w:tc>
                <w:tcPr/>
                <w:p>
                  <w:pPr>
                    <w:pStyle w:val="Compact"/>
                    <w:jc w:val="center"/>
                    <w:jc w:val="center"/>
                  </w:pPr>
                  <w:r>
                    <w:t xml:space="preserve">0.943</w:t>
                  </w:r>
                </w:p>
              </w:tc>
              <w:tc>
                <w:tcPr/>
                <w:p>
                  <w:pPr>
                    <w:pStyle w:val="Compact"/>
                    <w:jc w:val="center"/>
                    <w:jc w:val="center"/>
                  </w:pPr>
                  <w:r>
                    <w:t xml:space="preserve">0.848</w:t>
                  </w:r>
                </w:p>
              </w:tc>
            </w:tr>
            <w:tr>
              <w:tc>
                <w:tcPr/>
                <w:p>
                  <w:pPr>
                    <w:pStyle w:val="Compact"/>
                    <w:jc w:val="left"/>
                    <w:jc w:val="center"/>
                  </w:pPr>
                  <w:r>
                    <w:t xml:space="preserve">Q21~~Q21</w:t>
                  </w:r>
                </w:p>
              </w:tc>
              <w:tc>
                <w:tcPr/>
                <w:p>
                  <w:pPr>
                    <w:pStyle w:val="Compact"/>
                    <w:jc w:val="center"/>
                    <w:jc w:val="center"/>
                  </w:pPr>
                  <w:r>
                    <w:t xml:space="preserve">-0.015</w:t>
                  </w:r>
                </w:p>
              </w:tc>
              <w:tc>
                <w:tcPr/>
                <w:p>
                  <w:pPr>
                    <w:pStyle w:val="Compact"/>
                    <w:jc w:val="center"/>
                    <w:jc w:val="center"/>
                  </w:pPr>
                  <w:r>
                    <w:t xml:space="preserve">-0.042</w:t>
                  </w:r>
                </w:p>
              </w:tc>
              <w:tc>
                <w:tcPr/>
                <w:p>
                  <w:pPr>
                    <w:pStyle w:val="Compact"/>
                    <w:jc w:val="center"/>
                    <w:jc w:val="center"/>
                  </w:pPr>
                  <w:r>
                    <w:t xml:space="preserve">0.946</w:t>
                  </w:r>
                </w:p>
              </w:tc>
              <w:tc>
                <w:tcPr/>
                <w:p>
                  <w:pPr>
                    <w:pStyle w:val="Compact"/>
                    <w:jc w:val="center"/>
                    <w:jc w:val="center"/>
                  </w:pPr>
                  <w:r>
                    <w:t xml:space="preserve">0.991</w:t>
                  </w:r>
                </w:p>
              </w:tc>
            </w:tr>
            <w:tr>
              <w:tc>
                <w:tcPr/>
                <w:p>
                  <w:pPr>
                    <w:pStyle w:val="Compact"/>
                    <w:jc w:val="left"/>
                    <w:jc w:val="center"/>
                  </w:pPr>
                  <w:r>
                    <w:t xml:space="preserve">Q22~~Q22</w:t>
                  </w:r>
                </w:p>
              </w:tc>
              <w:tc>
                <w:tcPr/>
                <w:p>
                  <w:pPr>
                    <w:pStyle w:val="Compact"/>
                    <w:jc w:val="center"/>
                    <w:jc w:val="center"/>
                  </w:pPr>
                  <w:r>
                    <w:t xml:space="preserve">-0.018</w:t>
                  </w:r>
                </w:p>
              </w:tc>
              <w:tc>
                <w:tcPr/>
                <w:p>
                  <w:pPr>
                    <w:pStyle w:val="Compact"/>
                    <w:jc w:val="center"/>
                    <w:jc w:val="center"/>
                  </w:pPr>
                  <w:r>
                    <w:t xml:space="preserve">-0.050</w:t>
                  </w:r>
                </w:p>
              </w:tc>
              <w:tc>
                <w:tcPr/>
                <w:p>
                  <w:pPr>
                    <w:pStyle w:val="Compact"/>
                    <w:jc w:val="center"/>
                    <w:jc w:val="center"/>
                  </w:pPr>
                  <w:r>
                    <w:t xml:space="preserve">0.933</w:t>
                  </w:r>
                </w:p>
              </w:tc>
              <w:tc>
                <w:tcPr/>
                <w:p>
                  <w:pPr>
                    <w:pStyle w:val="Compact"/>
                    <w:jc w:val="center"/>
                    <w:jc w:val="center"/>
                  </w:pPr>
                  <w:r>
                    <w:t xml:space="preserve">1.000</w:t>
                  </w:r>
                </w:p>
              </w:tc>
            </w:tr>
            <w:tr>
              <w:tc>
                <w:tcPr/>
                <w:p>
                  <w:pPr>
                    <w:pStyle w:val="Compact"/>
                    <w:jc w:val="left"/>
                    <w:jc w:val="center"/>
                  </w:pPr>
                  <w:r>
                    <w:t xml:space="preserve">Q8~~Q8</w:t>
                  </w:r>
                </w:p>
              </w:tc>
              <w:tc>
                <w:tcPr/>
                <w:p>
                  <w:pPr>
                    <w:pStyle w:val="Compact"/>
                    <w:jc w:val="center"/>
                    <w:jc w:val="center"/>
                  </w:pPr>
                  <w:r>
                    <w:t xml:space="preserve">0.536</w:t>
                  </w:r>
                </w:p>
              </w:tc>
              <w:tc>
                <w:tcPr/>
                <w:p>
                  <w:pPr>
                    <w:pStyle w:val="Compact"/>
                    <w:jc w:val="center"/>
                    <w:jc w:val="center"/>
                  </w:pPr>
                  <w:r>
                    <w:t xml:space="preserve">-0.058</w:t>
                  </w:r>
                </w:p>
              </w:tc>
              <w:tc>
                <w:tcPr/>
                <w:p>
                  <w:pPr>
                    <w:pStyle w:val="Compact"/>
                    <w:jc w:val="center"/>
                    <w:jc w:val="center"/>
                  </w:pPr>
                  <w:r>
                    <w:t xml:space="preserve">0.136</w:t>
                  </w:r>
                </w:p>
              </w:tc>
              <w:tc>
                <w:tcPr/>
                <w:p>
                  <w:pPr>
                    <w:pStyle w:val="Compact"/>
                    <w:jc w:val="center"/>
                    <w:jc w:val="center"/>
                  </w:pPr>
                  <w:r>
                    <w:t xml:space="preserve">1.000</w:t>
                  </w:r>
                </w:p>
              </w:tc>
            </w:tr>
            <w:tr>
              <w:tc>
                <w:tcPr/>
                <w:p>
                  <w:pPr>
                    <w:pStyle w:val="Compact"/>
                    <w:jc w:val="left"/>
                    <w:jc w:val="center"/>
                  </w:pPr>
                  <w:r>
                    <w:t xml:space="preserve">Q9~~Q9</w:t>
                  </w:r>
                </w:p>
              </w:tc>
              <w:tc>
                <w:tcPr/>
                <w:p>
                  <w:pPr>
                    <w:pStyle w:val="Compact"/>
                    <w:jc w:val="center"/>
                    <w:jc w:val="center"/>
                  </w:pPr>
                  <w:r>
                    <w:t xml:space="preserve">0.028</w:t>
                  </w:r>
                </w:p>
              </w:tc>
              <w:tc>
                <w:tcPr/>
                <w:p>
                  <w:pPr>
                    <w:pStyle w:val="Compact"/>
                    <w:jc w:val="center"/>
                    <w:jc w:val="center"/>
                  </w:pPr>
                  <w:r>
                    <w:t xml:space="preserve">-0.059</w:t>
                  </w:r>
                </w:p>
              </w:tc>
              <w:tc>
                <w:tcPr/>
                <w:p>
                  <w:pPr>
                    <w:pStyle w:val="Compact"/>
                    <w:jc w:val="center"/>
                    <w:jc w:val="center"/>
                  </w:pPr>
                  <w:r>
                    <w:t xml:space="preserve">0.944</w:t>
                  </w:r>
                </w:p>
              </w:tc>
              <w:tc>
                <w:tcPr/>
                <w:p>
                  <w:pPr>
                    <w:pStyle w:val="Compact"/>
                    <w:jc w:val="center"/>
                    <w:jc w:val="center"/>
                  </w:pPr>
                  <w:r>
                    <w:t xml:space="preserve">1.000</w:t>
                  </w:r>
                </w:p>
              </w:tc>
            </w:tr>
            <w:tr>
              <w:tc>
                <w:tcPr/>
                <w:p>
                  <w:pPr>
                    <w:pStyle w:val="Compact"/>
                    <w:jc w:val="left"/>
                    <w:jc w:val="center"/>
                  </w:pPr>
                  <w:r>
                    <w:t xml:space="preserve">Q12~~Q12</w:t>
                  </w:r>
                </w:p>
              </w:tc>
              <w:tc>
                <w:tcPr/>
                <w:p>
                  <w:pPr>
                    <w:pStyle w:val="Compact"/>
                    <w:jc w:val="center"/>
                    <w:jc w:val="center"/>
                  </w:pPr>
                  <w:r>
                    <w:t xml:space="preserve">-0.001</w:t>
                  </w:r>
                </w:p>
              </w:tc>
              <w:tc>
                <w:tcPr/>
                <w:p>
                  <w:pPr>
                    <w:pStyle w:val="Compact"/>
                    <w:jc w:val="center"/>
                    <w:jc w:val="center"/>
                  </w:pPr>
                  <w:r>
                    <w:t xml:space="preserve">-0.036</w:t>
                  </w:r>
                </w:p>
              </w:tc>
              <w:tc>
                <w:tcPr/>
                <w:p>
                  <w:pPr>
                    <w:pStyle w:val="Compact"/>
                    <w:jc w:val="center"/>
                    <w:jc w:val="center"/>
                  </w:pPr>
                  <w:r>
                    <w:t xml:space="preserve">0.943</w:t>
                  </w:r>
                </w:p>
              </w:tc>
              <w:tc>
                <w:tcPr/>
                <w:p>
                  <w:pPr>
                    <w:pStyle w:val="Compact"/>
                    <w:jc w:val="center"/>
                    <w:jc w:val="center"/>
                  </w:pPr>
                  <w:r>
                    <w:t xml:space="preserve">1.000</w:t>
                  </w:r>
                </w:p>
              </w:tc>
            </w:tr>
            <w:tr>
              <w:tc>
                <w:tcPr/>
                <w:p>
                  <w:pPr>
                    <w:pStyle w:val="Compact"/>
                    <w:jc w:val="left"/>
                    <w:jc w:val="center"/>
                  </w:pPr>
                  <w:r>
                    <w:t xml:space="preserve">Q13~~Q13</w:t>
                  </w:r>
                </w:p>
              </w:tc>
              <w:tc>
                <w:tcPr/>
                <w:p>
                  <w:pPr>
                    <w:pStyle w:val="Compact"/>
                    <w:jc w:val="center"/>
                    <w:jc w:val="center"/>
                  </w:pPr>
                  <w:r>
                    <w:t xml:space="preserve">0.004</w:t>
                  </w:r>
                </w:p>
              </w:tc>
              <w:tc>
                <w:tcPr/>
                <w:p>
                  <w:pPr>
                    <w:pStyle w:val="Compact"/>
                    <w:jc w:val="center"/>
                    <w:jc w:val="center"/>
                  </w:pPr>
                  <w:r>
                    <w:t xml:space="preserve">-0.042</w:t>
                  </w:r>
                </w:p>
              </w:tc>
              <w:tc>
                <w:tcPr/>
                <w:p>
                  <w:pPr>
                    <w:pStyle w:val="Compact"/>
                    <w:jc w:val="center"/>
                    <w:jc w:val="center"/>
                  </w:pPr>
                  <w:r>
                    <w:t xml:space="preserve">0.936</w:t>
                  </w:r>
                </w:p>
              </w:tc>
              <w:tc>
                <w:tcPr/>
                <w:p>
                  <w:pPr>
                    <w:pStyle w:val="Compact"/>
                    <w:jc w:val="center"/>
                    <w:jc w:val="center"/>
                  </w:pPr>
                  <w:r>
                    <w:t xml:space="preserve">1.000</w:t>
                  </w:r>
                </w:p>
              </w:tc>
            </w:tr>
            <w:tr>
              <w:tc>
                <w:tcPr/>
                <w:p>
                  <w:pPr>
                    <w:pStyle w:val="Compact"/>
                    <w:jc w:val="left"/>
                    <w:jc w:val="center"/>
                  </w:pPr>
                  <w:r>
                    <w:t xml:space="preserve">Q14~~Q14</w:t>
                  </w:r>
                </w:p>
              </w:tc>
              <w:tc>
                <w:tcPr/>
                <w:p>
                  <w:pPr>
                    <w:pStyle w:val="Compact"/>
                    <w:jc w:val="center"/>
                    <w:jc w:val="center"/>
                  </w:pPr>
                  <w:r>
                    <w:t xml:space="preserve">-0.002</w:t>
                  </w:r>
                </w:p>
              </w:tc>
              <w:tc>
                <w:tcPr/>
                <w:p>
                  <w:pPr>
                    <w:pStyle w:val="Compact"/>
                    <w:jc w:val="center"/>
                    <w:jc w:val="center"/>
                  </w:pPr>
                  <w:r>
                    <w:t xml:space="preserve">-0.085</w:t>
                  </w:r>
                </w:p>
              </w:tc>
              <w:tc>
                <w:tcPr/>
                <w:p>
                  <w:pPr>
                    <w:pStyle w:val="Compact"/>
                    <w:jc w:val="center"/>
                    <w:jc w:val="center"/>
                  </w:pPr>
                  <w:r>
                    <w:t xml:space="preserve">0.937</w:t>
                  </w:r>
                </w:p>
              </w:tc>
              <w:tc>
                <w:tcPr/>
                <w:p>
                  <w:pPr>
                    <w:pStyle w:val="Compact"/>
                    <w:jc w:val="center"/>
                    <w:jc w:val="center"/>
                  </w:pPr>
                  <w:r>
                    <w:t xml:space="preserve">1.000</w:t>
                  </w:r>
                </w:p>
              </w:tc>
            </w:tr>
            <w:tr>
              <w:tc>
                <w:tcPr/>
                <w:p>
                  <w:pPr>
                    <w:pStyle w:val="Compact"/>
                    <w:jc w:val="left"/>
                    <w:jc w:val="center"/>
                  </w:pPr>
                  <w:r>
                    <w:t xml:space="preserve">Q23~~Q23</w:t>
                  </w:r>
                </w:p>
              </w:tc>
              <w:tc>
                <w:tcPr/>
                <w:p>
                  <w:pPr>
                    <w:pStyle w:val="Compact"/>
                    <w:jc w:val="center"/>
                    <w:jc w:val="center"/>
                  </w:pPr>
                  <w:r>
                    <w:t xml:space="preserve">-0.001</w:t>
                  </w:r>
                </w:p>
              </w:tc>
              <w:tc>
                <w:tcPr/>
                <w:p>
                  <w:pPr>
                    <w:pStyle w:val="Compact"/>
                    <w:jc w:val="center"/>
                    <w:jc w:val="center"/>
                  </w:pPr>
                  <w:r>
                    <w:t xml:space="preserve">-0.029</w:t>
                  </w:r>
                </w:p>
              </w:tc>
              <w:tc>
                <w:tcPr/>
                <w:p>
                  <w:pPr>
                    <w:pStyle w:val="Compact"/>
                    <w:jc w:val="center"/>
                    <w:jc w:val="center"/>
                  </w:pPr>
                  <w:r>
                    <w:t xml:space="preserve">0.945</w:t>
                  </w:r>
                </w:p>
              </w:tc>
              <w:tc>
                <w:tcPr/>
                <w:p>
                  <w:pPr>
                    <w:pStyle w:val="Compact"/>
                    <w:jc w:val="center"/>
                    <w:jc w:val="center"/>
                  </w:pPr>
                  <w:r>
                    <w:t xml:space="preserve">1.000</w:t>
                  </w:r>
                </w:p>
              </w:tc>
            </w:tr>
            <w:tr>
              <w:tc>
                <w:tcPr/>
                <w:p>
                  <w:pPr>
                    <w:pStyle w:val="Compact"/>
                    <w:jc w:val="left"/>
                    <w:jc w:val="center"/>
                  </w:pPr>
                  <w:r>
                    <w:t xml:space="preserve">Q24~~Q24</w:t>
                  </w:r>
                </w:p>
              </w:tc>
              <w:tc>
                <w:tcPr/>
                <w:p>
                  <w:pPr>
                    <w:pStyle w:val="Compact"/>
                    <w:jc w:val="center"/>
                    <w:jc w:val="center"/>
                  </w:pPr>
                  <w:r>
                    <w:t xml:space="preserve">-0.013</w:t>
                  </w:r>
                </w:p>
              </w:tc>
              <w:tc>
                <w:tcPr/>
                <w:p>
                  <w:pPr>
                    <w:pStyle w:val="Compact"/>
                    <w:jc w:val="center"/>
                    <w:jc w:val="center"/>
                  </w:pPr>
                  <w:r>
                    <w:t xml:space="preserve">-0.055</w:t>
                  </w:r>
                </w:p>
              </w:tc>
              <w:tc>
                <w:tcPr/>
                <w:p>
                  <w:pPr>
                    <w:pStyle w:val="Compact"/>
                    <w:jc w:val="center"/>
                    <w:jc w:val="center"/>
                  </w:pPr>
                  <w:r>
                    <w:t xml:space="preserve">0.937</w:t>
                  </w:r>
                </w:p>
              </w:tc>
              <w:tc>
                <w:tcPr/>
                <w:p>
                  <w:pPr>
                    <w:pStyle w:val="Compact"/>
                    <w:jc w:val="center"/>
                    <w:jc w:val="center"/>
                  </w:pPr>
                  <w:r>
                    <w:t xml:space="preserve">1.000</w:t>
                  </w:r>
                </w:p>
              </w:tc>
            </w:tr>
            <w:tr>
              <w:tc>
                <w:tcPr/>
                <w:p>
                  <w:pPr>
                    <w:pStyle w:val="Compact"/>
                    <w:jc w:val="left"/>
                    <w:jc w:val="center"/>
                  </w:pPr>
                  <w:r>
                    <w:t xml:space="preserve">Q25~~Q25</w:t>
                  </w:r>
                </w:p>
              </w:tc>
              <w:tc>
                <w:tcPr/>
                <w:p>
                  <w:pPr>
                    <w:pStyle w:val="Compact"/>
                    <w:jc w:val="center"/>
                    <w:jc w:val="center"/>
                  </w:pPr>
                  <w:r>
                    <w:t xml:space="preserve">-0.007</w:t>
                  </w:r>
                </w:p>
              </w:tc>
              <w:tc>
                <w:tcPr/>
                <w:p>
                  <w:pPr>
                    <w:pStyle w:val="Compact"/>
                    <w:jc w:val="center"/>
                    <w:jc w:val="center"/>
                  </w:pPr>
                  <w:r>
                    <w:t xml:space="preserve">-0.058</w:t>
                  </w:r>
                </w:p>
              </w:tc>
              <w:tc>
                <w:tcPr/>
                <w:p>
                  <w:pPr>
                    <w:pStyle w:val="Compact"/>
                    <w:jc w:val="center"/>
                    <w:jc w:val="center"/>
                  </w:pPr>
                  <w:r>
                    <w:t xml:space="preserve">0.942</w:t>
                  </w:r>
                </w:p>
              </w:tc>
              <w:tc>
                <w:tcPr/>
                <w:p>
                  <w:pPr>
                    <w:pStyle w:val="Compact"/>
                    <w:jc w:val="center"/>
                    <w:jc w:val="center"/>
                  </w:pPr>
                  <w:r>
                    <w:t xml:space="preserve">1.000</w:t>
                  </w:r>
                </w:p>
              </w:tc>
            </w:tr>
          </w:tbl>
          <w:bookmarkEnd w:id="106"/>
          <w:p/>
        </w:tc>
      </w:tr>
    </w:tbl>
    <w:p>
      <w:pPr>
        <w:pStyle w:val="BodyText"/>
      </w:pPr>
      <w:r>
        <w:rPr>
          <w:vertAlign w:val="subscript"/>
        </w:rPr>
        <w:t xml:space="preserve">Source:</w:t>
      </w:r>
      <w:r>
        <w:rPr>
          <w:vertAlign w:val="subscript"/>
        </w:rPr>
        <w:t xml:space="preserve"> </w:t>
      </w:r>
      <w:hyperlink r:id="rId107">
        <w:r>
          <w:rPr>
            <w:rStyle w:val="Hyperlink"/>
            <w:vertAlign w:val="subscript"/>
          </w:rPr>
          <w:t xml:space="preserve">Simulation — Ideal Conditions</w:t>
        </w:r>
      </w:hyperlink>
    </w:p>
    <w:p>
      <w:pPr>
        <w:pStyle w:val="BodyText"/>
      </w:pPr>
      <w:r>
        <w:t xml:space="preserve">Most primary factor loadings behave very well under ideal conditions. The indicators of</w:t>
      </w:r>
      <w:r>
        <w:t xml:space="preserve"> </w:t>
      </w:r>
      <w:r>
        <w:rPr>
          <w:rStyle w:val="VerbatimChar"/>
        </w:rPr>
        <w:t xml:space="preserve">psycho</w:t>
      </w:r>
      <w:r>
        <w:t xml:space="preserve">,</w:t>
      </w:r>
      <w:r>
        <w:t xml:space="preserve"> </w:t>
      </w:r>
      <w:r>
        <w:rPr>
          <w:rStyle w:val="VerbatimChar"/>
        </w:rPr>
        <w:t xml:space="preserve">physical</w:t>
      </w:r>
      <w:r>
        <w:t xml:space="preserve">, and</w:t>
      </w:r>
      <w:r>
        <w:t xml:space="preserve"> </w:t>
      </w:r>
      <w:r>
        <w:rPr>
          <w:rStyle w:val="VerbatimChar"/>
        </w:rPr>
        <w:t xml:space="preserve">social</w:t>
      </w:r>
      <w:r>
        <w:t xml:space="preserve"> </w:t>
      </w:r>
      <w:r>
        <w:t xml:space="preserve">follow the expected pattern: very high power, small bias, modest standard-error distortion, and coverage close to the nominal level.</w:t>
      </w:r>
    </w:p>
    <w:p>
      <w:pPr>
        <w:pStyle w:val="BodyText"/>
      </w:pPr>
      <w:r>
        <w:t xml:space="preserve">The main exception is the loading of</w:t>
      </w:r>
      <w:r>
        <w:t xml:space="preserve"> </w:t>
      </w:r>
      <w:r>
        <w:rPr>
          <w:rStyle w:val="VerbatimChar"/>
        </w:rPr>
        <w:t xml:space="preserve">Q8</w:t>
      </w:r>
      <w:r>
        <w:t xml:space="preserve"> </w:t>
      </w:r>
      <w:r>
        <w:t xml:space="preserve">on</w:t>
      </w:r>
      <w:r>
        <w:t xml:space="preserve"> </w:t>
      </w:r>
      <w:r>
        <w:rPr>
          <w:rStyle w:val="VerbatimChar"/>
        </w:rPr>
        <w:t xml:space="preserve">environment</w:t>
      </w:r>
      <w:r>
        <w:t xml:space="preserve">, together with its residual variance. This parameter is easy to detect, but it is not well recovered, which means that the model would likely identify it as nonzero while still estimating it with noticeable distortion. A secondary warning appears for</w:t>
      </w:r>
      <w:r>
        <w:t xml:space="preserve"> </w:t>
      </w:r>
      <w:r>
        <w:rPr>
          <w:rStyle w:val="VerbatimChar"/>
        </w:rPr>
        <w:t xml:space="preserve">Q15</w:t>
      </w:r>
      <w:r>
        <w:t xml:space="preserve">, whose loading and residual variance are less stable than the rest of the measurement parameters.</w:t>
      </w:r>
    </w:p>
    <w:p>
      <w:pPr>
        <w:pStyle w:val="BodyText"/>
      </w:pPr>
      <w:r>
        <w:t xml:space="preserve">The latent covariances are the most demanding part of the model. In particular, the correlations involving</w:t>
      </w:r>
      <w:r>
        <w:t xml:space="preserve"> </w:t>
      </w:r>
      <w:r>
        <w:rPr>
          <w:rStyle w:val="VerbatimChar"/>
        </w:rPr>
        <w:t xml:space="preserve">social</w:t>
      </w:r>
      <w:r>
        <w:t xml:space="preserve"> </w:t>
      </w:r>
      <w:r>
        <w:t xml:space="preserve">and</w:t>
      </w:r>
      <w:r>
        <w:t xml:space="preserve"> </w:t>
      </w:r>
      <w:r>
        <w:rPr>
          <w:rStyle w:val="VerbatimChar"/>
        </w:rPr>
        <w:t xml:space="preserve">environment</w:t>
      </w:r>
      <w:r>
        <w:t xml:space="preserve"> </w:t>
      </w:r>
      <w:r>
        <w:t xml:space="preserve">are harder to recover than the primary loadings, showing lower power and weaker coverage than the measurement parameters.</w:t>
      </w:r>
    </w:p>
    <w:p>
      <w:pPr>
        <w:pStyle w:val="BodyText"/>
      </w:pPr>
      <w:r>
        <w:t xml:space="preserve">Among residual parameters, most residual variances are acceptable, but a few are more demanding. The residual covariance</w:t>
      </w:r>
      <w:r>
        <w:t xml:space="preserve"> </w:t>
      </w:r>
      <w:r>
        <w:rPr>
          <w:rStyle w:val="VerbatimChar"/>
        </w:rPr>
        <w:t xml:space="preserve">Q3 ~~ Q4</w:t>
      </w:r>
      <w:r>
        <w:t xml:space="preserve"> </w:t>
      </w:r>
      <w:r>
        <w:t xml:space="preserve">stands out as one of the least easily detected residual parameters, and this places it closer to the latent covariances than to the well-behaved primary loadings in terms of inferential difficulty.</w:t>
      </w:r>
    </w:p>
    <w:p>
      <w:pPr>
        <w:pStyle w:val="BodyText"/>
      </w:pPr>
      <w:r>
        <w:t xml:space="preserve">The required</w:t>
      </w:r>
      <w:r>
        <w:t xml:space="preserve"> </w:t>
      </w:r>
      <m:oMath>
        <m:r>
          <m:t>N</m:t>
        </m:r>
      </m:oMath>
      <w:r>
        <w:t xml:space="preserve"> </w:t>
      </w:r>
      <w:r>
        <w:t xml:space="preserve">depends on the focal null hypothesis, the magnitude of the underlying effect, the model degrees of freedom, and the full set of model parameters, so different parameters within the same model may require markedly different sample sizes to achieve the same target power</w:t>
      </w:r>
      <w:r>
        <w:t xml:space="preserve"> </w:t>
      </w:r>
      <m:oMath>
        <m:r>
          <m:t>1</m:t>
        </m:r>
        <m:r>
          <m:rPr>
            <m:sty m:val="p"/>
          </m:rPr>
          <m:t>−</m:t>
        </m:r>
        <m:r>
          <m:t>β</m:t>
        </m:r>
      </m:oMath>
      <w:r>
        <w:t xml:space="preserve"> </w:t>
      </w:r>
      <w:r>
        <w:t xml:space="preserve">(Jobst et al., 2023; Moshagen &amp; Bader, 2024)</w:t>
      </w:r>
      <w:r>
        <w:t xml:space="preserve">. For that reason, planning should be anchored in the substantively focal and hardest-to-detect parameters, not in generic rules of thumb or in the most easily detectable effects</w:t>
      </w:r>
      <w:r>
        <w:t xml:space="preserve"> </w:t>
      </w:r>
      <w:r>
        <w:t xml:space="preserve">(Jobst et al., 2023; Moshagen &amp; Bader, 2024)</w:t>
      </w:r>
      <w:r>
        <w:t xml:space="preserve">.</w:t>
      </w:r>
    </w:p>
    <w:tbl>
      <w:tblPr>
        <w:tblStyle w:val="Table"/>
        <w:tblW w:type="pct" w:w="5000"/>
        <w:tblLayout w:type="fixed"/>
        <w:tblLook w:firstRow="0" w:lastRow="0" w:firstColumn="0" w:lastColumn="0" w:noHBand="0" w:noVBand="0" w:val="0000"/>
      </w:tblPr>
      <w:tblGrid>
        <w:gridCol w:w="7920"/>
      </w:tblGrid>
      <w:tr>
        <w:tc>
          <w:tcPr/>
          <w:bookmarkStart w:id="108" w:name="tbl-power-n-ideal"/>
          <w:p>
            <w:pPr>
              <w:jc w:val="center"/>
            </w:pPr>
            <w:pPr>
              <w:jc w:val="left"/>
              <w:spacing w:before="200"/>
              <w:pStyle w:val="ImageCaption"/>
            </w:pPr>
            <w:r>
              <w:t xml:space="preserve">Table 7: Sample size needed for 80% power under ideal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Parameter</w:t>
                  </w:r>
                </w:p>
              </w:tc>
              <w:tc>
                <w:tcPr/>
                <w:p>
                  <w:pPr>
                    <w:pStyle w:val="Compact"/>
                    <w:jc w:val="center"/>
                    <w:jc w:val="center"/>
                  </w:pPr>
                  <w:r>
                    <w:t xml:space="preserve">N</w:t>
                  </w:r>
                </w:p>
              </w:tc>
            </w:tr>
            <w:tr>
              <w:tc>
                <w:tcPr/>
                <w:p>
                  <w:pPr>
                    <w:pStyle w:val="Compact"/>
                    <w:jc w:val="left"/>
                    <w:jc w:val="center"/>
                  </w:pPr>
                  <w:r>
                    <w:t xml:space="preserve">environment=~Q8</w:t>
                  </w:r>
                </w:p>
              </w:tc>
              <w:tc>
                <w:tcPr/>
                <w:p>
                  <w:pPr>
                    <w:pStyle w:val="Compact"/>
                    <w:jc w:val="center"/>
                    <w:jc w:val="center"/>
                  </w:pPr>
                  <w:r>
                    <w:t xml:space="preserve">51</w:t>
                  </w:r>
                </w:p>
              </w:tc>
            </w:tr>
            <w:tr>
              <w:tc>
                <w:tcPr/>
                <w:p>
                  <w:pPr>
                    <w:pStyle w:val="Compact"/>
                    <w:jc w:val="left"/>
                    <w:jc w:val="center"/>
                  </w:pPr>
                  <w:r>
                    <w:t xml:space="preserve">environment=~Q9</w:t>
                  </w:r>
                </w:p>
              </w:tc>
              <w:tc>
                <w:tcPr/>
                <w:p>
                  <w:pPr>
                    <w:pStyle w:val="Compact"/>
                    <w:jc w:val="center"/>
                    <w:jc w:val="center"/>
                  </w:pPr>
                  <w:r>
                    <w:t xml:space="preserve">51</w:t>
                  </w:r>
                </w:p>
              </w:tc>
            </w:tr>
            <w:tr>
              <w:tc>
                <w:tcPr/>
                <w:p>
                  <w:pPr>
                    <w:pStyle w:val="Compact"/>
                    <w:jc w:val="left"/>
                    <w:jc w:val="center"/>
                  </w:pPr>
                  <w:r>
                    <w:t xml:space="preserve">psycho~~physical</w:t>
                  </w:r>
                </w:p>
              </w:tc>
              <w:tc>
                <w:tcPr/>
                <w:p>
                  <w:pPr>
                    <w:pStyle w:val="Compact"/>
                    <w:jc w:val="center"/>
                    <w:jc w:val="center"/>
                  </w:pPr>
                  <w:r>
                    <w:t xml:space="preserve">200</w:t>
                  </w:r>
                </w:p>
              </w:tc>
            </w:tr>
            <w:tr>
              <w:tc>
                <w:tcPr/>
                <w:p>
                  <w:pPr>
                    <w:pStyle w:val="Compact"/>
                    <w:jc w:val="left"/>
                    <w:jc w:val="center"/>
                  </w:pPr>
                  <w:r>
                    <w:t xml:space="preserve">psycho~~social</w:t>
                  </w:r>
                </w:p>
              </w:tc>
              <w:tc>
                <w:tcPr/>
                <w:p>
                  <w:pPr>
                    <w:pStyle w:val="Compact"/>
                    <w:jc w:val="center"/>
                    <w:jc w:val="center"/>
                  </w:pPr>
                  <w:r>
                    <w:t xml:space="preserve">212</w:t>
                  </w:r>
                </w:p>
              </w:tc>
            </w:tr>
            <w:tr>
              <w:tc>
                <w:tcPr/>
                <w:p>
                  <w:pPr>
                    <w:pStyle w:val="Compact"/>
                    <w:jc w:val="left"/>
                    <w:jc w:val="center"/>
                  </w:pPr>
                  <w:r>
                    <w:t xml:space="preserve">psycho~~environment</w:t>
                  </w:r>
                </w:p>
              </w:tc>
              <w:tc>
                <w:tcPr/>
                <w:p>
                  <w:pPr>
                    <w:pStyle w:val="Compact"/>
                    <w:jc w:val="center"/>
                    <w:jc w:val="center"/>
                  </w:pPr>
                  <w:r>
                    <w:t xml:space="preserve">138</w:t>
                  </w:r>
                </w:p>
              </w:tc>
            </w:tr>
            <w:tr>
              <w:tc>
                <w:tcPr/>
                <w:p>
                  <w:pPr>
                    <w:pStyle w:val="Compact"/>
                    <w:jc w:val="left"/>
                    <w:jc w:val="center"/>
                  </w:pPr>
                  <w:r>
                    <w:t xml:space="preserve">physical~~social</w:t>
                  </w:r>
                </w:p>
              </w:tc>
              <w:tc>
                <w:tcPr/>
                <w:p>
                  <w:pPr>
                    <w:pStyle w:val="Compact"/>
                    <w:jc w:val="center"/>
                    <w:jc w:val="center"/>
                  </w:pPr>
                  <w:r>
                    <w:t xml:space="preserve">198</w:t>
                  </w:r>
                </w:p>
              </w:tc>
            </w:tr>
            <w:tr>
              <w:tc>
                <w:tcPr/>
                <w:p>
                  <w:pPr>
                    <w:pStyle w:val="Compact"/>
                    <w:jc w:val="left"/>
                    <w:jc w:val="center"/>
                  </w:pPr>
                  <w:r>
                    <w:t xml:space="preserve">physical~~environment</w:t>
                  </w:r>
                </w:p>
              </w:tc>
              <w:tc>
                <w:tcPr/>
                <w:p>
                  <w:pPr>
                    <w:pStyle w:val="Compact"/>
                    <w:jc w:val="center"/>
                    <w:jc w:val="center"/>
                  </w:pPr>
                  <w:r>
                    <w:t xml:space="preserve">148</w:t>
                  </w:r>
                </w:p>
              </w:tc>
            </w:tr>
            <w:tr>
              <w:tc>
                <w:tcPr/>
                <w:p>
                  <w:pPr>
                    <w:pStyle w:val="Compact"/>
                    <w:jc w:val="left"/>
                    <w:jc w:val="center"/>
                  </w:pPr>
                  <w:r>
                    <w:t xml:space="preserve">social~~environment</w:t>
                  </w:r>
                </w:p>
              </w:tc>
              <w:tc>
                <w:tcPr/>
                <w:p>
                  <w:pPr>
                    <w:pStyle w:val="Compact"/>
                    <w:jc w:val="center"/>
                    <w:jc w:val="center"/>
                  </w:pPr>
                  <w:r>
                    <w:t xml:space="preserve">208</w:t>
                  </w:r>
                </w:p>
              </w:tc>
            </w:tr>
            <w:tr>
              <w:tc>
                <w:tcPr/>
                <w:p>
                  <w:pPr>
                    <w:pStyle w:val="Compact"/>
                    <w:jc w:val="left"/>
                    <w:jc w:val="center"/>
                  </w:pPr>
                  <w:r>
                    <w:t xml:space="preserve">Q3~~Q4</w:t>
                  </w:r>
                </w:p>
              </w:tc>
              <w:tc>
                <w:tcPr/>
                <w:p>
                  <w:pPr>
                    <w:pStyle w:val="Compact"/>
                    <w:jc w:val="center"/>
                    <w:jc w:val="center"/>
                  </w:pPr>
                  <w:r>
                    <w:t xml:space="preserve">181</w:t>
                  </w:r>
                </w:p>
              </w:tc>
            </w:tr>
            <w:tr>
              <w:tc>
                <w:tcPr/>
                <w:p>
                  <w:pPr>
                    <w:pStyle w:val="Compact"/>
                    <w:jc w:val="left"/>
                    <w:jc w:val="center"/>
                  </w:pPr>
                  <w:r>
                    <w:t xml:space="preserve">Q5~~Q5</w:t>
                  </w:r>
                </w:p>
              </w:tc>
              <w:tc>
                <w:tcPr/>
                <w:p>
                  <w:pPr>
                    <w:pStyle w:val="Compact"/>
                    <w:jc w:val="center"/>
                    <w:jc w:val="center"/>
                  </w:pPr>
                  <w:r>
                    <w:t xml:space="preserve">51</w:t>
                  </w:r>
                </w:p>
              </w:tc>
            </w:tr>
            <w:tr>
              <w:tc>
                <w:tcPr/>
                <w:p>
                  <w:pPr>
                    <w:pStyle w:val="Compact"/>
                    <w:jc w:val="left"/>
                    <w:jc w:val="center"/>
                  </w:pPr>
                  <w:r>
                    <w:t xml:space="preserve">Q7~~Q7</w:t>
                  </w:r>
                </w:p>
              </w:tc>
              <w:tc>
                <w:tcPr/>
                <w:p>
                  <w:pPr>
                    <w:pStyle w:val="Compact"/>
                    <w:jc w:val="center"/>
                    <w:jc w:val="center"/>
                  </w:pPr>
                  <w:r>
                    <w:t xml:space="preserve">51</w:t>
                  </w:r>
                </w:p>
              </w:tc>
            </w:tr>
            <w:tr>
              <w:tc>
                <w:tcPr/>
                <w:p>
                  <w:pPr>
                    <w:pStyle w:val="Compact"/>
                    <w:jc w:val="left"/>
                    <w:jc w:val="center"/>
                  </w:pPr>
                  <w:r>
                    <w:t xml:space="preserve">Q17~~Q17</w:t>
                  </w:r>
                </w:p>
              </w:tc>
              <w:tc>
                <w:tcPr/>
                <w:p>
                  <w:pPr>
                    <w:pStyle w:val="Compact"/>
                    <w:jc w:val="center"/>
                    <w:jc w:val="center"/>
                  </w:pPr>
                  <w:r>
                    <w:t xml:space="preserve">51</w:t>
                  </w:r>
                </w:p>
              </w:tc>
            </w:tr>
            <w:tr>
              <w:tc>
                <w:tcPr/>
                <w:p>
                  <w:pPr>
                    <w:pStyle w:val="Compact"/>
                    <w:jc w:val="left"/>
                    <w:jc w:val="center"/>
                  </w:pPr>
                  <w:r>
                    <w:t xml:space="preserve">Q20~~Q20</w:t>
                  </w:r>
                </w:p>
              </w:tc>
              <w:tc>
                <w:tcPr/>
                <w:p>
                  <w:pPr>
                    <w:pStyle w:val="Compact"/>
                    <w:jc w:val="center"/>
                    <w:jc w:val="center"/>
                  </w:pPr>
                  <w:r>
                    <w:t xml:space="preserve">143</w:t>
                  </w:r>
                </w:p>
              </w:tc>
            </w:tr>
            <w:tr>
              <w:tc>
                <w:tcPr/>
                <w:p>
                  <w:pPr>
                    <w:pStyle w:val="Compact"/>
                    <w:jc w:val="left"/>
                    <w:jc w:val="center"/>
                  </w:pPr>
                  <w:r>
                    <w:t xml:space="preserve">Q21~~Q21</w:t>
                  </w:r>
                </w:p>
              </w:tc>
              <w:tc>
                <w:tcPr/>
                <w:p>
                  <w:pPr>
                    <w:pStyle w:val="Compact"/>
                    <w:jc w:val="center"/>
                    <w:jc w:val="center"/>
                  </w:pPr>
                  <w:r>
                    <w:t xml:space="preserve">51</w:t>
                  </w:r>
                </w:p>
              </w:tc>
            </w:tr>
          </w:tbl>
          <w:bookmarkEnd w:id="108"/>
          <w:p/>
        </w:tc>
      </w:tr>
    </w:tbl>
    <w:p>
      <w:pPr>
        <w:pStyle w:val="BodyText"/>
      </w:pPr>
      <w:r>
        <w:rPr>
          <w:vertAlign w:val="subscript"/>
        </w:rPr>
        <w:t xml:space="preserve">Source:</w:t>
      </w:r>
      <w:r>
        <w:rPr>
          <w:vertAlign w:val="subscript"/>
        </w:rPr>
        <w:t xml:space="preserve"> </w:t>
      </w:r>
      <w:hyperlink r:id="rId109">
        <w:r>
          <w:rPr>
            <w:rStyle w:val="Hyperlink"/>
            <w:vertAlign w:val="subscript"/>
          </w:rPr>
          <w:t xml:space="preserve">Simulation — Ideal Conditions</w:t>
        </w:r>
      </w:hyperlink>
    </w:p>
    <w:p>
      <w:pPr>
        <w:pStyle w:val="BodyText"/>
      </w:pPr>
      <w:r>
        <w:t xml:space="preserve">The</w:t>
      </w:r>
      <w:r>
        <w:t xml:space="preserve"> </w:t>
      </w:r>
      <w:r>
        <w:rPr>
          <w:rStyle w:val="VerbatimChar"/>
        </w:rPr>
        <w:t xml:space="preserve">findPower</w:t>
      </w:r>
      <w:r>
        <w:t xml:space="preserve"> </w:t>
      </w:r>
      <w:r>
        <w:t xml:space="preserve">results make this contrast very clear. Many primary loadings and several residual variances reach the target power at the low end of the simulated sample-size range, whereas the latent covariances and the residual covariance</w:t>
      </w:r>
      <w:r>
        <w:t xml:space="preserve"> </w:t>
      </w:r>
      <w:r>
        <w:rPr>
          <w:rStyle w:val="VerbatimChar"/>
        </w:rPr>
        <w:t xml:space="preserve">Q3 ~~ Q4</w:t>
      </w:r>
      <w:r>
        <w:t xml:space="preserve"> </w:t>
      </w:r>
      <w:r>
        <w:t xml:space="preserve">require substantially larger samples.</w:t>
      </w:r>
    </w:p>
    <w:p>
      <w:pPr>
        <w:pStyle w:val="BodyText"/>
      </w:pPr>
      <w:r>
        <w:t xml:space="preserve">For planning purposes, this means that the study can look well powered if the goal is only to detect the main factor loadings, but not if the substantive focus is on relations among factors or on specific residual parameters. In these results, the practical reference is therefore much closer to</w:t>
      </w:r>
      <w:r>
        <w:t xml:space="preserve"> </w:t>
      </w:r>
      <m:oMath>
        <m:r>
          <m:t>N</m:t>
        </m:r>
        <m:r>
          <m:rPr>
            <m:sty m:val="p"/>
          </m:rPr>
          <m:t>≈</m:t>
        </m:r>
        <m:r>
          <m:t>200</m:t>
        </m:r>
      </m:oMath>
      <w:r>
        <w:t xml:space="preserve"> </w:t>
      </w:r>
      <w:r>
        <w:t xml:space="preserve">than to</w:t>
      </w:r>
      <w:r>
        <w:t xml:space="preserve"> </w:t>
      </w:r>
      <m:oMath>
        <m:r>
          <m:t>N</m:t>
        </m:r>
        <m:r>
          <m:rPr>
            <m:sty m:val="p"/>
          </m:rPr>
          <m:t>≈</m:t>
        </m:r>
        <m:r>
          <m:t>50</m:t>
        </m:r>
      </m:oMath>
      <w:r>
        <w:t xml:space="preserve">, because the hardest parameters, not the easiest ones, should drive the sample-size decision</w:t>
      </w:r>
      <w:r>
        <w:t xml:space="preserve"> </w:t>
      </w:r>
      <w:r>
        <w:t xml:space="preserve">(Jobst et al., 2023; Moshagen &amp; Bader, 2024; Pornprasertmanit et al., 2021)</w:t>
      </w:r>
      <w:r>
        <w:t xml:space="preserve">.</w:t>
      </w:r>
    </w:p>
    <w:p>
      <w:pPr>
        <w:pStyle w:val="BodyText"/>
      </w:pPr>
      <w:r>
        <w:t xml:space="preserve">In short, the model performs very well for most of the measurement structure, but it still shows a clear weak point in</w:t>
      </w:r>
      <w:r>
        <w:t xml:space="preserve"> </w:t>
      </w:r>
      <w:r>
        <w:rPr>
          <w:rStyle w:val="VerbatimChar"/>
        </w:rPr>
        <w:t xml:space="preserve">Q8</w:t>
      </w:r>
      <w:r>
        <w:t xml:space="preserve">, a smaller warning sign in</w:t>
      </w:r>
      <w:r>
        <w:t xml:space="preserve"> </w:t>
      </w:r>
      <w:r>
        <w:rPr>
          <w:rStyle w:val="VerbatimChar"/>
        </w:rPr>
        <w:t xml:space="preserve">Q15</w:t>
      </w:r>
      <w:r>
        <w:t xml:space="preserve">, and substantially greater sample-size demands for the latent covariance</w:t>
      </w:r>
      <w:r>
        <w:t xml:space="preserve"> </w:t>
      </w:r>
      <w:r>
        <w:rPr>
          <w:rStyle w:val="VerbatimChar"/>
        </w:rPr>
        <w:t xml:space="preserve">psycho~~social</w:t>
      </w:r>
      <w:r>
        <w:t xml:space="preserve"> </w:t>
      </w:r>
      <w:r>
        <w:t xml:space="preserve">(N = 212). So, if the goal is to support reliable inference not only for factor loadings but also for relations among the latent domains, the sample-size decision should be guided by those harder parameters rather than by the more stable measurement ones.</w:t>
      </w:r>
    </w:p>
    <w:bookmarkEnd w:id="110"/>
    <w:bookmarkStart w:id="111" w:name="recovering-the-population-parameters"/>
    <w:p>
      <w:pPr>
        <w:pStyle w:val="Heading3"/>
      </w:pPr>
      <w:r>
        <w:t xml:space="preserve">4.3 Recovering the population parameters</w:t>
      </w:r>
    </w:p>
    <w:bookmarkEnd w:id="111"/>
    <w:bookmarkEnd w:id="112"/>
    <w:bookmarkStart w:id="146" w:name="X1209260cfd11d7a4f20ced4599fb769750fdbcd"/>
    <w:p>
      <w:pPr>
        <w:pStyle w:val="Heading2"/>
      </w:pPr>
      <w:r>
        <w:t xml:space="preserve">5 Parameter-level power under the naive model</w:t>
      </w:r>
    </w:p>
    <w:p>
      <w:pPr>
        <w:pStyle w:val="FirstParagraph"/>
      </w:pPr>
      <w:r>
        <w:t xml:space="preserve">Before turning to global fit, it is useful to examine power from the perspective of</w:t>
      </w:r>
      <w:r>
        <w:t xml:space="preserve"> </w:t>
      </w:r>
      <w:r>
        <w:rPr>
          <w:b/>
          <w:bCs/>
        </w:rPr>
        <w:t xml:space="preserve">parameter recovery</w:t>
      </w:r>
      <w:r>
        <w:t xml:space="preserve">. In SEM, power is always tied to a specific hypothesis, so the required sample size may differ substantially depending on whether the focus is on overall model misfit or on individual parameters such as loadings, latent covariances, or residual covariances</w:t>
      </w:r>
      <w:r>
        <w:t xml:space="preserve"> </w:t>
      </w:r>
      <w:r>
        <w:t xml:space="preserve">(Jobst et al., 2023; Moshagen &amp; Bader, 2024)</w:t>
      </w:r>
      <w:r>
        <w:t xml:space="preserve">.</w:t>
      </w:r>
    </w:p>
    <w:p>
      <w:pPr>
        <w:pStyle w:val="BodyText"/>
      </w:pPr>
      <w:r>
        <w:t xml:space="preserve">This subsection therefore uses Monte Carlo simulation to identify the sample size required for each estimable parameter in the CFA model to attain a target power level of $ .80 $. The logic is straightforward: repeated samples are generated under the population model, the analysis model is fit to each sample, and power is summarized for each parameter across candidate values of $ N $</w:t>
      </w:r>
      <w:r>
        <w:t xml:space="preserve"> </w:t>
      </w:r>
      <w:r>
        <w:t xml:space="preserve">(Pornprasertmanit et al., 2021)</w:t>
      </w:r>
      <w:r>
        <w:t xml:space="preserve">.</w:t>
      </w:r>
    </w:p>
    <w:p>
      <w:pPr>
        <w:pStyle w:val="BodyText"/>
      </w:pPr>
      <w:r>
        <w:t xml:space="preserve">The purpose of this step is not to evaluate model fit as a whole, but to determine which parameters are easier or harder to recover under the assumed data-generating conditions. This is useful because some parts of a CFA model can be well powered at relatively small sample sizes, whereas others may require substantially larger samples, especially when the focal quantities are covariances or other comparatively subtle effects</w:t>
      </w:r>
      <w:r>
        <w:t xml:space="preserve"> </w:t>
      </w:r>
      <w:r>
        <w:t xml:space="preserve">(Jobst et al., 2023; Moshagen &amp; Bader, 2024)</w:t>
      </w:r>
      <w:r>
        <w:t xml:space="preserve">.</w:t>
      </w:r>
    </w:p>
    <w:bookmarkStart w:id="115" w:name="naive-model-1"/>
    <w:p>
      <w:pPr>
        <w:pStyle w:val="Heading4"/>
      </w:pPr>
      <w:r>
        <w:t xml:space="preserve">5.0.1 Naive model</w:t>
      </w:r>
    </w:p>
    <w:p>
      <w:pPr>
        <w:pStyle w:val="FirstParagraph"/>
      </w:pPr>
      <w:r>
        <w:t xml:space="preserve">In this tutorial, the naive model serves as a simple benchmark for parameter-level planning under worst-case conditions. As such, this analysis provides a local perspective on sample size requirements that complements, but does not replace, the later global-fit analyses that are central to the main study design</w:t>
      </w:r>
      <w:r>
        <w:t xml:space="preserve"> </w:t>
      </w:r>
      <w:r>
        <w:t xml:space="preserve">(Moshagen &amp; Bader, 2024; 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13" w:name="tbl-power-n-naive"/>
          <w:p>
            <w:pPr>
              <w:jc w:val="center"/>
            </w:pPr>
            <w:pPr>
              <w:jc w:val="left"/>
              <w:spacing w:before="200"/>
              <w:pStyle w:val="ImageCaption"/>
            </w:pPr>
            <w:r>
              <w:t xml:space="preserve">Table 8: Parameter estimates and required sample size for 80% power under naive conditions.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Rel Bias</w:t>
                  </w:r>
                </w:p>
              </w:tc>
              <w:tc>
                <w:tcPr/>
                <w:p>
                  <w:pPr>
                    <w:pStyle w:val="Compact"/>
                    <w:jc w:val="center"/>
                    <w:jc w:val="center"/>
                  </w:pPr>
                  <w:r>
                    <w:t xml:space="preserve">Rel SE Bias</w:t>
                  </w:r>
                </w:p>
              </w:tc>
              <w:tc>
                <w:tcPr/>
                <w:p>
                  <w:pPr>
                    <w:pStyle w:val="Compact"/>
                    <w:jc w:val="center"/>
                    <w:jc w:val="center"/>
                  </w:pPr>
                  <w:r>
                    <w:t xml:space="preserve">Coverage</w:t>
                  </w:r>
                </w:p>
              </w:tc>
              <w:tc>
                <w:tcPr/>
                <w:p>
                  <w:pPr>
                    <w:pStyle w:val="Compact"/>
                    <w:jc w:val="center"/>
                    <w:jc w:val="center"/>
                  </w:pPr>
                  <w:r>
                    <w:t xml:space="preserve">Power (Not equal 0)</w:t>
                  </w:r>
                </w:p>
              </w:tc>
              <w:tc>
                <w:tcPr/>
                <w:p>
                  <w:pPr>
                    <w:pStyle w:val="Compact"/>
                    <w:jc w:val="center"/>
                    <w:jc w:val="center"/>
                  </w:pPr>
                  <w:r>
                    <w:t xml:space="preserve">Required N</w:t>
                  </w:r>
                </w:p>
              </w:tc>
            </w:tr>
            <w:tr>
              <w:tc>
                <w:tcPr/>
                <w:p>
                  <w:pPr>
                    <w:pStyle w:val="Compact"/>
                    <w:jc w:val="left"/>
                    <w:jc w:val="center"/>
                  </w:pPr>
                  <w:r>
                    <w:t xml:space="preserve">psycho~~physical</w:t>
                  </w:r>
                </w:p>
              </w:tc>
              <w:tc>
                <w:tcPr/>
                <w:p>
                  <w:pPr>
                    <w:pStyle w:val="Compact"/>
                    <w:jc w:val="center"/>
                    <w:jc w:val="center"/>
                  </w:pPr>
                  <w:r>
                    <w:t xml:space="preserve">0.140</w:t>
                  </w:r>
                </w:p>
              </w:tc>
              <w:tc>
                <w:tcPr/>
                <w:p>
                  <w:pPr>
                    <w:pStyle w:val="Compact"/>
                    <w:jc w:val="center"/>
                    <w:jc w:val="center"/>
                  </w:pPr>
                  <w:r>
                    <w:t xml:space="preserve">-0.944</w:t>
                  </w:r>
                </w:p>
              </w:tc>
              <w:tc>
                <w:tcPr/>
                <w:p>
                  <w:pPr>
                    <w:pStyle w:val="Compact"/>
                    <w:jc w:val="center"/>
                    <w:jc w:val="center"/>
                  </w:pPr>
                  <w:r>
                    <w:t xml:space="preserve">0.913</w:t>
                  </w:r>
                </w:p>
              </w:tc>
              <w:tc>
                <w:tcPr/>
                <w:p>
                  <w:pPr>
                    <w:pStyle w:val="Compact"/>
                    <w:jc w:val="center"/>
                    <w:jc w:val="center"/>
                  </w:pPr>
                  <w:r>
                    <w:t xml:space="preserve">0.793</w:t>
                  </w:r>
                </w:p>
              </w:tc>
              <w:tc>
                <w:tcPr/>
                <w:p>
                  <w:pPr>
                    <w:pStyle w:val="Compact"/>
                    <w:jc w:val="center"/>
                    <w:jc w:val="center"/>
                  </w:pPr>
                  <w:r>
                    <w:t xml:space="preserve">180</w:t>
                  </w:r>
                </w:p>
              </w:tc>
            </w:tr>
            <w:tr>
              <w:tc>
                <w:tcPr/>
                <w:p>
                  <w:pPr>
                    <w:pStyle w:val="Compact"/>
                    <w:jc w:val="left"/>
                    <w:jc w:val="center"/>
                  </w:pPr>
                  <w:r>
                    <w:t xml:space="preserve">psycho~~social</w:t>
                  </w:r>
                </w:p>
              </w:tc>
              <w:tc>
                <w:tcPr/>
                <w:p>
                  <w:pPr>
                    <w:pStyle w:val="Compact"/>
                    <w:jc w:val="center"/>
                    <w:jc w:val="center"/>
                  </w:pPr>
                  <w:r>
                    <w:t xml:space="preserve">-0.009</w:t>
                  </w:r>
                </w:p>
              </w:tc>
              <w:tc>
                <w:tcPr/>
                <w:p>
                  <w:pPr>
                    <w:pStyle w:val="Compact"/>
                    <w:jc w:val="center"/>
                    <w:jc w:val="center"/>
                  </w:pPr>
                  <w:r>
                    <w:t xml:space="preserve">-0.137</w:t>
                  </w:r>
                </w:p>
              </w:tc>
              <w:tc>
                <w:tcPr/>
                <w:p>
                  <w:pPr>
                    <w:pStyle w:val="Compact"/>
                    <w:jc w:val="center"/>
                    <w:jc w:val="center"/>
                  </w:pPr>
                  <w:r>
                    <w:t xml:space="preserve">0.922</w:t>
                  </w:r>
                </w:p>
              </w:tc>
              <w:tc>
                <w:tcPr/>
                <w:p>
                  <w:pPr>
                    <w:pStyle w:val="Compact"/>
                    <w:jc w:val="center"/>
                    <w:jc w:val="center"/>
                  </w:pPr>
                  <w:r>
                    <w:t xml:space="preserve">0.780</w:t>
                  </w:r>
                </w:p>
              </w:tc>
              <w:tc>
                <w:tcPr/>
                <w:p>
                  <w:pPr>
                    <w:pStyle w:val="Compact"/>
                    <w:jc w:val="center"/>
                    <w:jc w:val="center"/>
                  </w:pPr>
                  <w:r>
                    <w:t xml:space="preserve">186</w:t>
                  </w:r>
                </w:p>
              </w:tc>
            </w:tr>
            <w:tr>
              <w:tc>
                <w:tcPr/>
                <w:p>
                  <w:pPr>
                    <w:pStyle w:val="Compact"/>
                    <w:jc w:val="left"/>
                    <w:jc w:val="center"/>
                  </w:pPr>
                  <w:r>
                    <w:t xml:space="preserve">psycho~~environment</w:t>
                  </w:r>
                </w:p>
              </w:tc>
              <w:tc>
                <w:tcPr/>
                <w:p>
                  <w:pPr>
                    <w:pStyle w:val="Compact"/>
                    <w:jc w:val="center"/>
                    <w:jc w:val="center"/>
                  </w:pPr>
                  <w:r>
                    <w:t xml:space="preserve">-0.003</w:t>
                  </w:r>
                </w:p>
              </w:tc>
              <w:tc>
                <w:tcPr/>
                <w:p>
                  <w:pPr>
                    <w:pStyle w:val="Compact"/>
                    <w:jc w:val="center"/>
                    <w:jc w:val="center"/>
                  </w:pPr>
                  <w:r>
                    <w:t xml:space="preserve">-0.089</w:t>
                  </w:r>
                </w:p>
              </w:tc>
              <w:tc>
                <w:tcPr/>
                <w:p>
                  <w:pPr>
                    <w:pStyle w:val="Compact"/>
                    <w:jc w:val="center"/>
                    <w:jc w:val="center"/>
                  </w:pPr>
                  <w:r>
                    <w:t xml:space="preserve">0.931</w:t>
                  </w:r>
                </w:p>
              </w:tc>
              <w:tc>
                <w:tcPr/>
                <w:p>
                  <w:pPr>
                    <w:pStyle w:val="Compact"/>
                    <w:jc w:val="center"/>
                    <w:jc w:val="center"/>
                  </w:pPr>
                  <w:r>
                    <w:t xml:space="preserve">0.817</w:t>
                  </w:r>
                </w:p>
              </w:tc>
              <w:tc>
                <w:tcPr/>
                <w:p>
                  <w:pPr>
                    <w:pStyle w:val="Compact"/>
                    <w:jc w:val="center"/>
                    <w:jc w:val="center"/>
                  </w:pPr>
                  <w:r>
                    <w:t xml:space="preserve">164</w:t>
                  </w:r>
                </w:p>
              </w:tc>
            </w:tr>
            <w:tr>
              <w:tc>
                <w:tcPr/>
                <w:p>
                  <w:pPr>
                    <w:pStyle w:val="Compact"/>
                    <w:jc w:val="left"/>
                    <w:jc w:val="center"/>
                  </w:pPr>
                  <w:r>
                    <w:t xml:space="preserve">physical~~social</w:t>
                  </w:r>
                </w:p>
              </w:tc>
              <w:tc>
                <w:tcPr/>
                <w:p>
                  <w:pPr>
                    <w:pStyle w:val="Compact"/>
                    <w:jc w:val="center"/>
                    <w:jc w:val="center"/>
                  </w:pPr>
                  <w:r>
                    <w:t xml:space="preserve">0.331</w:t>
                  </w:r>
                </w:p>
              </w:tc>
              <w:tc>
                <w:tcPr/>
                <w:p>
                  <w:pPr>
                    <w:pStyle w:val="Compact"/>
                    <w:jc w:val="center"/>
                    <w:jc w:val="center"/>
                  </w:pPr>
                  <w:r>
                    <w:t xml:space="preserve">-0.971</w:t>
                  </w:r>
                </w:p>
              </w:tc>
              <w:tc>
                <w:tcPr/>
                <w:p>
                  <w:pPr>
                    <w:pStyle w:val="Compact"/>
                    <w:jc w:val="center"/>
                    <w:jc w:val="center"/>
                  </w:pPr>
                  <w:r>
                    <w:t xml:space="preserve">0.924</w:t>
                  </w:r>
                </w:p>
              </w:tc>
              <w:tc>
                <w:tcPr/>
                <w:p>
                  <w:pPr>
                    <w:pStyle w:val="Compact"/>
                    <w:jc w:val="center"/>
                    <w:jc w:val="center"/>
                  </w:pPr>
                  <w:r>
                    <w:t xml:space="preserve">0.775</w:t>
                  </w:r>
                </w:p>
              </w:tc>
              <w:tc>
                <w:tcPr/>
                <w:p>
                  <w:pPr>
                    <w:pStyle w:val="Compact"/>
                    <w:jc w:val="center"/>
                    <w:jc w:val="center"/>
                  </w:pPr>
                  <w:r>
                    <w:t xml:space="preserve">192</w:t>
                  </w:r>
                </w:p>
              </w:tc>
            </w:tr>
            <w:tr>
              <w:tc>
                <w:tcPr/>
                <w:p>
                  <w:pPr>
                    <w:pStyle w:val="Compact"/>
                    <w:jc w:val="left"/>
                    <w:jc w:val="center"/>
                  </w:pPr>
                  <w:r>
                    <w:t xml:space="preserve">physical~~environment</w:t>
                  </w:r>
                </w:p>
              </w:tc>
              <w:tc>
                <w:tcPr/>
                <w:p>
                  <w:pPr>
                    <w:pStyle w:val="Compact"/>
                    <w:jc w:val="center"/>
                    <w:jc w:val="center"/>
                  </w:pPr>
                  <w:r>
                    <w:t xml:space="preserve">0.141</w:t>
                  </w:r>
                </w:p>
              </w:tc>
              <w:tc>
                <w:tcPr/>
                <w:p>
                  <w:pPr>
                    <w:pStyle w:val="Compact"/>
                    <w:jc w:val="center"/>
                    <w:jc w:val="center"/>
                  </w:pPr>
                  <w:r>
                    <w:t xml:space="preserve">-0.932</w:t>
                  </w:r>
                </w:p>
              </w:tc>
              <w:tc>
                <w:tcPr/>
                <w:p>
                  <w:pPr>
                    <w:pStyle w:val="Compact"/>
                    <w:jc w:val="center"/>
                    <w:jc w:val="center"/>
                  </w:pPr>
                  <w:r>
                    <w:t xml:space="preserve">0.929</w:t>
                  </w:r>
                </w:p>
              </w:tc>
              <w:tc>
                <w:tcPr/>
                <w:p>
                  <w:pPr>
                    <w:pStyle w:val="Compact"/>
                    <w:jc w:val="center"/>
                    <w:jc w:val="center"/>
                  </w:pPr>
                  <w:r>
                    <w:t xml:space="preserve">0.793</w:t>
                  </w:r>
                </w:p>
              </w:tc>
              <w:tc>
                <w:tcPr/>
                <w:p>
                  <w:pPr>
                    <w:pStyle w:val="Compact"/>
                    <w:jc w:val="center"/>
                    <w:jc w:val="center"/>
                  </w:pPr>
                  <w:r>
                    <w:t xml:space="preserve">178</w:t>
                  </w:r>
                </w:p>
              </w:tc>
            </w:tr>
            <w:tr>
              <w:tc>
                <w:tcPr/>
                <w:p>
                  <w:pPr>
                    <w:pStyle w:val="Compact"/>
                    <w:jc w:val="left"/>
                    <w:jc w:val="center"/>
                  </w:pPr>
                  <w:r>
                    <w:t xml:space="preserve">social~~environment</w:t>
                  </w:r>
                </w:p>
              </w:tc>
              <w:tc>
                <w:tcPr/>
                <w:p>
                  <w:pPr>
                    <w:pStyle w:val="Compact"/>
                    <w:jc w:val="center"/>
                    <w:jc w:val="center"/>
                  </w:pPr>
                  <w:r>
                    <w:t xml:space="preserve">-0.014</w:t>
                  </w:r>
                </w:p>
              </w:tc>
              <w:tc>
                <w:tcPr/>
                <w:p>
                  <w:pPr>
                    <w:pStyle w:val="Compact"/>
                    <w:jc w:val="center"/>
                    <w:jc w:val="center"/>
                  </w:pPr>
                  <w:r>
                    <w:t xml:space="preserve">-0.123</w:t>
                  </w:r>
                </w:p>
              </w:tc>
              <w:tc>
                <w:tcPr/>
                <w:p>
                  <w:pPr>
                    <w:pStyle w:val="Compact"/>
                    <w:jc w:val="center"/>
                    <w:jc w:val="center"/>
                  </w:pPr>
                  <w:r>
                    <w:t xml:space="preserve">0.928</w:t>
                  </w:r>
                </w:p>
              </w:tc>
              <w:tc>
                <w:tcPr/>
                <w:p>
                  <w:pPr>
                    <w:pStyle w:val="Compact"/>
                    <w:jc w:val="center"/>
                    <w:jc w:val="center"/>
                  </w:pPr>
                  <w:r>
                    <w:t xml:space="preserve">0.780</w:t>
                  </w:r>
                </w:p>
              </w:tc>
              <w:tc>
                <w:tcPr/>
                <w:p>
                  <w:pPr>
                    <w:pStyle w:val="Compact"/>
                    <w:jc w:val="center"/>
                    <w:jc w:val="center"/>
                  </w:pPr>
                  <w:r>
                    <w:t xml:space="preserve">184</w:t>
                  </w:r>
                </w:p>
              </w:tc>
            </w:tr>
            <w:tr>
              <w:tc>
                <w:tcPr/>
                <w:p>
                  <w:pPr>
                    <w:pStyle w:val="Compact"/>
                    <w:jc w:val="left"/>
                    <w:jc w:val="center"/>
                  </w:pPr>
                  <w:r>
                    <w:t xml:space="preserve">Q3~~Q4</w:t>
                  </w:r>
                </w:p>
              </w:tc>
              <w:tc>
                <w:tcPr/>
                <w:p>
                  <w:pPr>
                    <w:pStyle w:val="Compact"/>
                    <w:jc w:val="center"/>
                    <w:jc w:val="center"/>
                  </w:pPr>
                  <w:r>
                    <w:t xml:space="preserve">-0.013</w:t>
                  </w:r>
                </w:p>
              </w:tc>
              <w:tc>
                <w:tcPr/>
                <w:p>
                  <w:pPr>
                    <w:pStyle w:val="Compact"/>
                    <w:jc w:val="center"/>
                    <w:jc w:val="center"/>
                  </w:pPr>
                  <w:r>
                    <w:t xml:space="preserve">-0.130</w:t>
                  </w:r>
                </w:p>
              </w:tc>
              <w:tc>
                <w:tcPr/>
                <w:p>
                  <w:pPr>
                    <w:pStyle w:val="Compact"/>
                    <w:jc w:val="center"/>
                    <w:jc w:val="center"/>
                  </w:pPr>
                  <w:r>
                    <w:t xml:space="preserve">0.932</w:t>
                  </w:r>
                </w:p>
              </w:tc>
              <w:tc>
                <w:tcPr/>
                <w:p>
                  <w:pPr>
                    <w:pStyle w:val="Compact"/>
                    <w:jc w:val="center"/>
                    <w:jc w:val="center"/>
                  </w:pPr>
                  <w:r>
                    <w:t xml:space="preserve">0.845</w:t>
                  </w:r>
                </w:p>
              </w:tc>
              <w:tc>
                <w:tcPr/>
                <w:p>
                  <w:pPr>
                    <w:pStyle w:val="Compact"/>
                    <w:jc w:val="center"/>
                    <w:jc w:val="center"/>
                  </w:pPr>
                  <w:r>
                    <w:t xml:space="preserve">143</w:t>
                  </w:r>
                </w:p>
              </w:tc>
            </w:tr>
          </w:tbl>
          <w:bookmarkEnd w:id="113"/>
          <w:p/>
        </w:tc>
      </w:tr>
    </w:tbl>
    <w:p>
      <w:pPr>
        <w:pStyle w:val="BodyText"/>
      </w:pPr>
      <w:r>
        <w:rPr>
          <w:vertAlign w:val="subscript"/>
        </w:rPr>
        <w:t xml:space="preserve">Source:</w:t>
      </w:r>
      <w:r>
        <w:rPr>
          <w:vertAlign w:val="subscript"/>
        </w:rPr>
        <w:t xml:space="preserve"> </w:t>
      </w:r>
      <w:hyperlink r:id="rId114">
        <w:r>
          <w:rPr>
            <w:rStyle w:val="Hyperlink"/>
            <w:vertAlign w:val="subscript"/>
          </w:rPr>
          <w:t xml:space="preserve">Simulation — Ideal Conditions</w:t>
        </w:r>
      </w:hyperlink>
    </w:p>
    <w:p>
      <w:pPr>
        <w:pStyle w:val="BodyText"/>
      </w:pPr>
      <w:r>
        <w:t xml:space="preserve">The</w:t>
      </w:r>
      <w:r>
        <w:t xml:space="preserve"> </w:t>
      </w:r>
      <w:hyperlink w:anchor="tbl-power-n-naive">
        <w:r>
          <w:rPr>
            <w:rStyle w:val="Hyperlink"/>
          </w:rPr>
          <w:t xml:space="preserve">Table 8</w:t>
        </w:r>
      </w:hyperlink>
      <w:r>
        <w:t xml:space="preserve"> </w:t>
      </w:r>
      <w:r>
        <w:t xml:space="preserve">shows that most factor loadings reach the target power of $ .80 $ with very small sample sizes, generally with $ N = &lt; 60 $. This indicates that the loading structure is relatively easy to recover under the naive model in the ideal condition.</w:t>
      </w:r>
    </w:p>
    <w:p>
      <w:pPr>
        <w:pStyle w:val="BodyText"/>
      </w:pPr>
      <w:r>
        <w:t xml:space="preserve">The more demanding results are found among the latent covariances. Their required sample sizes are substantially larger:</w:t>
      </w:r>
      <w:r>
        <w:t xml:space="preserve"> </w:t>
      </w:r>
      <m:oMath>
        <m:r>
          <m:t>p</m:t>
        </m:r>
        <m:r>
          <m:t>s</m:t>
        </m:r>
        <m:r>
          <m:t>y</m:t>
        </m:r>
        <m:r>
          <m:t>c</m:t>
        </m:r>
        <m:r>
          <m:t>h</m:t>
        </m:r>
        <m:r>
          <m:t>o</m:t>
        </m:r>
        <m:r>
          <m:rPr>
            <m:sty m:val="p"/>
          </m:rPr>
          <m:t>∼</m:t>
        </m:r>
        <m:r>
          <m:rPr>
            <m:sty m:val="p"/>
          </m:rPr>
          <m:t>∼</m:t>
        </m:r>
        <m:r>
          <m:t>p</m:t>
        </m:r>
        <m:r>
          <m:t>h</m:t>
        </m:r>
        <m:r>
          <m:t>y</m:t>
        </m:r>
        <m:r>
          <m:t>s</m:t>
        </m:r>
        <m:r>
          <m:t>i</m:t>
        </m:r>
        <m:r>
          <m:t>c</m:t>
        </m:r>
        <m:r>
          <m:t>a</m:t>
        </m:r>
        <m:r>
          <m:t>l</m:t>
        </m:r>
      </m:oMath>
      <w:r>
        <w:t xml:space="preserve"> </w:t>
      </w:r>
      <w:r>
        <w:t xml:space="preserve">= 180,</w:t>
      </w:r>
      <w:r>
        <w:t xml:space="preserve"> </w:t>
      </w:r>
      <m:oMath>
        <m:r>
          <m:t>p</m:t>
        </m:r>
        <m:r>
          <m:t>s</m:t>
        </m:r>
        <m:r>
          <m:t>y</m:t>
        </m:r>
        <m:r>
          <m:t>c</m:t>
        </m:r>
        <m:r>
          <m:t>h</m:t>
        </m:r>
        <m:r>
          <m:t>o</m:t>
        </m:r>
        <m:r>
          <m:rPr>
            <m:sty m:val="p"/>
          </m:rPr>
          <m:t>∼</m:t>
        </m:r>
        <m:r>
          <m:rPr>
            <m:sty m:val="p"/>
          </m:rPr>
          <m:t>∼</m:t>
        </m:r>
        <m:r>
          <m:t>s</m:t>
        </m:r>
        <m:r>
          <m:t>o</m:t>
        </m:r>
        <m:r>
          <m:t>c</m:t>
        </m:r>
        <m:r>
          <m:t>i</m:t>
        </m:r>
        <m:r>
          <m:t>a</m:t>
        </m:r>
        <m:r>
          <m:t>l</m:t>
        </m:r>
      </m:oMath>
      <w:r>
        <w:t xml:space="preserve"> </w:t>
      </w:r>
      <w:r>
        <w:t xml:space="preserve">= 186,</w:t>
      </w:r>
      <w:r>
        <w:t xml:space="preserve"> </w:t>
      </w:r>
      <m:oMath>
        <m:r>
          <m:t>p</m:t>
        </m:r>
        <m:r>
          <m:t>s</m:t>
        </m:r>
        <m:r>
          <m:t>y</m:t>
        </m:r>
        <m:r>
          <m:t>c</m:t>
        </m:r>
        <m:r>
          <m:t>h</m:t>
        </m:r>
        <m:r>
          <m:t>o</m:t>
        </m:r>
        <m:r>
          <m:rPr>
            <m:sty m:val="p"/>
          </m:rPr>
          <m:t>∼</m:t>
        </m:r>
        <m:r>
          <m:rPr>
            <m:sty m:val="p"/>
          </m:rPr>
          <m:t>∼</m:t>
        </m:r>
        <m:r>
          <m:t>e</m:t>
        </m:r>
        <m:r>
          <m:t>n</m:t>
        </m:r>
        <m:r>
          <m:t>v</m:t>
        </m:r>
        <m:r>
          <m:t>i</m:t>
        </m:r>
        <m:r>
          <m:t>r</m:t>
        </m:r>
        <m:r>
          <m:t>o</m:t>
        </m:r>
        <m:r>
          <m:t>n</m:t>
        </m:r>
        <m:r>
          <m:t>m</m:t>
        </m:r>
        <m:r>
          <m:t>e</m:t>
        </m:r>
        <m:r>
          <m:t>n</m:t>
        </m:r>
        <m:r>
          <m:t>t</m:t>
        </m:r>
      </m:oMath>
      <w:r>
        <w:t xml:space="preserve"> </w:t>
      </w:r>
      <w:r>
        <w:t xml:space="preserve">= 164,</w:t>
      </w:r>
      <w:r>
        <w:t xml:space="preserve"> </w:t>
      </w:r>
      <m:oMath>
        <m:r>
          <m:t>p</m:t>
        </m:r>
        <m:r>
          <m:t>h</m:t>
        </m:r>
        <m:r>
          <m:t>y</m:t>
        </m:r>
        <m:r>
          <m:t>s</m:t>
        </m:r>
        <m:r>
          <m:t>i</m:t>
        </m:r>
        <m:r>
          <m:t>c</m:t>
        </m:r>
        <m:r>
          <m:t>a</m:t>
        </m:r>
        <m:r>
          <m:t>l</m:t>
        </m:r>
        <m:r>
          <m:rPr>
            <m:sty m:val="p"/>
          </m:rPr>
          <m:t>∼</m:t>
        </m:r>
        <m:r>
          <m:rPr>
            <m:sty m:val="p"/>
          </m:rPr>
          <m:t>∼</m:t>
        </m:r>
        <m:r>
          <m:t>s</m:t>
        </m:r>
        <m:r>
          <m:t>o</m:t>
        </m:r>
        <m:r>
          <m:t>c</m:t>
        </m:r>
        <m:r>
          <m:t>i</m:t>
        </m:r>
        <m:r>
          <m:t>a</m:t>
        </m:r>
        <m:r>
          <m:t>l</m:t>
        </m:r>
      </m:oMath>
      <w:r>
        <w:t xml:space="preserve"> </w:t>
      </w:r>
      <w:r>
        <w:t xml:space="preserve">= 192,</w:t>
      </w:r>
      <w:r>
        <w:t xml:space="preserve"> </w:t>
      </w:r>
      <m:oMath>
        <m:r>
          <m:t>p</m:t>
        </m:r>
        <m:r>
          <m:t>h</m:t>
        </m:r>
        <m:r>
          <m:t>y</m:t>
        </m:r>
        <m:r>
          <m:t>s</m:t>
        </m:r>
        <m:r>
          <m:t>i</m:t>
        </m:r>
        <m:r>
          <m:t>c</m:t>
        </m:r>
        <m:r>
          <m:t>a</m:t>
        </m:r>
        <m:r>
          <m:t>l</m:t>
        </m:r>
        <m:r>
          <m:rPr>
            <m:sty m:val="p"/>
          </m:rPr>
          <m:t>∼</m:t>
        </m:r>
        <m:r>
          <m:rPr>
            <m:sty m:val="p"/>
          </m:rPr>
          <m:t>∼</m:t>
        </m:r>
        <m:r>
          <m:t>e</m:t>
        </m:r>
        <m:r>
          <m:t>n</m:t>
        </m:r>
        <m:r>
          <m:t>v</m:t>
        </m:r>
        <m:r>
          <m:t>i</m:t>
        </m:r>
        <m:r>
          <m:t>r</m:t>
        </m:r>
        <m:r>
          <m:t>o</m:t>
        </m:r>
        <m:r>
          <m:t>n</m:t>
        </m:r>
        <m:r>
          <m:t>m</m:t>
        </m:r>
        <m:r>
          <m:t>e</m:t>
        </m:r>
        <m:r>
          <m:t>n</m:t>
        </m:r>
        <m:r>
          <m:t>t</m:t>
        </m:r>
      </m:oMath>
      <w:r>
        <w:t xml:space="preserve"> </w:t>
      </w:r>
      <w:r>
        <w:t xml:space="preserve">= 178, and</w:t>
      </w:r>
      <w:r>
        <w:t xml:space="preserve"> </w:t>
      </w:r>
      <m:oMath>
        <m:r>
          <m:t>s</m:t>
        </m:r>
        <m:r>
          <m:t>o</m:t>
        </m:r>
        <m:r>
          <m:t>c</m:t>
        </m:r>
        <m:r>
          <m:t>i</m:t>
        </m:r>
        <m:r>
          <m:t>a</m:t>
        </m:r>
        <m:r>
          <m:t>l</m:t>
        </m:r>
        <m:r>
          <m:rPr>
            <m:sty m:val="p"/>
          </m:rPr>
          <m:t>∼</m:t>
        </m:r>
        <m:r>
          <m:rPr>
            <m:sty m:val="p"/>
          </m:rPr>
          <m:t>∼</m:t>
        </m:r>
        <m:r>
          <m:t>e</m:t>
        </m:r>
        <m:r>
          <m:t>n</m:t>
        </m:r>
        <m:r>
          <m:t>v</m:t>
        </m:r>
        <m:r>
          <m:t>i</m:t>
        </m:r>
        <m:r>
          <m:t>r</m:t>
        </m:r>
        <m:r>
          <m:t>o</m:t>
        </m:r>
        <m:r>
          <m:t>n</m:t>
        </m:r>
        <m:r>
          <m:t>m</m:t>
        </m:r>
        <m:r>
          <m:t>e</m:t>
        </m:r>
        <m:r>
          <m:t>n</m:t>
        </m:r>
        <m:r>
          <m:t>t</m:t>
        </m:r>
      </m:oMath>
      <w:r>
        <w:t xml:space="preserve"> </w:t>
      </w:r>
      <w:r>
        <w:t xml:space="preserve">= 184.</w:t>
      </w:r>
    </w:p>
    <w:p>
      <w:pPr>
        <w:pStyle w:val="BodyText"/>
      </w:pPr>
      <w:r>
        <w:t xml:space="preserve">The residual covariance</w:t>
      </w:r>
      <w:r>
        <w:t xml:space="preserve"> </w:t>
      </w:r>
      <m:oMath>
        <m:r>
          <m:t>Q</m:t>
        </m:r>
        <m:r>
          <m:t>3</m:t>
        </m:r>
        <m:r>
          <m:rPr>
            <m:sty m:val="p"/>
          </m:rPr>
          <m:t>∼</m:t>
        </m:r>
        <m:r>
          <m:rPr>
            <m:sty m:val="p"/>
          </m:rPr>
          <m:t>∼</m:t>
        </m:r>
        <m:r>
          <m:t>Q</m:t>
        </m:r>
        <m:r>
          <m:t>4</m:t>
        </m:r>
      </m:oMath>
      <w:r>
        <w:t xml:space="preserve"> </w:t>
      </w:r>
      <w:r>
        <w:t xml:space="preserve">falls between these two groups, requiring</w:t>
      </w:r>
      <w:r>
        <w:t xml:space="preserve"> </w:t>
      </w:r>
      <m:oMath>
        <m:r>
          <m:t>N</m:t>
        </m:r>
      </m:oMath>
      <w:r>
        <w:t xml:space="preserve"> </w:t>
      </w:r>
      <w:r>
        <w:t xml:space="preserve">= 143. It is clearly harder to recover than the loadings and residual variances, but still less demanding than the latent covariances.</w:t>
      </w:r>
    </w:p>
    <w:p>
      <w:pPr>
        <w:pStyle w:val="BodyText"/>
      </w:pPr>
      <w:r>
        <w:t xml:space="preserve">The largest value in the table is</w:t>
      </w:r>
      <w:r>
        <w:t xml:space="preserve"> </w:t>
      </w:r>
      <m:oMath>
        <m:r>
          <m:t>N</m:t>
        </m:r>
      </m:oMath>
      <w:r>
        <w:t xml:space="preserve"> </w:t>
      </w:r>
      <w:r>
        <w:t xml:space="preserve">= 192, associated with</w:t>
      </w:r>
      <w:r>
        <w:t xml:space="preserve"> </w:t>
      </w:r>
      <m:oMath>
        <m:r>
          <m:t>p</m:t>
        </m:r>
        <m:r>
          <m:t>h</m:t>
        </m:r>
        <m:r>
          <m:t>y</m:t>
        </m:r>
        <m:r>
          <m:t>s</m:t>
        </m:r>
        <m:r>
          <m:t>i</m:t>
        </m:r>
        <m:r>
          <m:t>c</m:t>
        </m:r>
        <m:r>
          <m:t>a</m:t>
        </m:r>
        <m:r>
          <m:t>l</m:t>
        </m:r>
        <m:r>
          <m:rPr>
            <m:sty m:val="p"/>
          </m:rPr>
          <m:t>∼</m:t>
        </m:r>
        <m:r>
          <m:rPr>
            <m:sty m:val="p"/>
          </m:rPr>
          <m:t>∼</m:t>
        </m:r>
        <m:r>
          <m:t>s</m:t>
        </m:r>
        <m:r>
          <m:t>o</m:t>
        </m:r>
        <m:r>
          <m:t>c</m:t>
        </m:r>
        <m:r>
          <m:t>i</m:t>
        </m:r>
        <m:r>
          <m:t>a</m:t>
        </m:r>
        <m:r>
          <m:t>l</m:t>
        </m:r>
      </m:oMath>
      <w:r>
        <w:t xml:space="preserve">. For this reason, this parameter determines the minimum sample size required to achieve at least</w:t>
      </w:r>
      <w:r>
        <w:t xml:space="preserve"> </w:t>
      </w:r>
      <m:oMath>
        <m:r>
          <m:t>.80</m:t>
        </m:r>
      </m:oMath>
      <w:r>
        <w:t xml:space="preserve"> </w:t>
      </w:r>
      <w:r>
        <w:t xml:space="preserve">power for all reported finite parameters in this parameter-recovery analysis.</w:t>
      </w:r>
    </w:p>
    <w:p>
      <w:pPr>
        <w:pStyle w:val="BodyText"/>
      </w:pPr>
      <w:r>
        <w:t xml:space="preserve">Taken together, the pattern is very clear: the measurement part of the model is well powered at relatively small</w:t>
      </w:r>
      <w:r>
        <w:t xml:space="preserve"> </w:t>
      </w:r>
      <m:oMath>
        <m:r>
          <m:t>N</m:t>
        </m:r>
      </m:oMath>
      <w:r>
        <w:t xml:space="preserve">, whereas the associations among latent factors require a much larger sample. In this subsection, the recommended sample size is therefore</w:t>
      </w:r>
      <w:r>
        <w:t xml:space="preserve"> </w:t>
      </w:r>
      <m:oMath>
        <m:r>
          <m:t>N</m:t>
        </m:r>
      </m:oMath>
      <w:r>
        <w:t xml:space="preserve"> </w:t>
      </w:r>
      <w:r>
        <w:t xml:space="preserve">= 192, because this is the smallest value that satisfies the</w:t>
      </w:r>
      <w:r>
        <w:t xml:space="preserve"> </w:t>
      </w:r>
      <m:oMath>
        <m:r>
          <m:t>.80</m:t>
        </m:r>
      </m:oMath>
      <w:r>
        <w:t xml:space="preserve"> </w:t>
      </w:r>
      <w:r>
        <w:t xml:space="preserve">power criterion for the most demanding parameter.</w:t>
      </w:r>
    </w:p>
    <w:bookmarkEnd w:id="115"/>
    <w:bookmarkStart w:id="118" w:name="optimistic-model-1"/>
    <w:p>
      <w:pPr>
        <w:pStyle w:val="Heading4"/>
      </w:pPr>
      <w:r>
        <w:t xml:space="preserve">5.0.2 Optimistic model</w:t>
      </w:r>
    </w:p>
    <w:p>
      <w:pPr>
        <w:pStyle w:val="FirstParagraph"/>
      </w:pPr>
      <w:r>
        <w:t xml:space="preserve">This subsection examines sample size requirements from a</w:t>
      </w:r>
      <w:r>
        <w:t xml:space="preserve"> </w:t>
      </w:r>
      <w:r>
        <w:rPr>
          <w:b/>
          <w:bCs/>
        </w:rPr>
        <w:t xml:space="preserve">parameter-level</w:t>
      </w:r>
      <w:r>
        <w:t xml:space="preserve"> </w:t>
      </w:r>
      <w:r>
        <w:t xml:space="preserve">perspective under the optimal model. The Monte Carlo setup used here evaluates how power changes as</w:t>
      </w:r>
      <w:r>
        <w:t xml:space="preserve"> </w:t>
      </w:r>
      <m:oMath>
        <m:r>
          <m:t>N</m:t>
        </m:r>
      </m:oMath>
      <w:r>
        <w:t xml:space="preserve"> </w:t>
      </w:r>
      <w:r>
        <w:t xml:space="preserve">varies and then identifies the smallest sample size required for each parameter to attain the target power level of</w:t>
      </w:r>
      <w:r>
        <w:t xml:space="preserve"> </w:t>
      </w:r>
      <m:oMath>
        <m:r>
          <m:t>.80</m:t>
        </m:r>
      </m:oMath>
      <w:r>
        <w:t xml:space="preserve">. In the</w:t>
      </w:r>
      <w:r>
        <w:t xml:space="preserve"> </w:t>
      </w:r>
      <w:r>
        <w:rPr>
          <w:rStyle w:val="VerbatimChar"/>
        </w:rPr>
        <w:t xml:space="preserve">simsem</w:t>
      </w:r>
      <w:r>
        <w:t xml:space="preserve"> </w:t>
      </w:r>
      <w:r>
        <w:t xml:space="preserve">framework, this type of analysis is useful for planning studies when the main concern is whether specific model components can be detected under assumed population conditions</w:t>
      </w:r>
      <w:r>
        <w:t xml:space="preserve"> </w:t>
      </w:r>
      <w:r>
        <w:t xml:space="preserve">(Pornprasertmanit et al., 2021)</w:t>
      </w:r>
      <w:r>
        <w:t xml:space="preserve">.</w:t>
      </w:r>
    </w:p>
    <w:p>
      <w:pPr>
        <w:pStyle w:val="BodyText"/>
      </w:pPr>
      <w:r>
        <w:t xml:space="preserve">Within the optimal scenario, this step provides a benchmark for how demanding the focal parameters are when the model is estimated under more favorable assumptions. Thus, the analysis complements later global-fit evaluations by showing the local sample size requirements implied by the same CFA structure</w:t>
      </w:r>
      <w:r>
        <w:t xml:space="preserve"> </w:t>
      </w:r>
      <w:r>
        <w:t xml:space="preserve">(Moshagen &amp; Bader, 2024; 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16" w:name="tbl-power-n-opt"/>
          <w:p>
            <w:pPr>
              <w:jc w:val="center"/>
            </w:pPr>
            <w:pPr>
              <w:jc w:val="left"/>
              <w:spacing w:before="200"/>
              <w:pStyle w:val="ImageCaption"/>
            </w:pPr>
            <w:r>
              <w:t xml:space="preserve">Table 9: Parameter estimates and required sample size for 80% power under optimal conditions.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Parameter</w:t>
                  </w:r>
                </w:p>
              </w:tc>
              <w:tc>
                <w:tcPr/>
                <w:p>
                  <w:pPr>
                    <w:pStyle w:val="Compact"/>
                    <w:jc w:val="center"/>
                    <w:jc w:val="center"/>
                  </w:pPr>
                  <w:r>
                    <w:t xml:space="preserve">Rel Bias</w:t>
                  </w:r>
                </w:p>
              </w:tc>
              <w:tc>
                <w:tcPr/>
                <w:p>
                  <w:pPr>
                    <w:pStyle w:val="Compact"/>
                    <w:jc w:val="center"/>
                    <w:jc w:val="center"/>
                  </w:pPr>
                  <w:r>
                    <w:t xml:space="preserve">Rel SE Bias</w:t>
                  </w:r>
                </w:p>
              </w:tc>
              <w:tc>
                <w:tcPr/>
                <w:p>
                  <w:pPr>
                    <w:pStyle w:val="Compact"/>
                    <w:jc w:val="center"/>
                    <w:jc w:val="center"/>
                  </w:pPr>
                  <w:r>
                    <w:t xml:space="preserve">Coverage</w:t>
                  </w:r>
                </w:p>
              </w:tc>
              <w:tc>
                <w:tcPr/>
                <w:p>
                  <w:pPr>
                    <w:pStyle w:val="Compact"/>
                    <w:jc w:val="center"/>
                    <w:jc w:val="center"/>
                  </w:pPr>
                  <w:r>
                    <w:t xml:space="preserve">Power (Not equal 0)</w:t>
                  </w:r>
                </w:p>
              </w:tc>
              <w:tc>
                <w:tcPr/>
                <w:p>
                  <w:pPr>
                    <w:pStyle w:val="Compact"/>
                    <w:jc w:val="center"/>
                    <w:jc w:val="center"/>
                  </w:pPr>
                  <w:r>
                    <w:t xml:space="preserve">Required N</w:t>
                  </w:r>
                </w:p>
              </w:tc>
            </w:tr>
            <w:tr>
              <w:tc>
                <w:tcPr/>
                <w:p>
                  <w:pPr>
                    <w:pStyle w:val="Compact"/>
                    <w:jc w:val="left"/>
                    <w:jc w:val="center"/>
                  </w:pPr>
                  <w:r>
                    <w:t xml:space="preserve">Q3~~Q4</w:t>
                  </w:r>
                </w:p>
              </w:tc>
              <w:tc>
                <w:tcPr/>
                <w:p>
                  <w:pPr>
                    <w:pStyle w:val="Compact"/>
                    <w:jc w:val="center"/>
                    <w:jc w:val="center"/>
                  </w:pPr>
                  <w:r>
                    <w:t xml:space="preserve">-0.008</w:t>
                  </w:r>
                </w:p>
              </w:tc>
              <w:tc>
                <w:tcPr/>
                <w:p>
                  <w:pPr>
                    <w:pStyle w:val="Compact"/>
                    <w:jc w:val="center"/>
                    <w:jc w:val="center"/>
                  </w:pPr>
                  <w:r>
                    <w:t xml:space="preserve">-0.082</w:t>
                  </w:r>
                </w:p>
              </w:tc>
              <w:tc>
                <w:tcPr/>
                <w:p>
                  <w:pPr>
                    <w:pStyle w:val="Compact"/>
                    <w:jc w:val="center"/>
                    <w:jc w:val="center"/>
                  </w:pPr>
                  <w:r>
                    <w:t xml:space="preserve">0.934</w:t>
                  </w:r>
                </w:p>
              </w:tc>
              <w:tc>
                <w:tcPr/>
                <w:p>
                  <w:pPr>
                    <w:pStyle w:val="Compact"/>
                    <w:jc w:val="center"/>
                    <w:jc w:val="center"/>
                  </w:pPr>
                  <w:r>
                    <w:t xml:space="preserve">0.85</w:t>
                  </w:r>
                </w:p>
              </w:tc>
              <w:tc>
                <w:tcPr/>
                <w:p>
                  <w:pPr>
                    <w:pStyle w:val="Compact"/>
                    <w:jc w:val="center"/>
                    <w:jc w:val="center"/>
                  </w:pPr>
                  <w:r>
                    <w:t xml:space="preserve">139</w:t>
                  </w:r>
                </w:p>
              </w:tc>
            </w:tr>
          </w:tbl>
          <w:bookmarkEnd w:id="116"/>
          <w:p/>
        </w:tc>
      </w:tr>
    </w:tbl>
    <w:p>
      <w:pPr>
        <w:pStyle w:val="BodyText"/>
      </w:pPr>
      <w:r>
        <w:rPr>
          <w:vertAlign w:val="subscript"/>
        </w:rPr>
        <w:t xml:space="preserve">Source:</w:t>
      </w:r>
      <w:r>
        <w:rPr>
          <w:vertAlign w:val="subscript"/>
        </w:rPr>
        <w:t xml:space="preserve"> </w:t>
      </w:r>
      <w:hyperlink r:id="rId117">
        <w:r>
          <w:rPr>
            <w:rStyle w:val="Hyperlink"/>
            <w:vertAlign w:val="subscript"/>
          </w:rPr>
          <w:t xml:space="preserve">Simulation — Ideal Conditions</w:t>
        </w:r>
      </w:hyperlink>
    </w:p>
    <w:p>
      <w:pPr>
        <w:pStyle w:val="BodyText"/>
      </w:pPr>
      <w:r>
        <w:t xml:space="preserve">The</w:t>
      </w:r>
      <w:r>
        <w:t xml:space="preserve"> </w:t>
      </w:r>
      <w:hyperlink w:anchor="tbl-power-n-opt">
        <w:r>
          <w:rPr>
            <w:rStyle w:val="Hyperlink"/>
          </w:rPr>
          <w:t xml:space="preserve">Table 9</w:t>
        </w:r>
      </w:hyperlink>
      <w:r>
        <w:t xml:space="preserve"> </w:t>
      </w:r>
      <w:r>
        <w:t xml:space="preserve">shows a very sparse set of finite sample-size requirements under the optimal model. Only seven parameters remained with finite</w:t>
      </w:r>
      <w:r>
        <w:t xml:space="preserve"> </w:t>
      </w:r>
      <m:oMath>
        <m:r>
          <m:t>N</m:t>
        </m:r>
      </m:oMath>
      <w:r>
        <w:t xml:space="preserve"> </w:t>
      </w:r>
      <w:r>
        <w:t xml:space="preserve">values after filtering (not shown in the table), which indicates that, within the simulated range, these are the parameters for which a specific minimum sample size could be directly reported.</w:t>
      </w:r>
    </w:p>
    <w:p>
      <w:pPr>
        <w:pStyle w:val="BodyText"/>
      </w:pPr>
      <w:r>
        <w:t xml:space="preserve">The only parameter with a meaningfully larger requirement is the residual covariance</w:t>
      </w:r>
      <w:r>
        <w:t xml:space="preserve"> </w:t>
      </w:r>
      <m:oMath>
        <m:r>
          <m:t>Q</m:t>
        </m:r>
        <m:r>
          <m:t>3</m:t>
        </m:r>
        <m:r>
          <m:rPr>
            <m:sty m:val="p"/>
          </m:rPr>
          <m:t>∼</m:t>
        </m:r>
        <m:r>
          <m:rPr>
            <m:sty m:val="p"/>
          </m:rPr>
          <m:t>∼</m:t>
        </m:r>
        <m:r>
          <m:t>Q</m:t>
        </m:r>
        <m:r>
          <m:t>4</m:t>
        </m:r>
      </m:oMath>
      <w:r>
        <w:t xml:space="preserve">, which required</w:t>
      </w:r>
      <w:r>
        <w:t xml:space="preserve"> </w:t>
      </w:r>
      <m:oMath>
        <m:r>
          <m:t>N</m:t>
        </m:r>
      </m:oMath>
      <w:r>
        <w:t xml:space="preserve"> </w:t>
      </w:r>
      <w:r>
        <w:t xml:space="preserve">= 139 to reach</w:t>
      </w:r>
      <w:r>
        <w:t xml:space="preserve"> </w:t>
      </w:r>
      <m:oMath>
        <m:r>
          <m:t>.80</m:t>
        </m:r>
      </m:oMath>
      <w:r>
        <w:t xml:space="preserve"> </w:t>
      </w:r>
      <w:r>
        <w:t xml:space="preserve">power. This value is much higher than the others in the table and clearly stands out as the most demanding finite parameter in the optimal model.</w:t>
      </w:r>
    </w:p>
    <w:p>
      <w:pPr>
        <w:pStyle w:val="BodyText"/>
      </w:pPr>
      <w:r>
        <w:t xml:space="preserve">For that reason, the sample size decision implied by this table is governed by</w:t>
      </w:r>
      <w:r>
        <w:t xml:space="preserve"> </w:t>
      </w:r>
      <m:oMath>
        <m:r>
          <m:t>Q</m:t>
        </m:r>
        <m:r>
          <m:t>3</m:t>
        </m:r>
        <m:r>
          <m:rPr>
            <m:sty m:val="p"/>
          </m:rPr>
          <m:t>∼</m:t>
        </m:r>
        <m:r>
          <m:rPr>
            <m:sty m:val="p"/>
          </m:rPr>
          <m:t>∼</m:t>
        </m:r>
        <m:r>
          <m:t>Q</m:t>
        </m:r>
        <m:r>
          <m:t>4</m:t>
        </m:r>
      </m:oMath>
      <w:r>
        <w:t xml:space="preserve">. If the goal is to ensure at least</w:t>
      </w:r>
      <w:r>
        <w:t xml:space="preserve"> </w:t>
      </w:r>
      <m:oMath>
        <m:r>
          <m:t>.80</m:t>
        </m:r>
      </m:oMath>
      <w:r>
        <w:t xml:space="preserve"> </w:t>
      </w:r>
      <w:r>
        <w:t xml:space="preserve">power for all parameters with finite reported values in this output, the required sample size is</w:t>
      </w:r>
      <w:r>
        <w:t xml:space="preserve"> </w:t>
      </w:r>
      <m:oMath>
        <m:r>
          <m:t>N</m:t>
        </m:r>
      </m:oMath>
      <w:r>
        <w:t xml:space="preserve"> </w:t>
      </w:r>
      <w:r>
        <w:t xml:space="preserve">= 139.</w:t>
      </w:r>
    </w:p>
    <w:p>
      <w:pPr>
        <w:pStyle w:val="BodyText"/>
      </w:pPr>
      <w:r>
        <w:t xml:space="preserve">Overall, the result is highly concentrated: most reported parameters are already adequately powered at</w:t>
      </w:r>
      <w:r>
        <w:t xml:space="preserve"> </w:t>
      </w:r>
      <m:oMath>
        <m:r>
          <m:t>N</m:t>
        </m:r>
        <m:r>
          <m:rPr>
            <m:sty m:val="p"/>
          </m:rPr>
          <m:t>=</m:t>
        </m:r>
        <m:r>
          <m:t>51</m:t>
        </m:r>
      </m:oMath>
      <w:r>
        <w:t xml:space="preserve">, and only one parameter pushes the requirement upward. In practical terms, the optimal model appears easy to recover for the listed loadings and residual variances, while the residual covariance</w:t>
      </w:r>
      <w:r>
        <w:t xml:space="preserve"> </w:t>
      </w:r>
      <m:oMath>
        <m:r>
          <m:t>Q</m:t>
        </m:r>
        <m:r>
          <m:t>3</m:t>
        </m:r>
        <m:r>
          <m:rPr>
            <m:sty m:val="p"/>
          </m:rPr>
          <m:t>∼</m:t>
        </m:r>
        <m:r>
          <m:rPr>
            <m:sty m:val="p"/>
          </m:rPr>
          <m:t>∼</m:t>
        </m:r>
        <m:r>
          <m:t>Q</m:t>
        </m:r>
        <m:r>
          <m:t>4</m:t>
        </m:r>
      </m:oMath>
      <w:r>
        <w:t xml:space="preserve"> </w:t>
      </w:r>
      <w:r>
        <w:t xml:space="preserve">is the sole finite bottleneck in this table.</w:t>
      </w:r>
    </w:p>
    <w:bookmarkEnd w:id="118"/>
    <w:bookmarkStart w:id="145" w:name="X7d577e1026a98d88b87af03225c2d7813854c3a"/>
    <w:p>
      <w:pPr>
        <w:pStyle w:val="Heading3"/>
      </w:pPr>
      <w:r>
        <w:t xml:space="preserve">5.1 Misspecification and population sensitivity</w:t>
      </w:r>
    </w:p>
    <w:bookmarkStart w:id="131" w:name="X1664010790521ed146608377a53753f92cb2009"/>
    <w:p>
      <w:pPr>
        <w:pStyle w:val="Heading4"/>
      </w:pPr>
      <w:r>
        <w:t xml:space="preserve">5.1.1 Fit-index-based power under the naive population</w:t>
      </w:r>
    </w:p>
    <w:p>
      <w:pPr>
        <w:pStyle w:val="FirstParagraph"/>
      </w:pPr>
      <w:r>
        <w:t xml:space="preserve">This section evaluates</w:t>
      </w:r>
      <w:r>
        <w:t xml:space="preserve"> </w:t>
      </w:r>
      <w:r>
        <w:rPr>
          <w:b/>
          <w:bCs/>
        </w:rPr>
        <w:t xml:space="preserve">global</w:t>
      </w:r>
      <w:r>
        <w:t xml:space="preserve"> </w:t>
      </w:r>
      <w:r>
        <w:t xml:space="preserve">power from the perspective of naive model as population model. The Monte Carlo setup is designed to assess how well fit indices can discriminate between the reference condition (data generated under the naive model) and the alternative condition (data generated under the H1 model), across a range of sample sizes</w:t>
      </w:r>
      <w:r>
        <w:t xml:space="preserve"> </w:t>
      </w:r>
      <w:r>
        <w:t xml:space="preserve">(Jobst et al., 2023; Moshagen &amp; Bader, 2024)</w:t>
      </w:r>
      <w:r>
        <w:t xml:space="preserve">.</w:t>
      </w:r>
    </w:p>
    <w:p>
      <w:pPr>
        <w:pStyle w:val="BodyText"/>
      </w:pPr>
      <w:r>
        <w:t xml:space="preserve">The power curves across sample size show how the probability of rejecting the misspecified model evolves as</w:t>
      </w:r>
      <w:r>
        <w:t xml:space="preserve"> </w:t>
      </w:r>
      <m:oMath>
        <m:r>
          <m:t>N</m:t>
        </m:r>
      </m:oMath>
      <w:r>
        <w:t xml:space="preserve"> </w:t>
      </w:r>
      <w:r>
        <w:t xml:space="preserve">increases. This is consistent with the general theory of power in SEM, according to which power increases as the overlap between the null and alternative sampling distributions decreases, and that separation is strengthened by larger samples and clearer model discrepancy</w:t>
      </w:r>
      <w:r>
        <w:t xml:space="preserve"> </w:t>
      </w:r>
      <w:r>
        <w:t xml:space="preserve">(Jobst et al., 2023; Moshagen &amp; Bader, 2024)</w:t>
      </w:r>
      <w:r>
        <w:t xml:space="preserve">.</w:t>
      </w:r>
    </w:p>
    <w:p>
      <w:pPr>
        <w:pStyle w:val="BodyText"/>
      </w:pPr>
      <w:r>
        <w:t xml:space="preserve">In</w:t>
      </w:r>
      <w:r>
        <w:t xml:space="preserve"> </w:t>
      </w:r>
      <w:r>
        <w:rPr>
          <w:rStyle w:val="VerbatimChar"/>
        </w:rPr>
        <w:t xml:space="preserve">simsem</w:t>
      </w:r>
      <w:r>
        <w:t xml:space="preserve">, these curves can be displayed either as raw empirical patterns or as smoothed functions based on logistic regression when sample size varies across replications. The smoothed representation is useful because it summarizes the relation between the reject/retain decision and</w:t>
      </w:r>
      <w:r>
        <w:t xml:space="preserve"> </w:t>
      </w:r>
      <m:oMath>
        <m:r>
          <m:t>N</m:t>
        </m:r>
      </m:oMath>
      <w:r>
        <w:t xml:space="preserve"> </w:t>
      </w:r>
      <w:r>
        <w:t xml:space="preserve">into a continuous power function, whereas the unsmoothed version helps inspect the empirical fit-index distributions more directly</w:t>
      </w:r>
      <w:r>
        <w:t xml:space="preserve"> </w:t>
      </w:r>
      <w:r>
        <w:t xml:space="preserve">(Pornprasertmanit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22" w:name="fig-power-curve-naive"/>
          <w:p>
            <w:pPr>
              <w:pStyle w:val="Compact"/>
              <w:jc w:val="center"/>
            </w:pPr>
            <w:r>
              <w:drawing>
                <wp:inline>
                  <wp:extent cx="5334000" cy="3333749"/>
                  <wp:effectExtent b="0" l="0" r="0" t="0"/>
                  <wp:docPr descr="" title="" id="120" name="Picture"/>
                  <a:graphic>
                    <a:graphicData uri="http://schemas.openxmlformats.org/drawingml/2006/picture">
                      <pic:pic>
                        <pic:nvPicPr>
                          <pic:cNvPr descr="index_files/figure-docx/Scripts-AnalysisScripts-03_simulation_ideal-fig-power-curve-naive-output-1.png" id="121" name="Picture"/>
                          <pic:cNvPicPr>
                            <a:picLocks noChangeArrowheads="1" noChangeAspect="1"/>
                          </pic:cNvPicPr>
                        </pic:nvPicPr>
                        <pic:blipFill>
                          <a:blip r:embed="rId119"/>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Power curves for fit indices using the naive population model.</w:t>
            </w:r>
          </w:p>
          <w:bookmarkEnd w:id="122"/>
        </w:tc>
      </w:tr>
    </w:tbl>
    <w:p>
      <w:pPr>
        <w:pStyle w:val="BodyText"/>
      </w:pPr>
      <w:r>
        <w:rPr>
          <w:vertAlign w:val="subscript"/>
        </w:rPr>
        <w:t xml:space="preserve">Source:</w:t>
      </w:r>
      <w:r>
        <w:rPr>
          <w:vertAlign w:val="subscript"/>
        </w:rPr>
        <w:t xml:space="preserve"> </w:t>
      </w:r>
      <w:hyperlink r:id="rId123">
        <w:r>
          <w:rPr>
            <w:rStyle w:val="Hyperlink"/>
            <w:vertAlign w:val="subscript"/>
          </w:rPr>
          <w:t xml:space="preserve">Simulation — Ideal Conditions</w:t>
        </w:r>
      </w:hyperlink>
    </w:p>
    <w:tbl>
      <w:tblPr>
        <w:tblStyle w:val="Table"/>
        <w:tblW w:type="pct" w:w="5000"/>
        <w:tblLayout w:type="fixed"/>
        <w:tblLook w:firstRow="0" w:lastRow="0" w:firstColumn="0" w:lastColumn="0" w:noHBand="0" w:noVBand="0" w:val="0000"/>
      </w:tblPr>
      <w:tblGrid>
        <w:gridCol w:w="7920"/>
      </w:tblGrid>
      <w:tr>
        <w:tc>
          <w:tcPr/>
          <w:bookmarkStart w:id="127" w:name="fig-fit-curve-naive"/>
          <w:p>
            <w:pPr>
              <w:pStyle w:val="Compact"/>
              <w:jc w:val="center"/>
            </w:pPr>
            <w:r>
              <w:drawing>
                <wp:inline>
                  <wp:extent cx="5334000" cy="3333749"/>
                  <wp:effectExtent b="0" l="0" r="0" t="0"/>
                  <wp:docPr descr="" title="" id="125" name="Picture"/>
                  <a:graphic>
                    <a:graphicData uri="http://schemas.openxmlformats.org/drawingml/2006/picture">
                      <pic:pic>
                        <pic:nvPicPr>
                          <pic:cNvPr descr="index_files/figure-docx/Scripts-AnalysisScripts-03_simulation_ideal-fig-fit-curve-naive-output-1.png" id="126" name="Picture"/>
                          <pic:cNvPicPr>
                            <a:picLocks noChangeArrowheads="1" noChangeAspect="1"/>
                          </pic:cNvPicPr>
                        </pic:nvPicPr>
                        <pic:blipFill>
                          <a:blip r:embed="rId124"/>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Power curves for fit indices using the naive population model without logistic smoothing.</w:t>
            </w:r>
          </w:p>
          <w:bookmarkEnd w:id="127"/>
        </w:tc>
      </w:tr>
    </w:tbl>
    <w:p>
      <w:pPr>
        <w:pStyle w:val="BodyText"/>
      </w:pPr>
      <w:r>
        <w:rPr>
          <w:vertAlign w:val="subscript"/>
        </w:rPr>
        <w:t xml:space="preserve">Source:</w:t>
      </w:r>
      <w:r>
        <w:rPr>
          <w:vertAlign w:val="subscript"/>
        </w:rPr>
        <w:t xml:space="preserve"> </w:t>
      </w:r>
      <w:hyperlink r:id="rId128">
        <w:r>
          <w:rPr>
            <w:rStyle w:val="Hyperlink"/>
            <w:vertAlign w:val="subscript"/>
          </w:rPr>
          <w:t xml:space="preserve">Simulation — Ideal Conditions</w:t>
        </w:r>
      </w:hyperlink>
    </w:p>
    <w:p>
      <w:pPr>
        <w:pStyle w:val="BodyText"/>
      </w:pPr>
      <w:r>
        <w:t xml:space="preserve">The power curves show two distinct patterns across the four fit indices. RMSEA and SRMR increase gradually and continuously with</w:t>
      </w:r>
      <w:r>
        <w:t xml:space="preserve"> </w:t>
      </w:r>
      <m:oMath>
        <m:r>
          <m:t>N</m:t>
        </m:r>
      </m:oMath>
      <w:r>
        <w:t xml:space="preserve">, starting at moderate levels around</w:t>
      </w:r>
      <w:r>
        <w:t xml:space="preserve"> </w:t>
      </w:r>
      <m:oMath>
        <m:r>
          <m:t>N</m:t>
        </m:r>
        <m:r>
          <m:rPr>
            <m:sty m:val="p"/>
          </m:rPr>
          <m:t>=</m:t>
        </m:r>
        <m:r>
          <m:t>50</m:t>
        </m:r>
      </m:oMath>
      <w:r>
        <w:t xml:space="preserve"> </w:t>
      </w:r>
      <w:r>
        <w:t xml:space="preserve">and approaching 1.00 as sample size grows. In contrast, CFI and TLI remain close to zero for most of the range and then rise sharply only near the upper end of the sample-size grid, with the main increase concentrated around</w:t>
      </w:r>
      <w:r>
        <w:t xml:space="preserve"> </w:t>
      </w:r>
      <m:oMath>
        <m:r>
          <m:t>N</m:t>
        </m:r>
        <m:r>
          <m:rPr>
            <m:sty m:val="p"/>
          </m:rPr>
          <m:t>≈</m:t>
        </m:r>
        <m:r>
          <m:t>310</m:t>
        </m:r>
      </m:oMath>
      <w:r>
        <w:t xml:space="preserve"> </w:t>
      </w:r>
      <w:r>
        <w:t xml:space="preserve">to</w:t>
      </w:r>
      <w:r>
        <w:t xml:space="preserve"> </w:t>
      </w:r>
      <m:oMath>
        <m:r>
          <m:t>340</m:t>
        </m:r>
      </m:oMath>
      <w:r>
        <w:t xml:space="preserve">.</w:t>
      </w:r>
    </w:p>
    <w:p>
      <w:pPr>
        <w:pStyle w:val="BodyText"/>
      </w:pPr>
      <w:r>
        <w:t xml:space="preserve">In the raw fit-index plots, the separation between the two point clouds is very clear for RMSEA and SRMR across nearly the entire range of</w:t>
      </w:r>
      <w:r>
        <w:t xml:space="preserve"> </w:t>
      </w:r>
      <m:oMath>
        <m:r>
          <m:t>N</m:t>
        </m:r>
        <m:r>
          <m:rPr>
            <m:sty m:val="p"/>
          </m:rPr>
          <m:t>&gt;</m:t>
        </m:r>
        <m:r>
          <m:t>200</m:t>
        </m:r>
      </m:oMath>
      <w:r>
        <w:t xml:space="preserve">. For these two indices, one distribution stays systematically higher while the other decreases as sample size increases, which visually matches their high power values. For CFI and TLI, the two clouds overlap more strongly at smaller and intermediate sample sizes, and the distinction becomes clearer only at larger</w:t>
      </w:r>
      <w:r>
        <w:t xml:space="preserve"> </w:t>
      </w:r>
      <m:oMath>
        <m:r>
          <m:t>N</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29" w:name="tbl-power-cutoff-naive"/>
          <w:p>
            <w:pPr>
              <w:jc w:val="center"/>
            </w:pPr>
            <w:pPr>
              <w:jc w:val="left"/>
              <w:spacing w:before="200"/>
              <w:pStyle w:val="ImageCaption"/>
            </w:pPr>
            <w:r>
              <w:t xml:space="preserve">Table 10: Power and fit index cutoff values using the naive population model at N = 330.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0.984</w:t>
                  </w:r>
                </w:p>
              </w:tc>
              <w:tc>
                <w:tcPr/>
                <w:p>
                  <w:pPr>
                    <w:pStyle w:val="Compact"/>
                    <w:jc w:val="center"/>
                    <w:jc w:val="center"/>
                  </w:pPr>
                  <w:r>
                    <w:t xml:space="preserve">0.986</w:t>
                  </w:r>
                </w:p>
              </w:tc>
              <w:tc>
                <w:tcPr/>
                <w:p>
                  <w:pPr>
                    <w:pStyle w:val="Compact"/>
                    <w:jc w:val="center"/>
                    <w:jc w:val="center"/>
                  </w:pPr>
                  <w:r>
                    <w:t xml:space="preserve">0.801</w:t>
                  </w:r>
                </w:p>
              </w:tc>
              <w:tc>
                <w:tcPr/>
                <w:p>
                  <w:pPr>
                    <w:pStyle w:val="Compact"/>
                    <w:jc w:val="center"/>
                    <w:jc w:val="center"/>
                  </w:pPr>
                  <w:r>
                    <w:t xml:space="preserve">0.801</w:t>
                  </w:r>
                </w:p>
              </w:tc>
            </w:tr>
            <w:tr>
              <w:tc>
                <w:tcPr/>
                <w:p>
                  <w:pPr>
                    <w:pStyle w:val="Compact"/>
                    <w:jc w:val="center"/>
                  </w:pPr>
                  <w:r>
                    <w:t xml:space="preserve">Cutoff</w:t>
                  </w:r>
                </w:p>
              </w:tc>
              <w:tc>
                <w:tcPr/>
                <w:p>
                  <w:pPr>
                    <w:pStyle w:val="Compact"/>
                    <w:jc w:val="center"/>
                    <w:jc w:val="center"/>
                  </w:pPr>
                  <w:r>
                    <w:t xml:space="preserve">0.022</w:t>
                  </w:r>
                </w:p>
              </w:tc>
              <w:tc>
                <w:tcPr/>
                <w:p>
                  <w:pPr>
                    <w:pStyle w:val="Compact"/>
                    <w:jc w:val="center"/>
                    <w:jc w:val="center"/>
                  </w:pPr>
                  <w:r>
                    <w:t xml:space="preserve">0.047</w:t>
                  </w:r>
                </w:p>
              </w:tc>
              <w:tc>
                <w:tcPr/>
                <w:p>
                  <w:pPr>
                    <w:pStyle w:val="Compact"/>
                    <w:jc w:val="center"/>
                    <w:jc w:val="center"/>
                  </w:pPr>
                  <w:r>
                    <w:t xml:space="preserve">0.964</w:t>
                  </w:r>
                </w:p>
              </w:tc>
              <w:tc>
                <w:tcPr/>
                <w:p>
                  <w:pPr>
                    <w:pStyle w:val="Compact"/>
                    <w:jc w:val="center"/>
                    <w:jc w:val="center"/>
                  </w:pPr>
                  <w:r>
                    <w:t xml:space="preserve">0.959</w:t>
                  </w:r>
                </w:p>
              </w:tc>
            </w:tr>
          </w:tbl>
          <w:bookmarkEnd w:id="129"/>
          <w:p/>
        </w:tc>
      </w:tr>
    </w:tbl>
    <w:p>
      <w:pPr>
        <w:pStyle w:val="BodyText"/>
      </w:pPr>
      <w:r>
        <w:rPr>
          <w:vertAlign w:val="subscript"/>
        </w:rPr>
        <w:t xml:space="preserve">Source:</w:t>
      </w:r>
      <w:r>
        <w:rPr>
          <w:vertAlign w:val="subscript"/>
        </w:rPr>
        <w:t xml:space="preserve"> </w:t>
      </w:r>
      <w:hyperlink r:id="rId130">
        <w:r>
          <w:rPr>
            <w:rStyle w:val="Hyperlink"/>
            <w:vertAlign w:val="subscript"/>
          </w:rPr>
          <w:t xml:space="preserve">Simulation — Ideal Conditions</w:t>
        </w:r>
      </w:hyperlink>
    </w:p>
    <w:p>
      <w:pPr>
        <w:pStyle w:val="BodyText"/>
      </w:pPr>
      <w:r>
        <w:t xml:space="preserve">At</w:t>
      </w:r>
      <w:r>
        <w:t xml:space="preserve"> </w:t>
      </w:r>
      <m:oMath>
        <m:r>
          <m:t>N</m:t>
        </m:r>
        <m:r>
          <m:rPr>
            <m:sty m:val="p"/>
          </m:rPr>
          <m:t>=</m:t>
        </m:r>
        <m:r>
          <m:t>330</m:t>
        </m:r>
      </m:oMath>
      <w:r>
        <w:t xml:space="preserve">, the estimated power values were</w:t>
      </w:r>
      <w:r>
        <w:t xml:space="preserve"> </w:t>
      </w:r>
      <m:oMath>
        <m:r>
          <m:rPr>
            <m:sty m:val="p"/>
          </m:rPr>
          <m:t>&gt;</m:t>
        </m:r>
        <m:r>
          <m:t>.80</m:t>
        </m:r>
      </m:oMath>
      <w:r>
        <w:t xml:space="preserve"> </w:t>
      </w:r>
      <w:r>
        <w:t xml:space="preserve">for all four indices, but they differed substantially in magnitude. RMSEA and SRMR showed very high power, with values close to</w:t>
      </w:r>
      <w:r>
        <w:t xml:space="preserve"> </w:t>
      </w:r>
      <m:oMath>
        <m:r>
          <m:t>0.99</m:t>
        </m:r>
      </m:oMath>
      <w:r>
        <w:t xml:space="preserve">, while CFI and TLI were just above the</w:t>
      </w:r>
      <w:r>
        <w:t xml:space="preserve"> </w:t>
      </w:r>
      <m:oMath>
        <m:r>
          <m:t>0.80</m:t>
        </m:r>
      </m:oMath>
      <w:r>
        <w:t xml:space="preserve"> </w:t>
      </w:r>
      <w:r>
        <w:t xml:space="preserve">threshold, indicating that they are less sensitive to the misspecification under these conditions.</w:t>
      </w:r>
    </w:p>
    <w:p>
      <w:pPr>
        <w:pStyle w:val="BodyText"/>
      </w:pPr>
      <w:r>
        <w:t xml:space="preserve">These results indicate that SRMR produced the highest power, followed very closely by RMSEA. CFI and TLI yielded substantially lower power than RMSEA and SRMR, although both still reached the conventional</w:t>
      </w:r>
      <w:r>
        <w:t xml:space="preserve"> </w:t>
      </w:r>
      <m:oMath>
        <m:r>
          <m:t>0.80</m:t>
        </m:r>
      </m:oMath>
      <w:r>
        <w:t xml:space="preserve"> </w:t>
      </w:r>
      <w:r>
        <w:t xml:space="preserve">threshold at</w:t>
      </w:r>
      <w:r>
        <w:t xml:space="preserve"> </w:t>
      </w:r>
      <m:oMath>
        <m:r>
          <m:t>N</m:t>
        </m:r>
        <m:r>
          <m:rPr>
            <m:sty m:val="p"/>
          </m:rPr>
          <m:t>=</m:t>
        </m:r>
        <m:r>
          <m:t>330</m:t>
        </m:r>
      </m:oMath>
      <w:r>
        <w:t xml:space="preserve">. The empirical cutoff values at</w:t>
      </w:r>
      <w:r>
        <w:t xml:space="preserve"> </w:t>
      </w:r>
      <m:oMath>
        <m:r>
          <m:t>N</m:t>
        </m:r>
        <m:r>
          <m:rPr>
            <m:sty m:val="p"/>
          </m:rPr>
          <m:t>=</m:t>
        </m:r>
        <m:r>
          <m:t>330</m:t>
        </m:r>
      </m:oMath>
      <w:r>
        <w:t xml:space="preserve"> </w:t>
      </w:r>
      <w:r>
        <w:t xml:space="preserve">were more pessimistic than the conventional thresholds. These cutoffs reflect the thresholds derived from the null-model distribution at the chosen</w:t>
      </w:r>
      <w:r>
        <w:t xml:space="preserve"> </w:t>
      </w:r>
      <m:oMath>
        <m:r>
          <m:t>α</m:t>
        </m:r>
      </m:oMath>
      <w:r>
        <w:t xml:space="preserve"> </w:t>
      </w:r>
      <w:r>
        <w:t xml:space="preserve">level, which are used to determine whether the observed fit indices indicate a significant misspecification.</w:t>
      </w:r>
    </w:p>
    <w:p>
      <w:pPr>
        <w:pStyle w:val="BodyText"/>
      </w:pPr>
      <w:r>
        <w:t xml:space="preserve">The cutoff table and the figures are consistent with each other. RMSEA and SRMR show very strong discrimination at</w:t>
      </w:r>
      <w:r>
        <w:t xml:space="preserve"> </w:t>
      </w:r>
      <m:oMath>
        <m:r>
          <m:t>N</m:t>
        </m:r>
        <m:r>
          <m:rPr>
            <m:sty m:val="p"/>
          </m:rPr>
          <m:t>=</m:t>
        </m:r>
        <m:r>
          <m:t>330</m:t>
        </m:r>
      </m:oMath>
      <w:r>
        <w:t xml:space="preserve">, with power near 0.99, whereas CFI and TLI appear to be operating at the minimum level typically considered acceptable, with power just above 0.80. Overall, at this sample size, RMSEA and SRMR perform more strongly than CFI and TLI for detecting the difference represented in this naive-population condition.</w:t>
      </w:r>
    </w:p>
    <w:bookmarkEnd w:id="131"/>
    <w:bookmarkStart w:id="144" w:name="optimistic-model-2"/>
    <w:p>
      <w:pPr>
        <w:pStyle w:val="Heading4"/>
      </w:pPr>
      <w:r>
        <w:t xml:space="preserve">5.1.2 Optimistic model</w:t>
      </w:r>
    </w:p>
    <w:p>
      <w:pPr>
        <w:pStyle w:val="FirstParagraph"/>
      </w:pPr>
      <w:r>
        <w:t xml:space="preserve">In this simulation-based approach implemented in</w:t>
      </w:r>
      <w:r>
        <w:t xml:space="preserve"> </w:t>
      </w:r>
      <w:r>
        <w:rPr>
          <w:rStyle w:val="VerbatimChar"/>
        </w:rPr>
        <w:t xml:space="preserve">simsem</w:t>
      </w:r>
      <w:r>
        <w:t xml:space="preserve">, cutoff values are first derived from the sampling distribution of the fit indices under an optimistic null model (population model), and power is then defined as the proportion of replications from the alternative condition (H1 model) that cross those cutoffs in the direction indicating worse fit. For indices in which larger values indicate poorer fit, such as RMSEA and SRMR, rejection is based on exceeding the cutoff; for indices in which larger values indicate better fit, such as CFI and TLI, rejection is based on falling below the cutoff.</w:t>
      </w:r>
    </w:p>
    <w:p>
      <w:pPr>
        <w:pStyle w:val="BodyText"/>
      </w:pPr>
      <w:r>
        <w:t xml:space="preserve">When sample size varies across replications, power can be represented as a function of</w:t>
      </w:r>
      <w:r>
        <w:t xml:space="preserve"> </w:t>
      </w:r>
      <m:oMath>
        <m:r>
          <m:t>N</m:t>
        </m:r>
      </m:oMath>
      <w:r>
        <w:t xml:space="preserve">, which makes it possible to study how discrimination improves as information accumulates. In</w:t>
      </w:r>
      <w:r>
        <w:t xml:space="preserve"> </w:t>
      </w:r>
      <w:r>
        <w:rPr>
          <w:rStyle w:val="VerbatimChar"/>
        </w:rPr>
        <w:t xml:space="preserve">plotPowerFit()</w:t>
      </w:r>
      <w:r>
        <w:t xml:space="preserve">, this relationship may be shown either through logistic smoothing, which summarizes the rejection process continuously over</w:t>
      </w:r>
      <w:r>
        <w:t xml:space="preserve"> </w:t>
      </w:r>
      <m:oMath>
        <m:r>
          <m:t>N</m:t>
        </m:r>
      </m:oMath>
      <w:r>
        <w:t xml:space="preserve">, or through the unsmoothed empirical pattern of simulated values and cutoff boundaries</w:t>
      </w:r>
      <w:r>
        <w:t xml:space="preserve"> </w:t>
      </w:r>
      <w:r>
        <w:t xml:space="preserve">(Pornprasertmanit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35" w:name="fig-power-curve-opt"/>
          <w:p>
            <w:pPr>
              <w:pStyle w:val="Compact"/>
              <w:jc w:val="center"/>
            </w:pPr>
            <w:r>
              <w:drawing>
                <wp:inline>
                  <wp:extent cx="5334000" cy="3333749"/>
                  <wp:effectExtent b="0" l="0" r="0" t="0"/>
                  <wp:docPr descr="" title="" id="133" name="Picture"/>
                  <a:graphic>
                    <a:graphicData uri="http://schemas.openxmlformats.org/drawingml/2006/picture">
                      <pic:pic>
                        <pic:nvPicPr>
                          <pic:cNvPr descr="index_files/figure-docx/Scripts-AnalysisScripts-03_simulation_ideal-fig-power-curve-opt-output-1.png" id="134" name="Picture"/>
                          <pic:cNvPicPr>
                            <a:picLocks noChangeArrowheads="1" noChangeAspect="1"/>
                          </pic:cNvPicPr>
                        </pic:nvPicPr>
                        <pic:blipFill>
                          <a:blip r:embed="rId132"/>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Power curves for fit indices using the optimal population model.</w:t>
            </w:r>
          </w:p>
          <w:bookmarkEnd w:id="135"/>
        </w:tc>
      </w:tr>
    </w:tbl>
    <w:p>
      <w:pPr>
        <w:pStyle w:val="BodyText"/>
      </w:pPr>
      <w:r>
        <w:rPr>
          <w:vertAlign w:val="subscript"/>
        </w:rPr>
        <w:t xml:space="preserve">Source:</w:t>
      </w:r>
      <w:r>
        <w:rPr>
          <w:vertAlign w:val="subscript"/>
        </w:rPr>
        <w:t xml:space="preserve"> </w:t>
      </w:r>
      <w:hyperlink r:id="rId136">
        <w:r>
          <w:rPr>
            <w:rStyle w:val="Hyperlink"/>
            <w:vertAlign w:val="subscript"/>
          </w:rPr>
          <w:t xml:space="preserve">Simulation — Ideal Conditions</w:t>
        </w:r>
      </w:hyperlink>
    </w:p>
    <w:tbl>
      <w:tblPr>
        <w:tblStyle w:val="Table"/>
        <w:tblW w:type="pct" w:w="5000"/>
        <w:tblLayout w:type="fixed"/>
        <w:tblLook w:firstRow="0" w:lastRow="0" w:firstColumn="0" w:lastColumn="0" w:noHBand="0" w:noVBand="0" w:val="0000"/>
      </w:tblPr>
      <w:tblGrid>
        <w:gridCol w:w="7920"/>
      </w:tblGrid>
      <w:tr>
        <w:tc>
          <w:tcPr/>
          <w:bookmarkStart w:id="140" w:name="fig-fit-curve-opt"/>
          <w:p>
            <w:pPr>
              <w:pStyle w:val="Compact"/>
              <w:jc w:val="center"/>
            </w:pPr>
            <w:r>
              <w:drawing>
                <wp:inline>
                  <wp:extent cx="5334000" cy="3333749"/>
                  <wp:effectExtent b="0" l="0" r="0" t="0"/>
                  <wp:docPr descr="" title="" id="138" name="Picture"/>
                  <a:graphic>
                    <a:graphicData uri="http://schemas.openxmlformats.org/drawingml/2006/picture">
                      <pic:pic>
                        <pic:nvPicPr>
                          <pic:cNvPr descr="index_files/figure-docx/Scripts-AnalysisScripts-03_simulation_ideal-fig-fit-curve-opt-output-1.png" id="139" name="Picture"/>
                          <pic:cNvPicPr>
                            <a:picLocks noChangeArrowheads="1" noChangeAspect="1"/>
                          </pic:cNvPicPr>
                        </pic:nvPicPr>
                        <pic:blipFill>
                          <a:blip r:embed="rId137"/>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Power curves for fit indices using the optimal population model without logistic smoothing.</w:t>
            </w:r>
          </w:p>
          <w:bookmarkEnd w:id="140"/>
        </w:tc>
      </w:tr>
    </w:tbl>
    <w:p>
      <w:pPr>
        <w:pStyle w:val="BodyText"/>
      </w:pPr>
      <w:r>
        <w:rPr>
          <w:vertAlign w:val="subscript"/>
        </w:rPr>
        <w:t xml:space="preserve">Source:</w:t>
      </w:r>
      <w:r>
        <w:rPr>
          <w:vertAlign w:val="subscript"/>
        </w:rPr>
        <w:t xml:space="preserve"> </w:t>
      </w:r>
      <w:hyperlink r:id="rId141">
        <w:r>
          <w:rPr>
            <w:rStyle w:val="Hyperlink"/>
            <w:vertAlign w:val="subscript"/>
          </w:rPr>
          <w:t xml:space="preserve">Simulation — Ideal Conditions</w:t>
        </w:r>
      </w:hyperlink>
    </w:p>
    <w:p>
      <w:pPr>
        <w:pStyle w:val="BodyText"/>
      </w:pPr>
      <w:r>
        <w:t xml:space="preserve">The power curves show a clear increase in performance as sample size grows. RMSEA and SRMR rise earlier and more smoothly, reaching high power at smaller</w:t>
      </w:r>
      <w:r>
        <w:t xml:space="preserve"> </w:t>
      </w:r>
      <m:oMath>
        <m:r>
          <m:t>N</m:t>
        </m:r>
      </m:oMath>
      <w:r>
        <w:t xml:space="preserve"> </w:t>
      </w:r>
      <w:r>
        <w:t xml:space="preserve">values than CFI and TLI.</w:t>
      </w:r>
    </w:p>
    <w:p>
      <w:pPr>
        <w:pStyle w:val="BodyText"/>
      </w:pPr>
      <w:r>
        <w:t xml:space="preserve">Among the four indices, SRMR shows the strongest overall performance across the sample-size range. Its curve starts at a comparatively higher level and approaches</w:t>
      </w:r>
      <w:r>
        <w:t xml:space="preserve"> </w:t>
      </w:r>
      <m:oMath>
        <m:r>
          <m:t>1.00</m:t>
        </m:r>
      </m:oMath>
      <w:r>
        <w:t xml:space="preserve"> </w:t>
      </w:r>
      <w:r>
        <w:t xml:space="preserve">more quickly than the others, indicating that it is the most sensitive index in this set for detecting the targeted discrepancy. RMSEA also performs very well, although it starts below SRMR at smaller sample sizes. Its increase is steady and pronounced, and the curve approaches very high power as</w:t>
      </w:r>
      <w:r>
        <w:t xml:space="preserve"> </w:t>
      </w:r>
      <m:oMath>
        <m:r>
          <m:t>N</m:t>
        </m:r>
      </m:oMath>
      <w:r>
        <w:t xml:space="preserve"> </w:t>
      </w:r>
      <w:r>
        <w:t xml:space="preserve">moves into the upper half of the evaluated range.</w:t>
      </w:r>
    </w:p>
    <w:p>
      <w:pPr>
        <w:pStyle w:val="BodyText"/>
      </w:pPr>
      <w:r>
        <w:t xml:space="preserve">CFI and TLI behave differently from RMSEA and SRMR. Both remain near zero power at smaller and moderate sample sizes, then increase sharply only in the higher-</w:t>
      </w:r>
      <m:oMath>
        <m:r>
          <m:t>N</m:t>
        </m:r>
      </m:oMath>
      <w:r>
        <w:t xml:space="preserve"> </w:t>
      </w:r>
      <w:r>
        <w:t xml:space="preserve">region, indicating that these indices require substantially larger samples before reaching adequate discrimination.</w:t>
      </w:r>
    </w:p>
    <w:p>
      <w:pPr>
        <w:pStyle w:val="BodyText"/>
      </w:pPr>
      <w:r>
        <w:t xml:space="preserve">The unsmoothed plots reinforce this pattern. For RMSEA and SRMR, the simulated values from the two conditions are more clearly separated across the range of</w:t>
      </w:r>
      <w:r>
        <w:t xml:space="preserve"> </w:t>
      </w:r>
      <m:oMath>
        <m:r>
          <m:t>N</m:t>
        </m:r>
      </m:oMath>
      <w:r>
        <w:t xml:space="preserve">, whereas for CFI and TLI there is more overlap at lower and intermediate sample sizes, with clearer separation emerging only as</w:t>
      </w:r>
      <w:r>
        <w:t xml:space="preserve"> </w:t>
      </w:r>
      <m:oMath>
        <m:r>
          <m:t>N</m:t>
        </m:r>
      </m:oMath>
      <w:r>
        <w:t xml:space="preserve"> </w:t>
      </w:r>
      <w:r>
        <w:t xml:space="preserve">becomes larger.</w:t>
      </w:r>
    </w:p>
    <w:tbl>
      <w:tblPr>
        <w:tblStyle w:val="Table"/>
        <w:tblW w:type="pct" w:w="5000"/>
        <w:tblLayout w:type="fixed"/>
        <w:tblLook w:firstRow="0" w:lastRow="0" w:firstColumn="0" w:lastColumn="0" w:noHBand="0" w:noVBand="0" w:val="0000"/>
      </w:tblPr>
      <w:tblGrid>
        <w:gridCol w:w="7920"/>
      </w:tblGrid>
      <w:tr>
        <w:tc>
          <w:tcPr/>
          <w:bookmarkStart w:id="142" w:name="tbl-power-cutoff-opt"/>
          <w:p>
            <w:pPr>
              <w:jc w:val="center"/>
            </w:pPr>
            <w:pPr>
              <w:jc w:val="left"/>
              <w:spacing w:before="200"/>
              <w:pStyle w:val="ImageCaption"/>
            </w:pPr>
            <w:r>
              <w:t xml:space="preserve">Table 11: Power and fit index cutoff values using the optimal population model at N = 291.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0.968</w:t>
                  </w:r>
                </w:p>
              </w:tc>
              <w:tc>
                <w:tcPr/>
                <w:p>
                  <w:pPr>
                    <w:pStyle w:val="Compact"/>
                    <w:jc w:val="center"/>
                    <w:jc w:val="center"/>
                  </w:pPr>
                  <w:r>
                    <w:t xml:space="preserve">0.988</w:t>
                  </w:r>
                </w:p>
              </w:tc>
              <w:tc>
                <w:tcPr/>
                <w:p>
                  <w:pPr>
                    <w:pStyle w:val="Compact"/>
                    <w:jc w:val="center"/>
                    <w:jc w:val="center"/>
                  </w:pPr>
                  <w:r>
                    <w:t xml:space="preserve">0.805</w:t>
                  </w:r>
                </w:p>
              </w:tc>
              <w:tc>
                <w:tcPr/>
                <w:p>
                  <w:pPr>
                    <w:pStyle w:val="Compact"/>
                    <w:jc w:val="center"/>
                    <w:jc w:val="center"/>
                  </w:pPr>
                  <w:r>
                    <w:t xml:space="preserve">0.805</w:t>
                  </w:r>
                </w:p>
              </w:tc>
            </w:tr>
            <w:tr>
              <w:tc>
                <w:tcPr/>
                <w:p>
                  <w:pPr>
                    <w:pStyle w:val="Compact"/>
                    <w:jc w:val="center"/>
                  </w:pPr>
                  <w:r>
                    <w:t xml:space="preserve">Cutoff</w:t>
                  </w:r>
                </w:p>
              </w:tc>
              <w:tc>
                <w:tcPr/>
                <w:p>
                  <w:pPr>
                    <w:pStyle w:val="Compact"/>
                    <w:jc w:val="center"/>
                    <w:jc w:val="center"/>
                  </w:pPr>
                  <w:r>
                    <w:t xml:space="preserve">0.028</w:t>
                  </w:r>
                </w:p>
              </w:tc>
              <w:tc>
                <w:tcPr/>
                <w:p>
                  <w:pPr>
                    <w:pStyle w:val="Compact"/>
                    <w:jc w:val="center"/>
                    <w:jc w:val="center"/>
                  </w:pPr>
                  <w:r>
                    <w:t xml:space="preserve">0.051</w:t>
                  </w:r>
                </w:p>
              </w:tc>
              <w:tc>
                <w:tcPr/>
                <w:p>
                  <w:pPr>
                    <w:pStyle w:val="Compact"/>
                    <w:jc w:val="center"/>
                    <w:jc w:val="center"/>
                  </w:pPr>
                  <w:r>
                    <w:t xml:space="preserve">0.970</w:t>
                  </w:r>
                </w:p>
              </w:tc>
              <w:tc>
                <w:tcPr/>
                <w:p>
                  <w:pPr>
                    <w:pStyle w:val="Compact"/>
                    <w:jc w:val="center"/>
                    <w:jc w:val="center"/>
                  </w:pPr>
                  <w:r>
                    <w:t xml:space="preserve">0.966</w:t>
                  </w:r>
                </w:p>
              </w:tc>
            </w:tr>
          </w:tbl>
          <w:bookmarkEnd w:id="142"/>
          <w:p/>
        </w:tc>
      </w:tr>
    </w:tbl>
    <w:p>
      <w:pPr>
        <w:pStyle w:val="BodyText"/>
      </w:pPr>
      <w:r>
        <w:rPr>
          <w:vertAlign w:val="subscript"/>
        </w:rPr>
        <w:t xml:space="preserve">Source:</w:t>
      </w:r>
      <w:r>
        <w:rPr>
          <w:vertAlign w:val="subscript"/>
        </w:rPr>
        <w:t xml:space="preserve"> </w:t>
      </w:r>
      <w:hyperlink r:id="rId143">
        <w:r>
          <w:rPr>
            <w:rStyle w:val="Hyperlink"/>
            <w:vertAlign w:val="subscript"/>
          </w:rPr>
          <w:t xml:space="preserve">Simulation — Ideal Conditions</w:t>
        </w:r>
      </w:hyperlink>
    </w:p>
    <w:p>
      <w:pPr>
        <w:pStyle w:val="BodyText"/>
      </w:pPr>
      <w:r>
        <w:t xml:space="preserve">At</w:t>
      </w:r>
      <w:r>
        <w:t xml:space="preserve"> </w:t>
      </w:r>
      <m:oMath>
        <m:r>
          <m:t>N</m:t>
        </m:r>
        <m:r>
          <m:rPr>
            <m:sty m:val="p"/>
          </m:rPr>
          <m:t>=</m:t>
        </m:r>
        <m:r>
          <m:t>291</m:t>
        </m:r>
      </m:oMath>
      <w:r>
        <w:t xml:space="preserve">, the estimated power values are</w:t>
      </w:r>
      <w:r>
        <w:t xml:space="preserve"> </w:t>
      </w:r>
      <m:oMath>
        <m:r>
          <m:rPr>
            <m:sty m:val="p"/>
          </m:rPr>
          <m:t>&gt;</m:t>
        </m:r>
        <m:r>
          <m:t>.80</m:t>
        </m:r>
      </m:oMath>
      <w:r>
        <w:t xml:space="preserve"> </w:t>
      </w:r>
      <w:r>
        <w:t xml:space="preserve">for all four indices, but they differ in magnitude. The power values at this sample size is show in</w:t>
      </w:r>
      <w:r>
        <w:t xml:space="preserve"> </w:t>
      </w:r>
      <w:hyperlink w:anchor="tbl-power-cutoff-opt">
        <w:r>
          <w:rPr>
            <w:rStyle w:val="Hyperlink"/>
          </w:rPr>
          <w:t xml:space="preserve">Table 11</w:t>
        </w:r>
      </w:hyperlink>
      <w:r>
        <w:t xml:space="preserve">. These values indicate that, at the target sample size, all four indices achieve at least acceptable power, but they do so with different margins. SRMR and RMSEA are well above the conventional</w:t>
      </w:r>
      <w:r>
        <w:t xml:space="preserve"> </w:t>
      </w:r>
      <m:oMath>
        <m:r>
          <m:t>0.80</m:t>
        </m:r>
      </m:oMath>
      <w:r>
        <w:t xml:space="preserve"> </w:t>
      </w:r>
      <w:r>
        <w:t xml:space="preserve">benchmark, whereas CFI and TLI are just above that threshold.</w:t>
      </w:r>
    </w:p>
    <w:p>
      <w:pPr>
        <w:pStyle w:val="BodyText"/>
      </w:pPr>
      <w:r>
        <w:t xml:space="preserve">The cutoff values at</w:t>
      </w:r>
      <w:r>
        <w:t xml:space="preserve"> </w:t>
      </w:r>
      <m:oMath>
        <m:r>
          <m:t>N</m:t>
        </m:r>
        <m:r>
          <m:rPr>
            <m:sty m:val="p"/>
          </m:rPr>
          <m:t>=</m:t>
        </m:r>
        <m:r>
          <m:t>291</m:t>
        </m:r>
      </m:oMath>
      <w:r>
        <w:t xml:space="preserve"> </w:t>
      </w:r>
      <w:r>
        <w:t xml:space="preserve">are more pessimistic than the conventional thresholds, reflecting the specific sampling distribution of the fit indices under the optimistic null model. These cutoffs are used to determine whether the observed fit indices indicate a significant misspecification in the alternative condition.</w:t>
      </w:r>
    </w:p>
    <w:p>
      <w:pPr>
        <w:pStyle w:val="BodyText"/>
      </w:pPr>
      <w:r>
        <w:t xml:space="preserve">Taken together, the results indicate that RMSEA and especially SRMR provide very strong discrimination under the optimal model at</w:t>
      </w:r>
      <w:r>
        <w:t xml:space="preserve"> </w:t>
      </w:r>
      <m:oMath>
        <m:r>
          <m:t>N</m:t>
        </m:r>
        <m:r>
          <m:rPr>
            <m:sty m:val="p"/>
          </m:rPr>
          <m:t>=</m:t>
        </m:r>
        <m:r>
          <m:t>291</m:t>
        </m:r>
      </m:oMath>
      <w:r>
        <w:t xml:space="preserve">. In contrast, CFI and TLI are the more demanding indices in this setting, because their power at the same sample size is adequate but still comparatively limited.</w:t>
      </w:r>
    </w:p>
    <w:bookmarkEnd w:id="144"/>
    <w:bookmarkEnd w:id="145"/>
    <w:bookmarkEnd w:id="146"/>
    <w:bookmarkStart w:id="189" w:name="sec-sim-robust"/>
    <w:p>
      <w:pPr>
        <w:pStyle w:val="Heading2"/>
      </w:pPr>
      <w:r>
        <w:t xml:space="preserve">6 Monte Carlo Simulation: Realistic Scenarios</w:t>
      </w:r>
    </w:p>
    <w:p>
      <w:pPr>
        <w:pStyle w:val="FirstParagraph"/>
      </w:pPr>
      <w:r>
        <w:t xml:space="preserve">Power analysis in structural equation modeling should be framed as a design-stage procedure that connects substantive expectations, model specification, and data conditions to the probability of obtaining informative statistical tests, rather than as a mechanical search for a single “minimum</w:t>
      </w:r>
      <w:r>
        <w:t xml:space="preserve"> </w:t>
      </w:r>
      <m:oMath>
        <m:r>
          <m:t>N</m:t>
        </m:r>
      </m:oMath>
      <w:r>
        <w:t xml:space="preserve">” rule</w:t>
      </w:r>
      <w:r>
        <w:t xml:space="preserve"> </w:t>
      </w:r>
      <w:r>
        <w:t xml:space="preserve">(Feng &amp; Hancock, 2023; Wang, 2023)</w:t>
      </w:r>
      <w:r>
        <w:t xml:space="preserve">.</w:t>
      </w:r>
    </w:p>
    <w:p>
      <w:pPr>
        <w:pStyle w:val="BodyText"/>
      </w:pPr>
      <w:r>
        <w:t xml:space="preserve">SEM power analysis is strongest when it is anchored in a plausible population-generating mechanism rather than in generic rules of thumb or model-free calculators borrowed from simpler analyses</w:t>
      </w:r>
      <w:r>
        <w:t xml:space="preserve"> </w:t>
      </w:r>
      <w:r>
        <w:t xml:space="preserve">(Feng &amp; Hancock, 2023; Kyriazos, 2018)</w:t>
      </w:r>
      <w:r>
        <w:t xml:space="preserve">.</w:t>
      </w:r>
    </w:p>
    <w:bookmarkStart w:id="159" w:name="sec-missing"/>
    <w:p>
      <w:pPr>
        <w:pStyle w:val="Heading3"/>
      </w:pPr>
      <w:r>
        <w:t xml:space="preserve">6.1 Missing Data (MCAR)</w:t>
      </w:r>
    </w:p>
    <w:p>
      <w:pPr>
        <w:pStyle w:val="FirstParagraph"/>
      </w:pPr>
      <w:r>
        <w:t xml:space="preserve">Missing data must be treated as part of the design problem, not as a secondary complication to be handled only after estimation, because missingness reduces available information and therefore generally lowers estimation efficiency and statistical power</w:t>
      </w:r>
      <w:r>
        <w:t xml:space="preserve"> </w:t>
      </w:r>
      <w:r>
        <w:t xml:space="preserve">(Feng &amp; Hancock, 2023; Jak et al., 2021)</w:t>
      </w:r>
      <w:r>
        <w:t xml:space="preserve">.</w:t>
      </w:r>
    </w:p>
    <w:p>
      <w:pPr>
        <w:pStyle w:val="BodyText"/>
      </w:pPr>
      <w:r>
        <w:t xml:space="preserve">From this perspective, the relevant question is not only how many cases are planned, but how much usable information remains under the anticipated missing-data process</w:t>
      </w:r>
      <w:r>
        <w:t xml:space="preserve"> </w:t>
      </w:r>
      <w:r>
        <w:t xml:space="preserve">(Feng &amp; Hancock, 2023)</w:t>
      </w:r>
      <w:r>
        <w:t xml:space="preserve">.</w:t>
      </w:r>
    </w:p>
    <w:p>
      <w:pPr>
        <w:pStyle w:val="BodyText"/>
      </w:pPr>
      <w:r>
        <w:t xml:space="preserve">This is one reason Monte Carlo power analysis is especially valuable in SEM with missing data: it allows the analyst to generate data under a prespecified population model, impose realistic missingness mechanisms such as MCAR or MAR, fit the intended analysis model, and estimate power empirically under the same conditions expected in practice</w:t>
      </w:r>
      <w:r>
        <w:t xml:space="preserve"> </w:t>
      </w:r>
      <w:r>
        <w:t xml:space="preserve">(Feng &amp; Hancock, 2023; Moshagen &amp; Bader, 2024)</w:t>
      </w:r>
      <w:r>
        <w:t xml:space="preserve">.</w:t>
      </w:r>
    </w:p>
    <w:p>
      <w:pPr>
        <w:pStyle w:val="BodyText"/>
      </w:pPr>
      <w:r>
        <w:t xml:space="preserve">Simulation-based power analysis is also advantageous when assumptions underlying purely analytical solutions become less credible, such as in the presence of incomplete data, non-normality, or more complex model structures</w:t>
      </w:r>
      <w:r>
        <w:t xml:space="preserve"> </w:t>
      </w:r>
      <w:r>
        <w:t xml:space="preserve">(Feng &amp; Hancock, 2023; Moshagen &amp; Bader, 2024; Wang, 2023)</w:t>
      </w:r>
      <w:r>
        <w:t xml:space="preserve">.</w:t>
      </w:r>
    </w:p>
    <w:p>
      <w:pPr>
        <w:pStyle w:val="BodyText"/>
      </w:pPr>
      <w:r>
        <w:t xml:space="preserve">In this sense, the Monte Carlo approach is not merely a computational alternative, but a way to align sample size planning with the actual data-generating conditions anticipated for the study</w:t>
      </w:r>
      <w:r>
        <w:t xml:space="preserve"> </w:t>
      </w:r>
      <w:r>
        <w:t xml:space="preserve">(Moshagen &amp; Bader, 2024; Wang, 2023)</w:t>
      </w:r>
      <w:r>
        <w:t xml:space="preserve">.</w:t>
      </w:r>
    </w:p>
    <w:p>
      <w:pPr>
        <w:pStyle w:val="BodyText"/>
      </w:pPr>
      <w:r>
        <w:t xml:space="preserve">Conceptually, the purpose of the analysis is therefore twofold: first, to ensure enough sensitivity to test the focal theoretical relations, and second, to ensure enough sensitivity to evaluate whether the overall model remains substantively interpretable under the planned conditions</w:t>
      </w:r>
      <w:r>
        <w:t xml:space="preserve"> </w:t>
      </w:r>
      <w:r>
        <w:t xml:space="preserve">(Feng &amp; Hancock, 2023; Wang, 2023)</w:t>
      </w:r>
      <w:r>
        <w:t xml:space="preserve">.</w:t>
      </w:r>
    </w:p>
    <w:p>
      <w:pPr>
        <w:pStyle w:val="BodyText"/>
      </w:pPr>
      <w:r>
        <w:t xml:space="preserve">When missing data are expected, this dual objective becomes even more important, because power for parameter detection and power for fit evaluation may deteriorate at different rates as information is lost</w:t>
      </w:r>
      <w:r>
        <w:t xml:space="preserve"> </w:t>
      </w:r>
      <w:r>
        <w:t xml:space="preserve">(Feng &amp; Hancock, 2023; Wang, 2023)</w:t>
      </w:r>
      <w:r>
        <w:t xml:space="preserve">.</w:t>
      </w:r>
    </w:p>
    <w:p>
      <w:pPr>
        <w:pStyle w:val="BodyText"/>
      </w:pPr>
      <w:r>
        <w:t xml:space="preserve">A well-justified SEM power analysis thus rests on explicit assumptions about the population model, the magnitude of focal effects, the measurement structure, the estimation framework, and the expected missing-data mechanism</w:t>
      </w:r>
      <w:r>
        <w:t xml:space="preserve"> </w:t>
      </w:r>
      <w:r>
        <w:t xml:space="preserve">(Jak et al., 2021; Moshagen &amp; Bader, 2024; Wang, 2023)</w:t>
      </w:r>
      <w:r>
        <w:t xml:space="preserve">.</w:t>
      </w:r>
    </w:p>
    <w:p>
      <w:pPr>
        <w:pStyle w:val="BodyText"/>
      </w:pPr>
      <w:r>
        <w:t xml:space="preserve">Under this logic, the reported power results should be understood as conditional on a theoretically motivated scenario, not as universal guarantees, which is precisely why transparent documentation of assumptions is essential in reproducible SEM workflows</w:t>
      </w:r>
      <w:r>
        <w:t xml:space="preserve"> </w:t>
      </w:r>
      <w:r>
        <w:t xml:space="preserve">(Feng &amp; Hancock, 2023; Moshagen &amp; Bader, 2024)</w:t>
      </w:r>
      <w:r>
        <w:t xml:space="preserve">.</w:t>
      </w:r>
    </w:p>
    <w:p>
      <w:pPr>
        <w:pStyle w:val="BodyText"/>
      </w:pPr>
      <w:r>
        <w:t xml:space="preserve">The</w:t>
      </w:r>
      <w:r>
        <w:t xml:space="preserve"> </w:t>
      </w:r>
      <w:hyperlink w:anchor="fig-power-curve-missing">
        <w:r>
          <w:rPr>
            <w:rStyle w:val="Hyperlink"/>
          </w:rPr>
          <w:t xml:space="preserve">Figure 15</w:t>
        </w:r>
      </w:hyperlink>
      <w:r>
        <w:t xml:space="preserve"> </w:t>
      </w:r>
      <w:r>
        <w:t xml:space="preserve">shows the power curves for the four fit indices under the 10% missing MCAR missing-data scenario. The curves indicate that power is generally lower across the sample-size range compared to the ideal condition, which is expected due to the loss of information caused by missing data.</w:t>
      </w:r>
    </w:p>
    <w:tbl>
      <w:tblPr>
        <w:tblStyle w:val="Table"/>
        <w:tblW w:type="pct" w:w="5000"/>
        <w:tblLayout w:type="fixed"/>
        <w:tblLook w:firstRow="0" w:lastRow="0" w:firstColumn="0" w:lastColumn="0" w:noHBand="0" w:noVBand="0" w:val="0000"/>
      </w:tblPr>
      <w:tblGrid>
        <w:gridCol w:w="7920"/>
      </w:tblGrid>
      <w:tr>
        <w:tc>
          <w:tcPr/>
          <w:bookmarkStart w:id="150" w:name="fig-power-curve-missing"/>
          <w:p>
            <w:pPr>
              <w:pStyle w:val="Compact"/>
              <w:jc w:val="center"/>
            </w:pPr>
            <w:r>
              <w:drawing>
                <wp:inline>
                  <wp:extent cx="5334000" cy="3333749"/>
                  <wp:effectExtent b="0" l="0" r="0" t="0"/>
                  <wp:docPr descr="" title="" id="148" name="Picture"/>
                  <a:graphic>
                    <a:graphicData uri="http://schemas.openxmlformats.org/drawingml/2006/picture">
                      <pic:pic>
                        <pic:nvPicPr>
                          <pic:cNvPr descr="index_files/figure-docx/Scripts-AnalysisScripts-04_simulation_robust-fig-power-curve-missing-output-1.png" id="149" name="Picture"/>
                          <pic:cNvPicPr>
                            <a:picLocks noChangeArrowheads="1" noChangeAspect="1"/>
                          </pic:cNvPicPr>
                        </pic:nvPicPr>
                        <pic:blipFill>
                          <a:blip r:embed="rId147"/>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Power curves for fit indices under missing data conditions.</w:t>
            </w:r>
          </w:p>
          <w:bookmarkEnd w:id="150"/>
        </w:tc>
      </w:tr>
    </w:tbl>
    <w:p>
      <w:pPr>
        <w:pStyle w:val="BodyText"/>
      </w:pPr>
      <w:r>
        <w:rPr>
          <w:vertAlign w:val="subscript"/>
        </w:rPr>
        <w:t xml:space="preserve">Source:</w:t>
      </w:r>
      <w:r>
        <w:rPr>
          <w:vertAlign w:val="subscript"/>
        </w:rPr>
        <w:t xml:space="preserve"> </w:t>
      </w:r>
      <w:hyperlink r:id="rId151">
        <w:r>
          <w:rPr>
            <w:rStyle w:val="Hyperlink"/>
            <w:vertAlign w:val="subscript"/>
          </w:rPr>
          <w:t xml:space="preserve">Simulation — Realistic Scenarios</w:t>
        </w:r>
      </w:hyperlink>
    </w:p>
    <w:p>
      <w:pPr>
        <w:pStyle w:val="BodyText"/>
      </w:pPr>
      <w:r>
        <w:t xml:space="preserve">The</w:t>
      </w:r>
      <w:r>
        <w:t xml:space="preserve"> </w:t>
      </w:r>
      <w:hyperlink w:anchor="fig-fit-curve-missing">
        <w:r>
          <w:rPr>
            <w:rStyle w:val="Hyperlink"/>
          </w:rPr>
          <w:t xml:space="preserve">Figure 16</w:t>
        </w:r>
      </w:hyperlink>
      <w:r>
        <w:t xml:space="preserve"> </w:t>
      </w:r>
      <w:r>
        <w:t xml:space="preserve">shows the empirical distributions of the fit indices under the reference and alternative conditions with 10% MCAR missing data. The separation between the two conditions is less pronounced than in the ideal scenario, especially for CFI and TLI, which show more overlap in their distributions at smaller and intermediate sample sizes.</w:t>
      </w:r>
    </w:p>
    <w:tbl>
      <w:tblPr>
        <w:tblStyle w:val="Table"/>
        <w:tblW w:type="pct" w:w="5000"/>
        <w:tblLayout w:type="fixed"/>
        <w:tblLook w:firstRow="0" w:lastRow="0" w:firstColumn="0" w:lastColumn="0" w:noHBand="0" w:noVBand="0" w:val="0000"/>
      </w:tblPr>
      <w:tblGrid>
        <w:gridCol w:w="7920"/>
      </w:tblGrid>
      <w:tr>
        <w:tc>
          <w:tcPr/>
          <w:bookmarkStart w:id="155" w:name="fig-fit-curve-missing"/>
          <w:p>
            <w:pPr>
              <w:pStyle w:val="Compact"/>
              <w:jc w:val="center"/>
            </w:pPr>
            <w:r>
              <w:drawing>
                <wp:inline>
                  <wp:extent cx="5334000" cy="3333749"/>
                  <wp:effectExtent b="0" l="0" r="0" t="0"/>
                  <wp:docPr descr="" title="" id="153" name="Picture"/>
                  <a:graphic>
                    <a:graphicData uri="http://schemas.openxmlformats.org/drawingml/2006/picture">
                      <pic:pic>
                        <pic:nvPicPr>
                          <pic:cNvPr descr="index_files/figure-docx/Scripts-AnalysisScripts-04_simulation_robust-fig-fit-curve-missing-output-1.png" id="154" name="Picture"/>
                          <pic:cNvPicPr>
                            <a:picLocks noChangeArrowheads="1" noChangeAspect="1"/>
                          </pic:cNvPicPr>
                        </pic:nvPicPr>
                        <pic:blipFill>
                          <a:blip r:embed="rId152"/>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Power curves for fit indices under missing data conditions without logistic smoothing.</w:t>
            </w:r>
          </w:p>
          <w:bookmarkEnd w:id="155"/>
        </w:tc>
      </w:tr>
    </w:tbl>
    <w:p>
      <w:pPr>
        <w:pStyle w:val="BodyText"/>
      </w:pPr>
      <w:r>
        <w:rPr>
          <w:vertAlign w:val="subscript"/>
        </w:rPr>
        <w:t xml:space="preserve">Source:</w:t>
      </w:r>
      <w:r>
        <w:rPr>
          <w:vertAlign w:val="subscript"/>
        </w:rPr>
        <w:t xml:space="preserve"> </w:t>
      </w:r>
      <w:hyperlink r:id="rId156">
        <w:r>
          <w:rPr>
            <w:rStyle w:val="Hyperlink"/>
            <w:vertAlign w:val="subscript"/>
          </w:rPr>
          <w:t xml:space="preserve">Simulation — Realistic Scenarios</w:t>
        </w:r>
      </w:hyperlink>
    </w:p>
    <w:p>
      <w:pPr>
        <w:pStyle w:val="BodyText"/>
      </w:pPr>
      <w:r>
        <w:t xml:space="preserve">The</w:t>
      </w:r>
      <w:r>
        <w:t xml:space="preserve"> </w:t>
      </w:r>
      <w:hyperlink w:anchor="tbl-power-cutoff-missing">
        <w:r>
          <w:rPr>
            <w:rStyle w:val="Hyperlink"/>
          </w:rPr>
          <w:t xml:space="preserve">Table 12</w:t>
        </w:r>
      </w:hyperlink>
      <w:r>
        <w:t xml:space="preserve"> </w:t>
      </w:r>
      <w:r>
        <w:t xml:space="preserve">summarizes the power and cutoff values for each fit index at</w:t>
      </w:r>
      <w:r>
        <w:t xml:space="preserve"> </w:t>
      </w:r>
      <m:oMath>
        <m:r>
          <m:t>N</m:t>
        </m:r>
        <m:r>
          <m:rPr>
            <m:sty m:val="p"/>
          </m:rPr>
          <m:t>=</m:t>
        </m:r>
        <m:r>
          <m:t>359</m:t>
        </m:r>
      </m:oMath>
      <w:r>
        <w:t xml:space="preserve"> </w:t>
      </w:r>
      <w:r>
        <w:t xml:space="preserve">under the missing data scenario. The estimated power values are lower than in the ideal condition, with RMSEA and SRMR still showing relatively high power, while CFI and TLI have notably reduced power, indicating that they are more sensitive to the loss of information caused by missing data.</w:t>
      </w:r>
    </w:p>
    <w:tbl>
      <w:tblPr>
        <w:tblStyle w:val="Table"/>
        <w:tblW w:type="pct" w:w="5000"/>
        <w:tblLayout w:type="fixed"/>
        <w:tblLook w:firstRow="0" w:lastRow="0" w:firstColumn="0" w:lastColumn="0" w:noHBand="0" w:noVBand="0" w:val="0000"/>
      </w:tblPr>
      <w:tblGrid>
        <w:gridCol w:w="7920"/>
      </w:tblGrid>
      <w:tr>
        <w:tc>
          <w:tcPr/>
          <w:bookmarkStart w:id="157" w:name="tbl-power-cutoff-missing"/>
          <w:p>
            <w:pPr>
              <w:jc w:val="center"/>
            </w:pPr>
            <w:pPr>
              <w:jc w:val="left"/>
              <w:spacing w:before="200"/>
              <w:pStyle w:val="ImageCaption"/>
            </w:pPr>
            <w:r>
              <w:t xml:space="preserve">Table 12: Power and fit index cutoff values under missing data conditions at N = 359.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0.947</w:t>
                  </w:r>
                </w:p>
              </w:tc>
              <w:tc>
                <w:tcPr/>
                <w:p>
                  <w:pPr>
                    <w:pStyle w:val="Compact"/>
                    <w:jc w:val="center"/>
                    <w:jc w:val="center"/>
                  </w:pPr>
                  <w:r>
                    <w:t xml:space="preserve">0.987</w:t>
                  </w:r>
                </w:p>
              </w:tc>
              <w:tc>
                <w:tcPr/>
                <w:p>
                  <w:pPr>
                    <w:pStyle w:val="Compact"/>
                    <w:jc w:val="center"/>
                    <w:jc w:val="center"/>
                  </w:pPr>
                  <w:r>
                    <w:t xml:space="preserve">0.802</w:t>
                  </w:r>
                </w:p>
              </w:tc>
              <w:tc>
                <w:tcPr/>
                <w:p>
                  <w:pPr>
                    <w:pStyle w:val="Compact"/>
                    <w:jc w:val="center"/>
                    <w:jc w:val="center"/>
                  </w:pPr>
                  <w:r>
                    <w:t xml:space="preserve">0.806</w:t>
                  </w:r>
                </w:p>
              </w:tc>
            </w:tr>
            <w:tr>
              <w:tc>
                <w:tcPr/>
                <w:p>
                  <w:pPr>
                    <w:pStyle w:val="Compact"/>
                    <w:jc w:val="center"/>
                  </w:pPr>
                  <w:r>
                    <w:t xml:space="preserve">Cutoff</w:t>
                  </w:r>
                </w:p>
              </w:tc>
              <w:tc>
                <w:tcPr/>
                <w:p>
                  <w:pPr>
                    <w:pStyle w:val="Compact"/>
                    <w:jc w:val="center"/>
                    <w:jc w:val="center"/>
                  </w:pPr>
                  <w:r>
                    <w:t xml:space="preserve">0.011</w:t>
                  </w:r>
                </w:p>
              </w:tc>
              <w:tc>
                <w:tcPr/>
                <w:p>
                  <w:pPr>
                    <w:pStyle w:val="Compact"/>
                    <w:jc w:val="center"/>
                    <w:jc w:val="center"/>
                  </w:pPr>
                  <w:r>
                    <w:t xml:space="preserve">0.035</w:t>
                  </w:r>
                </w:p>
              </w:tc>
              <w:tc>
                <w:tcPr/>
                <w:p>
                  <w:pPr>
                    <w:pStyle w:val="Compact"/>
                    <w:jc w:val="center"/>
                    <w:jc w:val="center"/>
                  </w:pPr>
                  <w:r>
                    <w:t xml:space="preserve">1.008</w:t>
                  </w:r>
                </w:p>
              </w:tc>
              <w:tc>
                <w:tcPr/>
                <w:p>
                  <w:pPr>
                    <w:pStyle w:val="Compact"/>
                    <w:jc w:val="center"/>
                    <w:jc w:val="center"/>
                  </w:pPr>
                  <w:r>
                    <w:t xml:space="preserve">1.010</w:t>
                  </w:r>
                </w:p>
              </w:tc>
            </w:tr>
          </w:tbl>
          <w:bookmarkEnd w:id="157"/>
          <w:p/>
        </w:tc>
      </w:tr>
    </w:tbl>
    <w:p>
      <w:pPr>
        <w:pStyle w:val="BodyText"/>
      </w:pPr>
      <w:r>
        <w:rPr>
          <w:vertAlign w:val="subscript"/>
        </w:rPr>
        <w:t xml:space="preserve">Source:</w:t>
      </w:r>
      <w:r>
        <w:rPr>
          <w:vertAlign w:val="subscript"/>
        </w:rPr>
        <w:t xml:space="preserve"> </w:t>
      </w:r>
      <w:hyperlink r:id="rId158">
        <w:r>
          <w:rPr>
            <w:rStyle w:val="Hyperlink"/>
            <w:vertAlign w:val="subscript"/>
          </w:rPr>
          <w:t xml:space="preserve">Simulation — Realistic Scenarios</w:t>
        </w:r>
      </w:hyperlink>
    </w:p>
    <w:p>
      <w:pPr>
        <w:pStyle w:val="BodyText"/>
      </w:pPr>
      <w:r>
        <w:t xml:space="preserve">At</w:t>
      </w:r>
      <w:r>
        <w:t xml:space="preserve"> </w:t>
      </w:r>
      <m:oMath>
        <m:r>
          <m:t>N</m:t>
        </m:r>
        <m:r>
          <m:rPr>
            <m:sty m:val="p"/>
          </m:rPr>
          <m:t>=</m:t>
        </m:r>
        <m:r>
          <m:t>359</m:t>
        </m:r>
      </m:oMath>
      <w:r>
        <w:t xml:space="preserve">, the empirical power values are 0.947 for RMSEA, 0.987 for SRMR, 0.802 for CFI, and 0.806 for TLI.</w:t>
      </w:r>
    </w:p>
    <w:p>
      <w:pPr>
        <w:pStyle w:val="BodyText"/>
      </w:pPr>
      <w:r>
        <w:t xml:space="preserve">These results show a clear difference in performance across indices. SRMR presents the highest power, RMSEA also shows very strong power, and both CFI and TLI are just above the conventional</w:t>
      </w:r>
      <w:r>
        <w:t xml:space="preserve"> </w:t>
      </w:r>
      <m:oMath>
        <m:r>
          <m:t>0.80</m:t>
        </m:r>
      </m:oMath>
      <w:r>
        <w:t xml:space="preserve"> </w:t>
      </w:r>
      <w:r>
        <w:t xml:space="preserve">threshold.</w:t>
      </w:r>
    </w:p>
    <w:p>
      <w:pPr>
        <w:pStyle w:val="BodyText"/>
      </w:pPr>
      <w:r>
        <w:t xml:space="preserve">This means that, at</w:t>
      </w:r>
      <w:r>
        <w:t xml:space="preserve"> </w:t>
      </w:r>
      <m:oMath>
        <m:r>
          <m:t>N</m:t>
        </m:r>
        <m:r>
          <m:rPr>
            <m:sty m:val="p"/>
          </m:rPr>
          <m:t>=</m:t>
        </m:r>
        <m:r>
          <m:t>359</m:t>
        </m:r>
      </m:oMath>
      <w:r>
        <w:t xml:space="preserve">, the sample size is more than sufficient for SRMR and RMSEA, while for CFI and TLI it is sufficient but still much closer to the minimum acceptable level.</w:t>
      </w:r>
    </w:p>
    <w:p>
      <w:pPr>
        <w:pStyle w:val="BodyText"/>
      </w:pPr>
      <w:r>
        <w:t xml:space="preserve">The empirical cutoff values obtained at</w:t>
      </w:r>
      <w:r>
        <w:t xml:space="preserve"> </w:t>
      </w:r>
      <m:oMath>
        <m:r>
          <m:t>N</m:t>
        </m:r>
        <m:r>
          <m:rPr>
            <m:sty m:val="p"/>
          </m:rPr>
          <m:t>=</m:t>
        </m:r>
        <m:r>
          <m:t>359</m:t>
        </m:r>
      </m:oMath>
      <w:r>
        <w:t xml:space="preserve"> </w:t>
      </w:r>
      <w:r>
        <w:t xml:space="preserve">are 0.011 for RMSEA, 0.035 for SRMR, 1.008 for CFI, and 1.01 for TLI.</w:t>
      </w:r>
    </w:p>
    <w:p>
      <w:pPr>
        <w:pStyle w:val="BodyText"/>
      </w:pPr>
      <w:r>
        <w:t xml:space="preserve">For RMSEA and SRMR, the cutoffs are very low, which is consistent with the strong discrimination shown by their power values.</w:t>
      </w:r>
    </w:p>
    <w:p>
      <w:pPr>
        <w:pStyle w:val="BodyText"/>
      </w:pPr>
      <w:r>
        <w:t xml:space="preserve">For CFI and TLI, the cutoffs are slightly above</w:t>
      </w:r>
      <w:r>
        <w:t xml:space="preserve"> </w:t>
      </w:r>
      <m:oMath>
        <m:r>
          <m:t>1.00</m:t>
        </m:r>
      </m:oMath>
      <w:r>
        <w:t xml:space="preserve">. In practical terms, this indicates that the classification boundary estimated from the simulation lies at the upper edge of the index scale, which helps explain why their power is only marginally above</w:t>
      </w:r>
      <w:r>
        <w:t xml:space="preserve"> </w:t>
      </w:r>
      <m:oMath>
        <m:r>
          <m:t>0.80</m:t>
        </m:r>
      </m:oMath>
      <w:r>
        <w:t xml:space="preserve"> </w:t>
      </w:r>
      <w:r>
        <w:t xml:space="preserve">even at this sample size.</w:t>
      </w:r>
    </w:p>
    <w:p>
      <w:pPr>
        <w:pStyle w:val="BodyText"/>
      </w:pPr>
      <w:r>
        <w:t xml:space="preserve">Taken together, the outputs indicate that the design performs very well for RMSEA and SRMR and only minimally adequately for CFI and TLI.</w:t>
      </w:r>
    </w:p>
    <w:p>
      <w:pPr>
        <w:pStyle w:val="BodyText"/>
      </w:pPr>
      <w:r>
        <w:t xml:space="preserve">So, at</w:t>
      </w:r>
      <w:r>
        <w:t xml:space="preserve"> </w:t>
      </w:r>
      <m:oMath>
        <m:r>
          <m:t>N</m:t>
        </m:r>
        <m:r>
          <m:rPr>
            <m:sty m:val="p"/>
          </m:rPr>
          <m:t>=</m:t>
        </m:r>
        <m:r>
          <m:t>359</m:t>
        </m:r>
      </m:oMath>
      <w:r>
        <w:t xml:space="preserve">, the results support a stronger conclusion for RMSEA and SRMR, whereas for CFI and TLI the conclusion is more cautious because their power values are only slightly above the target level.</w:t>
      </w:r>
    </w:p>
    <w:bookmarkEnd w:id="159"/>
    <w:bookmarkStart w:id="172" w:name="sec-nonnormal"/>
    <w:p>
      <w:pPr>
        <w:pStyle w:val="Heading3"/>
      </w:pPr>
      <w:r>
        <w:t xml:space="preserve">6.2 Non-Normality</w:t>
      </w:r>
    </w:p>
    <w:p>
      <w:pPr>
        <w:pStyle w:val="FirstParagraph"/>
      </w:pPr>
      <w:r>
        <w:t xml:space="preserve">This section focuses on the condition with</w:t>
      </w:r>
      <w:r>
        <w:t xml:space="preserve"> </w:t>
      </w:r>
      <w:r>
        <w:rPr>
          <w:b/>
          <w:bCs/>
        </w:rPr>
        <w:t xml:space="preserve">mild non-normality</w:t>
      </w:r>
      <w:r>
        <w:t xml:space="preserve">, so power should be evaluated using robust fit indices rather than relying on normal-theory fit behavior. When available, the newer robust fit measures should be preferred over older scaled versions because they have better theoretical properties under non-normal data. However, for comparability with the ideal condition, the same set of indices is evaluated here.</w:t>
      </w:r>
    </w:p>
    <w:p>
      <w:pPr>
        <w:pStyle w:val="BodyText"/>
      </w:pPr>
      <w:r>
        <w:t xml:space="preserve">The power curves show how often the misspecified model would be rejected as</w:t>
      </w:r>
      <w:r>
        <w:t xml:space="preserve"> </w:t>
      </w:r>
      <m:oMath>
        <m:r>
          <m:t>N</m:t>
        </m:r>
      </m:oMath>
      <w:r>
        <w:t xml:space="preserve"> </w:t>
      </w:r>
      <w:r>
        <w:t xml:space="preserve">changes under this mildly non-normal condition. Here, the rejection rule is not based on generic cutoffs, but on empirical cutoffs obtained from the null-model sampling distribution at the chosen</w:t>
      </w:r>
      <w:r>
        <w:t xml:space="preserve"> </w:t>
      </w:r>
      <m:oMath>
        <m:r>
          <m:t>α</m:t>
        </m:r>
      </m:oMath>
      <w:r>
        <w:t xml:space="preserve"> </w:t>
      </w:r>
      <w:r>
        <w:t xml:space="preserve">level</w:t>
      </w:r>
      <w:r>
        <w:t xml:space="preserve"> </w:t>
      </w:r>
      <w:r>
        <w:t xml:space="preserve">(Pornprasertmanit et al., 2021)</w:t>
      </w:r>
      <w:r>
        <w:t xml:space="preserve">.</w:t>
      </w:r>
    </w:p>
    <w:p>
      <w:pPr>
        <w:pStyle w:val="BodyText"/>
      </w:pPr>
      <w:r>
        <w:t xml:space="preserve">The version with logistic smoothing emphasizes the general trend of power across sample sizes, whereas the version without smoothing shows the simulated fit-index values more directly</w:t>
      </w:r>
      <w:r>
        <w:t xml:space="preserve"> </w:t>
      </w:r>
      <w:r>
        <w:t xml:space="preserve">(Pornprasertmanit et al., 2021)</w:t>
      </w:r>
      <w:r>
        <w:t xml:space="preserve">. This is useful for checking how clearly the misspecified-model distribution separates from the null-based cutoff as</w:t>
      </w:r>
      <w:r>
        <w:t xml:space="preserve"> </w:t>
      </w:r>
      <m:oMath>
        <m:r>
          <m:t>N</m:t>
        </m:r>
      </m:oMath>
      <w:r>
        <w:t xml:space="preserve"> </w:t>
      </w:r>
      <w:r>
        <w:t xml:space="preserve">increases</w:t>
      </w:r>
      <w:r>
        <w:t xml:space="preserve"> </w:t>
      </w:r>
      <w:r>
        <w:t xml:space="preserve">(Pornprasertmanit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63" w:name="fig-power-curve-nnorm"/>
          <w:p>
            <w:pPr>
              <w:pStyle w:val="Compact"/>
              <w:jc w:val="center"/>
            </w:pPr>
            <w:r>
              <w:drawing>
                <wp:inline>
                  <wp:extent cx="5334000" cy="3333749"/>
                  <wp:effectExtent b="0" l="0" r="0" t="0"/>
                  <wp:docPr descr="" title="" id="161" name="Picture"/>
                  <a:graphic>
                    <a:graphicData uri="http://schemas.openxmlformats.org/drawingml/2006/picture">
                      <pic:pic>
                        <pic:nvPicPr>
                          <pic:cNvPr descr="index_files/figure-docx/Scripts-AnalysisScripts-04_simulation_robust-fig-power-curve-nnorm-output-1.png" id="162" name="Picture"/>
                          <pic:cNvPicPr>
                            <a:picLocks noChangeArrowheads="1" noChangeAspect="1"/>
                          </pic:cNvPicPr>
                        </pic:nvPicPr>
                        <pic:blipFill>
                          <a:blip r:embed="rId160"/>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Power curves for fit indices under non-normal conditions.</w:t>
            </w:r>
          </w:p>
          <w:bookmarkEnd w:id="163"/>
        </w:tc>
      </w:tr>
    </w:tbl>
    <w:p>
      <w:pPr>
        <w:pStyle w:val="BodyText"/>
      </w:pPr>
      <w:r>
        <w:rPr>
          <w:vertAlign w:val="subscript"/>
        </w:rPr>
        <w:t xml:space="preserve">Source:</w:t>
      </w:r>
      <w:r>
        <w:rPr>
          <w:vertAlign w:val="subscript"/>
        </w:rPr>
        <w:t xml:space="preserve"> </w:t>
      </w:r>
      <w:hyperlink r:id="rId164">
        <w:r>
          <w:rPr>
            <w:rStyle w:val="Hyperlink"/>
            <w:vertAlign w:val="subscript"/>
          </w:rPr>
          <w:t xml:space="preserve">Simulation — Realistic Scenarios</w:t>
        </w:r>
      </w:hyperlink>
    </w:p>
    <w:p>
      <w:pPr>
        <w:pStyle w:val="BodyText"/>
      </w:pPr>
      <w:r>
        <w:t xml:space="preserve">Figure</w:t>
      </w:r>
      <w:r>
        <w:t xml:space="preserve"> </w:t>
      </w:r>
      <w:hyperlink w:anchor="fig-power-curve-nnorm">
        <w:r>
          <w:rPr>
            <w:rStyle w:val="Hyperlink"/>
          </w:rPr>
          <w:t xml:space="preserve">Figure 17</w:t>
        </w:r>
      </w:hyperlink>
      <w:r>
        <w:t xml:space="preserve"> </w:t>
      </w:r>
      <w:r>
        <w:t xml:space="preserve">shows a clear increase in power as</w:t>
      </w:r>
      <w:r>
        <w:t xml:space="preserve"> </w:t>
      </w:r>
      <m:oMath>
        <m:r>
          <m:t>N</m:t>
        </m:r>
      </m:oMath>
      <w:r>
        <w:t xml:space="preserve"> </w:t>
      </w:r>
      <w:r>
        <w:t xml:space="preserve">grows for all fit indices. SRMR is the strongest index across the entire range, starting already high at small samples and approaching</w:t>
      </w:r>
      <w:r>
        <w:t xml:space="preserve"> </w:t>
      </w:r>
      <m:oMath>
        <m:r>
          <m:t>1.00</m:t>
        </m:r>
      </m:oMath>
      <w:r>
        <w:t xml:space="preserve"> </w:t>
      </w:r>
      <w:r>
        <w:t xml:space="preserve">quickly. RMSEA also increases steadily and reaches high power earlier than the incremental indices. CFI and TLI follow the same general pattern, but their curves rise more slowly and remain below RMSEA and SRMR over most of the sample-size range.</w:t>
      </w:r>
    </w:p>
    <w:p>
      <w:pPr>
        <w:pStyle w:val="BodyText"/>
      </w:pPr>
      <w:r>
        <w:t xml:space="preserve">In practical terms, the ordering of sensitivity is stable throughout the figure:</w:t>
      </w:r>
      <w:r>
        <w:t xml:space="preserve"> </w:t>
      </w:r>
      <m:oMath>
        <m:r>
          <m:rPr>
            <m:nor/>
            <m:sty m:val="p"/>
          </m:rPr>
          <m:t>SRMR</m:t>
        </m:r>
        <m:r>
          <m:rPr>
            <m:sty m:val="p"/>
          </m:rPr>
          <m:t>&gt;</m:t>
        </m:r>
        <m:r>
          <m:rPr>
            <m:nor/>
            <m:sty m:val="p"/>
          </m:rPr>
          <m:t>RMSEA</m:t>
        </m:r>
        <m:r>
          <m:rPr>
            <m:sty m:val="p"/>
          </m:rPr>
          <m:t>&gt;</m:t>
        </m:r>
        <m:r>
          <m:rPr>
            <m:nor/>
            <m:sty m:val="p"/>
          </m:rPr>
          <m:t>CFI</m:t>
        </m:r>
        <m:r>
          <m:rPr>
            <m:sty m:val="p"/>
          </m:rPr>
          <m:t>≈</m:t>
        </m:r>
        <m:r>
          <m:rPr>
            <m:nor/>
            <m:sty m:val="p"/>
          </m:rPr>
          <m:t>TLI</m:t>
        </m:r>
      </m:oMath>
      <w:r>
        <w:t xml:space="preserve">. Around the mid-range of</w:t>
      </w:r>
      <w:r>
        <w:t xml:space="preserve"> </w:t>
      </w:r>
      <m:oMath>
        <m:r>
          <m:t>N</m:t>
        </m:r>
      </m:oMath>
      <w:r>
        <w:t xml:space="preserve">, SRMR is already near ceiling, RMSEA is in a clearly high-power region, and CFI/TLI are still catching up. By the largest sample sizes, all four indices show strong power, although SRMR and RMSEA remain visibly ahead.</w:t>
      </w:r>
    </w:p>
    <w:tbl>
      <w:tblPr>
        <w:tblStyle w:val="Table"/>
        <w:tblW w:type="pct" w:w="5000"/>
        <w:tblLayout w:type="fixed"/>
        <w:tblLook w:firstRow="0" w:lastRow="0" w:firstColumn="0" w:lastColumn="0" w:noHBand="0" w:noVBand="0" w:val="0000"/>
      </w:tblPr>
      <w:tblGrid>
        <w:gridCol w:w="7920"/>
      </w:tblGrid>
      <w:tr>
        <w:tc>
          <w:tcPr/>
          <w:bookmarkStart w:id="168" w:name="fig-fit-curve-nnorm"/>
          <w:p>
            <w:pPr>
              <w:pStyle w:val="Compact"/>
              <w:jc w:val="center"/>
            </w:pPr>
            <w:r>
              <w:drawing>
                <wp:inline>
                  <wp:extent cx="5334000" cy="3333749"/>
                  <wp:effectExtent b="0" l="0" r="0" t="0"/>
                  <wp:docPr descr="" title="" id="166" name="Picture"/>
                  <a:graphic>
                    <a:graphicData uri="http://schemas.openxmlformats.org/drawingml/2006/picture">
                      <pic:pic>
                        <pic:nvPicPr>
                          <pic:cNvPr descr="index_files/figure-docx/Scripts-AnalysisScripts-04_simulation_robust-fig-fit-curve-nnorm-output-1.png" id="167" name="Picture"/>
                          <pic:cNvPicPr>
                            <a:picLocks noChangeArrowheads="1" noChangeAspect="1"/>
                          </pic:cNvPicPr>
                        </pic:nvPicPr>
                        <pic:blipFill>
                          <a:blip r:embed="rId165"/>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Power curves for fit indices under non-normal conditions without logistic smoothing.</w:t>
            </w:r>
          </w:p>
          <w:bookmarkEnd w:id="168"/>
        </w:tc>
      </w:tr>
    </w:tbl>
    <w:p>
      <w:pPr>
        <w:pStyle w:val="BodyText"/>
      </w:pPr>
      <w:r>
        <w:rPr>
          <w:vertAlign w:val="subscript"/>
        </w:rPr>
        <w:t xml:space="preserve">Source:</w:t>
      </w:r>
      <w:r>
        <w:rPr>
          <w:vertAlign w:val="subscript"/>
        </w:rPr>
        <w:t xml:space="preserve"> </w:t>
      </w:r>
      <w:hyperlink r:id="rId169">
        <w:r>
          <w:rPr>
            <w:rStyle w:val="Hyperlink"/>
            <w:vertAlign w:val="subscript"/>
          </w:rPr>
          <w:t xml:space="preserve">Simulation — Realistic Scenarios</w:t>
        </w:r>
      </w:hyperlink>
    </w:p>
    <w:p>
      <w:pPr>
        <w:pStyle w:val="BodyText"/>
      </w:pPr>
      <w:r>
        <w:t xml:space="preserve">Figure</w:t>
      </w:r>
      <w:r>
        <w:t xml:space="preserve"> </w:t>
      </w:r>
      <w:hyperlink w:anchor="fig-fit-curve-nnorm">
        <w:r>
          <w:rPr>
            <w:rStyle w:val="Hyperlink"/>
          </w:rPr>
          <w:t xml:space="preserve">Figure 18</w:t>
        </w:r>
      </w:hyperlink>
      <w:r>
        <w:t xml:space="preserve"> </w:t>
      </w:r>
      <w:r>
        <w:t xml:space="preserve">shows the same pattern without logistic smoothing and makes the separation between the simulated values more explicit. For RMSEA and SRMR, the distributions become increasingly distinct as</w:t>
      </w:r>
      <w:r>
        <w:t xml:space="preserve"> </w:t>
      </w:r>
      <m:oMath>
        <m:r>
          <m:t>N</m:t>
        </m:r>
      </m:oMath>
      <w:r>
        <w:t xml:space="preserve"> </w:t>
      </w:r>
      <w:r>
        <w:t xml:space="preserve">increases, with less overlap and a clearer gap between the two sets of points. For CFI and TLI, the separation also improves with larger</w:t>
      </w:r>
      <w:r>
        <w:t xml:space="preserve"> </w:t>
      </w:r>
      <m:oMath>
        <m:r>
          <m:t>N</m:t>
        </m:r>
      </m:oMath>
      <w:r>
        <w:t xml:space="preserve">, but the overlap is more evident at lower and moderate sample sizes, which is consistent with their slower increase in power.</w:t>
      </w:r>
    </w:p>
    <w:tbl>
      <w:tblPr>
        <w:tblStyle w:val="Table"/>
        <w:tblW w:type="pct" w:w="5000"/>
        <w:tblLayout w:type="fixed"/>
        <w:tblLook w:firstRow="0" w:lastRow="0" w:firstColumn="0" w:lastColumn="0" w:noHBand="0" w:noVBand="0" w:val="0000"/>
      </w:tblPr>
      <w:tblGrid>
        <w:gridCol w:w="7920"/>
      </w:tblGrid>
      <w:tr>
        <w:tc>
          <w:tcPr/>
          <w:bookmarkStart w:id="170" w:name="tbl-power-cutoff-nnorm"/>
          <w:p>
            <w:pPr>
              <w:jc w:val="center"/>
            </w:pPr>
            <w:pPr>
              <w:jc w:val="left"/>
              <w:spacing w:before="200"/>
              <w:pStyle w:val="ImageCaption"/>
            </w:pPr>
            <w:r>
              <w:t xml:space="preserve">Table 13: Power and fit index cutoff values under non-normal conditions at N = 228.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0.91</w:t>
                  </w:r>
                </w:p>
              </w:tc>
              <w:tc>
                <w:tcPr/>
                <w:p>
                  <w:pPr>
                    <w:pStyle w:val="Compact"/>
                    <w:jc w:val="center"/>
                    <w:jc w:val="center"/>
                  </w:pPr>
                  <w:r>
                    <w:t xml:space="preserve">0.994</w:t>
                  </w:r>
                </w:p>
              </w:tc>
              <w:tc>
                <w:tcPr/>
                <w:p>
                  <w:pPr>
                    <w:pStyle w:val="Compact"/>
                    <w:jc w:val="center"/>
                    <w:jc w:val="center"/>
                  </w:pPr>
                  <w:r>
                    <w:t xml:space="preserve">0.800</w:t>
                  </w:r>
                </w:p>
              </w:tc>
              <w:tc>
                <w:tcPr/>
                <w:p>
                  <w:pPr>
                    <w:pStyle w:val="Compact"/>
                    <w:jc w:val="center"/>
                    <w:jc w:val="center"/>
                  </w:pPr>
                  <w:r>
                    <w:t xml:space="preserve">0.80</w:t>
                  </w:r>
                </w:p>
              </w:tc>
            </w:tr>
            <w:tr>
              <w:tc>
                <w:tcPr/>
                <w:p>
                  <w:pPr>
                    <w:pStyle w:val="Compact"/>
                    <w:jc w:val="center"/>
                  </w:pPr>
                  <w:r>
                    <w:t xml:space="preserve">Cutoff</w:t>
                  </w:r>
                </w:p>
              </w:tc>
              <w:tc>
                <w:tcPr/>
                <w:p>
                  <w:pPr>
                    <w:pStyle w:val="Compact"/>
                    <w:jc w:val="center"/>
                    <w:jc w:val="center"/>
                  </w:pPr>
                  <w:r>
                    <w:t xml:space="preserve">0.04</w:t>
                  </w:r>
                </w:p>
              </w:tc>
              <w:tc>
                <w:tcPr/>
                <w:p>
                  <w:pPr>
                    <w:pStyle w:val="Compact"/>
                    <w:jc w:val="center"/>
                    <w:jc w:val="center"/>
                  </w:pPr>
                  <w:r>
                    <w:t xml:space="preserve">0.059</w:t>
                  </w:r>
                </w:p>
              </w:tc>
              <w:tc>
                <w:tcPr/>
                <w:p>
                  <w:pPr>
                    <w:pStyle w:val="Compact"/>
                    <w:jc w:val="center"/>
                    <w:jc w:val="center"/>
                  </w:pPr>
                  <w:r>
                    <w:t xml:space="preserve">0.964</w:t>
                  </w:r>
                </w:p>
              </w:tc>
              <w:tc>
                <w:tcPr/>
                <w:p>
                  <w:pPr>
                    <w:pStyle w:val="Compact"/>
                    <w:jc w:val="center"/>
                    <w:jc w:val="center"/>
                  </w:pPr>
                  <w:r>
                    <w:t xml:space="preserve">0.96</w:t>
                  </w:r>
                </w:p>
              </w:tc>
            </w:tr>
          </w:tbl>
          <w:bookmarkEnd w:id="170"/>
          <w:p/>
        </w:tc>
      </w:tr>
    </w:tbl>
    <w:p>
      <w:pPr>
        <w:pStyle w:val="BodyText"/>
      </w:pPr>
      <w:r>
        <w:rPr>
          <w:vertAlign w:val="subscript"/>
        </w:rPr>
        <w:t xml:space="preserve">Source:</w:t>
      </w:r>
      <w:r>
        <w:rPr>
          <w:vertAlign w:val="subscript"/>
        </w:rPr>
        <w:t xml:space="preserve"> </w:t>
      </w:r>
      <w:hyperlink r:id="rId171">
        <w:r>
          <w:rPr>
            <w:rStyle w:val="Hyperlink"/>
            <w:vertAlign w:val="subscript"/>
          </w:rPr>
          <w:t xml:space="preserve">Simulation — Realistic Scenarios</w:t>
        </w:r>
      </w:hyperlink>
    </w:p>
    <w:p>
      <w:pPr>
        <w:pStyle w:val="BodyText"/>
      </w:pPr>
      <w:r>
        <w:t xml:space="preserve">Table</w:t>
      </w:r>
      <w:r>
        <w:t xml:space="preserve"> </w:t>
      </w:r>
      <w:hyperlink w:anchor="tbl-power-cutoff-nnorm">
        <w:r>
          <w:rPr>
            <w:rStyle w:val="Hyperlink"/>
          </w:rPr>
          <w:t xml:space="preserve">Table 13</w:t>
        </w:r>
      </w:hyperlink>
      <w:r>
        <w:t xml:space="preserve"> </w:t>
      </w:r>
      <w:r>
        <w:t xml:space="preserve">summarizes the results at</w:t>
      </w:r>
      <w:r>
        <w:t xml:space="preserve"> </w:t>
      </w:r>
      <m:oMath>
        <m:r>
          <m:t>N</m:t>
        </m:r>
        <m:r>
          <m:rPr>
            <m:sty m:val="p"/>
          </m:rPr>
          <m:t>=</m:t>
        </m:r>
        <m:r>
          <m:t>228</m:t>
        </m:r>
      </m:oMath>
      <w:r>
        <w:t xml:space="preserve">. At this sample size, SRMR has the highest power 0.91, followed by RMSEA 0.994, followed by CFI 0.8. CFI and TLI both reach</w:t>
      </w:r>
      <w:r>
        <w:t xml:space="preserve"> </w:t>
      </w:r>
      <m:oMath>
        <m:r>
          <m:t>0.800</m:t>
        </m:r>
      </m:oMath>
      <w:r>
        <w:t xml:space="preserve">, making them the least sensitive indices in this condition at the selected sample size.</w:t>
      </w:r>
    </w:p>
    <w:p>
      <w:pPr>
        <w:pStyle w:val="BodyText"/>
      </w:pPr>
      <w:r>
        <w:t xml:space="preserve">The cutoff values at</w:t>
      </w:r>
      <w:r>
        <w:t xml:space="preserve"> </w:t>
      </w:r>
      <m:oMath>
        <m:r>
          <m:t>N</m:t>
        </m:r>
        <m:r>
          <m:rPr>
            <m:sty m:val="p"/>
          </m:rPr>
          <m:t>=</m:t>
        </m:r>
        <m:r>
          <m:t>228</m:t>
        </m:r>
      </m:oMath>
      <w:r>
        <w:t xml:space="preserve"> </w:t>
      </w:r>
      <w:r>
        <w:t xml:space="preserve">are 0.04 for RMSEA, 0.059 for SRMR, 0.964 for CFI, and 0.96 for TLI. These values are consistent with the pattern in the figures: SRMR and RMSEA show stronger discrimination at this sample size, whereas CFI and TLI require more favorable values to classify fit as acceptable. Overall, the results at</w:t>
      </w:r>
      <w:r>
        <w:t xml:space="preserve"> </w:t>
      </w:r>
      <m:oMath>
        <m:r>
          <m:t>N</m:t>
        </m:r>
        <m:r>
          <m:rPr>
            <m:sty m:val="p"/>
          </m:rPr>
          <m:t>=</m:t>
        </m:r>
        <m:r>
          <m:t>228</m:t>
        </m:r>
      </m:oMath>
      <w:r>
        <w:t xml:space="preserve"> </w:t>
      </w:r>
      <w:r>
        <w:t xml:space="preserve">show very strong rejection performance for SRMR, strong performance for RMSEA, and adequate performance for CFI and TLI.</w:t>
      </w:r>
    </w:p>
    <w:p>
      <w:pPr>
        <w:pStyle w:val="BodyText"/>
      </w:pPr>
      <w:r>
        <w:t xml:space="preserve">The cutoff step at</w:t>
      </w:r>
      <w:r>
        <w:t xml:space="preserve"> </w:t>
      </w:r>
      <m:oMath>
        <m:r>
          <m:t>N</m:t>
        </m:r>
        <m:r>
          <m:rPr>
            <m:sty m:val="p"/>
          </m:rPr>
          <m:t>=</m:t>
        </m:r>
        <m:r>
          <m:t>228</m:t>
        </m:r>
      </m:oMath>
      <w:r>
        <w:t xml:space="preserve"> </w:t>
      </w:r>
      <w:r>
        <w:t xml:space="preserve">complements the curves by fixing the decision rule at a specific sample size under the same mildly non-normal setup</w:t>
      </w:r>
      <w:r>
        <w:t xml:space="preserve"> </w:t>
      </w:r>
      <w:r>
        <w:t xml:space="preserve">(Pornprasertmanit et al., 2021)</w:t>
      </w:r>
      <w:r>
        <w:t xml:space="preserve">. In this setting, power and cutoff values should be read together: the cutoff defines how strict the robust fit criterion is, and power indicates how often that criterion rejects the misspecified model</w:t>
      </w:r>
      <w:r>
        <w:t xml:space="preserve"> </w:t>
      </w:r>
      <w:r>
        <w:t xml:space="preserve">(Pornprasertmanit et al., 2021)</w:t>
      </w:r>
      <w:r>
        <w:t xml:space="preserve">.</w:t>
      </w:r>
    </w:p>
    <w:bookmarkEnd w:id="172"/>
    <w:bookmarkStart w:id="188" w:name="sec-scenarios-fixed"/>
    <w:p>
      <w:pPr>
        <w:pStyle w:val="Heading3"/>
      </w:pPr>
      <w:r>
        <w:t xml:space="preserve">6.3 Simulation with fixed N</w:t>
      </w:r>
    </w:p>
    <w:p>
      <w:pPr>
        <w:pStyle w:val="FirstParagraph"/>
      </w:pPr>
      <w:r>
        <w:t xml:space="preserve">Earlier sections used a priori Monte Carlo simulation to determine the minimum sample size needed for adequate power. Here, the goal is different: we hold</w:t>
      </w:r>
      <w:r>
        <w:t xml:space="preserve"> </w:t>
      </w:r>
      <m:oMath>
        <m:r>
          <m:t>N</m:t>
        </m:r>
      </m:oMath>
      <w:r>
        <w:t xml:space="preserve"> </w:t>
      </w:r>
      <w:r>
        <w:t xml:space="preserve">fixed at a conservative value and examine whether that choice yields stable model discrimination across many replications.</w:t>
      </w:r>
    </w:p>
    <w:p>
      <w:pPr>
        <w:pStyle w:val="BodyText"/>
      </w:pPr>
      <w:r>
        <w:t xml:space="preserve">This step is important because power analysis in SEM is not only about finding the smallest workable sample. It is also about understanding how reliably a chosen design can separate a defensible measurement model from a substantively relevant misspecified alternative when the data are repeatedly sampled from the assumed population model</w:t>
      </w:r>
      <w:r>
        <w:t xml:space="preserve"> </w:t>
      </w:r>
      <w:r>
        <w:t xml:space="preserve">(Feng &amp; Hancock, 2023; Moshagen &amp; Bader, 2024)</w:t>
      </w:r>
      <w:r>
        <w:t xml:space="preserve">.</w:t>
      </w:r>
    </w:p>
    <w:p>
      <w:pPr>
        <w:pStyle w:val="BodyText"/>
      </w:pPr>
      <w:r>
        <w:t xml:space="preserve">In this tutorial, the focus remains on</w:t>
      </w:r>
      <w:r>
        <w:t xml:space="preserve"> </w:t>
      </w:r>
      <w:r>
        <w:rPr>
          <w:b/>
          <w:bCs/>
        </w:rPr>
        <w:t xml:space="preserve">global model fit</w:t>
      </w:r>
      <w:r>
        <w:t xml:space="preserve"> </w:t>
      </w:r>
      <w:r>
        <w:t xml:space="preserve">rather than on isolated parameters. That choice is theoretically appropriate because the CFA is being used here as one measurement component within a broader research program, so the practical question is whether the instrument as a whole can rule out a meaningful misspecification pattern, not merely whether one parameter at a time is detected</w:t>
      </w:r>
      <w:r>
        <w:t xml:space="preserve"> </w:t>
      </w:r>
      <w:r>
        <w:t xml:space="preserve">(Jobst et al., 2023; Wang, 2023)</w:t>
      </w:r>
      <w:r>
        <w:t xml:space="preserve">.</w:t>
      </w:r>
    </w:p>
    <w:p>
      <w:pPr>
        <w:pStyle w:val="BodyText"/>
      </w:pPr>
      <w:r>
        <w:t xml:space="preserve">The section also highlights an important distinction between empirical and traditional fit criteria. Empirical cutoffs are derived from the simulated sampling behavior of the fitted model under the design at hand, whereas traditional thresholds are generic conventions; as a result, the two approaches need not lead to the same conclusion about power or model rejection</w:t>
      </w:r>
      <w:r>
        <w:t xml:space="preserve"> </w:t>
      </w:r>
      <w:r>
        <w:t xml:space="preserve">(Jak et al., 2021; 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76" w:name="fig-power-curve-fixed"/>
          <w:p>
            <w:pPr>
              <w:pStyle w:val="Compact"/>
              <w:jc w:val="center"/>
            </w:pPr>
            <w:r>
              <w:drawing>
                <wp:inline>
                  <wp:extent cx="5334000" cy="3333749"/>
                  <wp:effectExtent b="0" l="0" r="0" t="0"/>
                  <wp:docPr descr="" title="" id="174" name="Picture"/>
                  <a:graphic>
                    <a:graphicData uri="http://schemas.openxmlformats.org/drawingml/2006/picture">
                      <pic:pic>
                        <pic:nvPicPr>
                          <pic:cNvPr descr="index_files/figure-docx/Scripts-AnalysisScripts-05_model_comparison-fig-power-curve-fixed-output-1.png" id="175" name="Picture"/>
                          <pic:cNvPicPr>
                            <a:picLocks noChangeArrowheads="1" noChangeAspect="1"/>
                          </pic:cNvPicPr>
                        </pic:nvPicPr>
                        <pic:blipFill>
                          <a:blip r:embed="rId173"/>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Power curves for fit indices with fixed sample size.</w:t>
            </w:r>
          </w:p>
          <w:bookmarkEnd w:id="176"/>
        </w:tc>
      </w:tr>
    </w:tbl>
    <w:p>
      <w:pPr>
        <w:pStyle w:val="BodyText"/>
      </w:pPr>
      <w:r>
        <w:rPr>
          <w:vertAlign w:val="subscript"/>
        </w:rPr>
        <w:t xml:space="preserve">Source:</w:t>
      </w:r>
      <w:r>
        <w:rPr>
          <w:vertAlign w:val="subscript"/>
        </w:rPr>
        <w:t xml:space="preserve"> </w:t>
      </w:r>
      <w:hyperlink r:id="rId177">
        <w:r>
          <w:rPr>
            <w:rStyle w:val="Hyperlink"/>
            <w:vertAlign w:val="subscript"/>
          </w:rPr>
          <w:t xml:space="preserve">Simulation with Fixed Sample Size</w:t>
        </w:r>
      </w:hyperlink>
    </w:p>
    <w:p>
      <w:pPr>
        <w:pStyle w:val="BodyText"/>
      </w:pPr>
      <w:r>
        <w:t xml:space="preserve">With</w:t>
      </w:r>
      <w:r>
        <w:t xml:space="preserve"> </w:t>
      </w:r>
      <m:oMath>
        <m:r>
          <m:t>N</m:t>
        </m:r>
        <m:r>
          <m:rPr>
            <m:sty m:val="p"/>
          </m:rPr>
          <m:t>=</m:t>
        </m:r>
        <m:r>
          <m:t>350</m:t>
        </m:r>
      </m:oMath>
      <w:r>
        <w:t xml:space="preserve">, the main analysis shows complete discrimination between the reference and misspecified conditions across the four global fit indices considered. Using empirical cutoffs derived from the simulated reference model, RMSEA, SRMR, CFI, and TLI all reached power equal to 1.000, indicating that this sample size separates the target model from the misspecified alternative with essentially perfect consistency in the ideal scenario.</w:t>
      </w:r>
    </w:p>
    <w:p>
      <w:pPr>
        <w:pStyle w:val="BodyText"/>
      </w:pPr>
      <w:r>
        <w:t xml:space="preserve">The empirical cutoffs are also informative in their own right (</w:t>
      </w:r>
      <w:hyperlink w:anchor="tbl-power-cutoff-fixed">
        <w:r>
          <w:rPr>
            <w:rStyle w:val="Hyperlink"/>
          </w:rPr>
          <w:t xml:space="preserve">Table 14</w:t>
        </w:r>
      </w:hyperlink>
      <w:r>
        <w:t xml:space="preserve">). They indicate the level of fit that is typical of the correctly specified model under this design, and therefore define a data-driven benchmark for deciding when the misspecified model should be rejected. In the</w:t>
      </w:r>
      <w:r>
        <w:t xml:space="preserve"> </w:t>
      </w:r>
      <w:hyperlink w:anchor="fig-power-curve-fixed">
        <w:r>
          <w:rPr>
            <w:rStyle w:val="Hyperlink"/>
          </w:rPr>
          <w:t xml:space="preserve">Figure 19</w:t>
        </w:r>
      </w:hyperlink>
      <w:r>
        <w:t xml:space="preserve">, this appears as a clear separation between the null and alternative distributions, with the cutoff placed at a point that produces minimal overlap.</w:t>
      </w:r>
    </w:p>
    <w:p>
      <w:pPr>
        <w:pStyle w:val="BodyText"/>
      </w:pPr>
      <w:r>
        <w:t xml:space="preserve">This pattern supports the use of</w:t>
      </w:r>
      <w:r>
        <w:t xml:space="preserve"> </w:t>
      </w:r>
      <m:oMath>
        <m:r>
          <m:t>N</m:t>
        </m:r>
        <m:r>
          <m:rPr>
            <m:sty m:val="p"/>
          </m:rPr>
          <m:t>=</m:t>
        </m:r>
        <m:r>
          <m:t>350</m:t>
        </m:r>
      </m:oMath>
      <w:r>
        <w:t xml:space="preserve"> </w:t>
      </w:r>
      <w:r>
        <w:t xml:space="preserve">as a conservative and stable design choice for the main comparison developed throughout the tutorial. At this stage, the aim is no longer to identify the minimum acceptable sample size, but to show that a fixed and defensible</w:t>
      </w:r>
      <w:r>
        <w:t xml:space="preserve"> </w:t>
      </w:r>
      <m:oMath>
        <m:r>
          <m:t>N</m:t>
        </m:r>
      </m:oMath>
      <w:r>
        <w:t xml:space="preserve"> </w:t>
      </w:r>
      <w:r>
        <w:t xml:space="preserve">yields highly reliable rejection of the misspecified model when the data are generated from the population model.</w:t>
      </w:r>
    </w:p>
    <w:tbl>
      <w:tblPr>
        <w:tblStyle w:val="Table"/>
        <w:tblW w:type="pct" w:w="5000"/>
        <w:tblLayout w:type="fixed"/>
        <w:tblLook w:firstRow="0" w:lastRow="0" w:firstColumn="0" w:lastColumn="0" w:noHBand="0" w:noVBand="0" w:val="0000"/>
      </w:tblPr>
      <w:tblGrid>
        <w:gridCol w:w="7920"/>
      </w:tblGrid>
      <w:tr>
        <w:tc>
          <w:tcPr/>
          <w:bookmarkStart w:id="178" w:name="tbl-power-cutoff-fixed"/>
          <w:p>
            <w:pPr>
              <w:jc w:val="center"/>
            </w:pPr>
            <w:pPr>
              <w:jc w:val="left"/>
              <w:spacing w:before="200"/>
              <w:pStyle w:val="ImageCaption"/>
            </w:pPr>
            <w:r>
              <w:t xml:space="preserve">Table 14: Power and fit index cutoff values with fixed sample size.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jc w:val="center"/>
                  </w:pPr>
                  <w:r>
                    <w:t xml:space="preserve">TRADITIONALCHI</w:t>
                  </w:r>
                </w:p>
              </w:tc>
              <w:tc>
                <w:tcPr/>
                <w:p>
                  <w:pPr>
                    <w:pStyle w:val="Compact"/>
                    <w:jc w:val="center"/>
                    <w:jc w:val="center"/>
                  </w:pPr>
                  <w:r>
                    <w:t xml:space="preserve">RMSEA</w:t>
                  </w:r>
                </w:p>
              </w:tc>
              <w:tc>
                <w:tcPr/>
                <w:p>
                  <w:pPr>
                    <w:pStyle w:val="Compact"/>
                    <w:jc w:val="center"/>
                    <w:jc w:val="center"/>
                  </w:pPr>
                  <w:r>
                    <w:t xml:space="preserve">SRMR</w:t>
                  </w:r>
                </w:p>
              </w:tc>
              <w:tc>
                <w:tcPr/>
                <w:p>
                  <w:pPr>
                    <w:pStyle w:val="Compact"/>
                    <w:jc w:val="center"/>
                    <w:jc w:val="center"/>
                  </w:pPr>
                  <w:r>
                    <w:t xml:space="preserve">CFI</w:t>
                  </w:r>
                </w:p>
              </w:tc>
              <w:tc>
                <w:tcPr/>
                <w:p>
                  <w:pPr>
                    <w:pStyle w:val="Compact"/>
                    <w:jc w:val="center"/>
                    <w:jc w:val="center"/>
                  </w:pPr>
                  <w:r>
                    <w:t xml:space="preserve">TLI</w:t>
                  </w:r>
                </w:p>
              </w:tc>
            </w:tr>
            <w:tr>
              <w:tc>
                <w:tcPr/>
                <w:p>
                  <w:pPr>
                    <w:pStyle w:val="Compact"/>
                    <w:jc w:val="center"/>
                  </w:pPr>
                  <w:r>
                    <w:t xml:space="preserve">Power</w:t>
                  </w:r>
                </w:p>
              </w:tc>
              <w:tc>
                <w:tcPr/>
                <w:p>
                  <w:pPr>
                    <w:pStyle w:val="Compact"/>
                    <w:jc w:val="center"/>
                    <w:jc w:val="center"/>
                  </w:pPr>
                  <w:r>
                    <w:t xml:space="preserve">1.000</w:t>
                  </w:r>
                </w:p>
              </w:tc>
              <w:tc>
                <w:tcPr/>
                <w:p>
                  <w:pPr>
                    <w:pStyle w:val="Compact"/>
                    <w:jc w:val="center"/>
                    <w:jc w:val="center"/>
                  </w:pPr>
                  <w:r>
                    <w:t xml:space="preserve">1.000</w:t>
                  </w:r>
                </w:p>
              </w:tc>
              <w:tc>
                <w:tcPr/>
                <w:p>
                  <w:pPr>
                    <w:pStyle w:val="Compact"/>
                    <w:jc w:val="center"/>
                    <w:jc w:val="center"/>
                  </w:pPr>
                  <w:r>
                    <w:t xml:space="preserve">1.000</w:t>
                  </w:r>
                </w:p>
              </w:tc>
              <w:tc>
                <w:tcPr/>
                <w:p>
                  <w:pPr>
                    <w:pStyle w:val="Compact"/>
                    <w:jc w:val="center"/>
                    <w:jc w:val="center"/>
                  </w:pPr>
                  <w:r>
                    <w:t xml:space="preserve">1.000</w:t>
                  </w:r>
                </w:p>
              </w:tc>
              <w:tc>
                <w:tcPr/>
                <w:p>
                  <w:pPr>
                    <w:pStyle w:val="Compact"/>
                    <w:jc w:val="center"/>
                    <w:jc w:val="center"/>
                  </w:pPr>
                  <w:r>
                    <w:t xml:space="preserve">1.000</w:t>
                  </w:r>
                </w:p>
              </w:tc>
            </w:tr>
            <w:tr>
              <w:tc>
                <w:tcPr/>
                <w:p>
                  <w:pPr>
                    <w:pStyle w:val="Compact"/>
                    <w:jc w:val="center"/>
                  </w:pPr>
                  <w:r>
                    <w:t xml:space="preserve">Cutoff</w:t>
                  </w:r>
                </w:p>
              </w:tc>
              <w:tc>
                <w:tcPr/>
                <w:p>
                  <w:pPr>
                    <w:pStyle w:val="Compact"/>
                    <w:jc w:val="center"/>
                    <w:jc w:val="center"/>
                  </w:pPr>
                  <w:r>
                    <w:t xml:space="preserve">0.025</w:t>
                  </w:r>
                </w:p>
              </w:tc>
              <w:tc>
                <w:tcPr/>
                <w:p>
                  <w:pPr>
                    <w:pStyle w:val="Compact"/>
                    <w:jc w:val="center"/>
                    <w:jc w:val="center"/>
                  </w:pPr>
                  <w:r>
                    <w:t xml:space="preserve">0.042</w:t>
                  </w:r>
                </w:p>
              </w:tc>
              <w:tc>
                <w:tcPr/>
                <w:p>
                  <w:pPr>
                    <w:pStyle w:val="Compact"/>
                    <w:jc w:val="center"/>
                    <w:jc w:val="center"/>
                  </w:pPr>
                  <w:r>
                    <w:t xml:space="preserve">0.988</w:t>
                  </w:r>
                </w:p>
              </w:tc>
              <w:tc>
                <w:tcPr/>
                <w:p>
                  <w:pPr>
                    <w:pStyle w:val="Compact"/>
                    <w:jc w:val="center"/>
                    <w:jc w:val="center"/>
                  </w:pPr>
                  <w:r>
                    <w:t xml:space="preserve">0.986</w:t>
                  </w:r>
                </w:p>
              </w:tc>
              <w:tc>
                <w:tcPr/>
                <w:p>
                  <w:pPr>
                    <w:pStyle w:val="Compact"/>
                    <w:jc w:val="center"/>
                    <w:jc w:val="center"/>
                  </w:pPr>
                  <w:r>
                    <w:t xml:space="preserve">0.025</w:t>
                  </w:r>
                </w:p>
              </w:tc>
            </w:tr>
          </w:tbl>
          <w:bookmarkEnd w:id="178"/>
          <w:p/>
        </w:tc>
      </w:tr>
    </w:tbl>
    <w:p>
      <w:pPr>
        <w:pStyle w:val="BodyText"/>
      </w:pPr>
      <w:r>
        <w:rPr>
          <w:vertAlign w:val="subscript"/>
        </w:rPr>
        <w:t xml:space="preserve">Source:</w:t>
      </w:r>
      <w:r>
        <w:rPr>
          <w:vertAlign w:val="subscript"/>
        </w:rPr>
        <w:t xml:space="preserve"> </w:t>
      </w:r>
      <w:hyperlink r:id="rId179">
        <w:r>
          <w:rPr>
            <w:rStyle w:val="Hyperlink"/>
            <w:vertAlign w:val="subscript"/>
          </w:rPr>
          <w:t xml:space="preserve">Simulation with Fixed Sample Size</w:t>
        </w:r>
      </w:hyperlink>
    </w:p>
    <w:bookmarkStart w:id="187" w:name="power-analysis-with-traditional-fits"/>
    <w:p>
      <w:pPr>
        <w:pStyle w:val="Heading4"/>
      </w:pPr>
      <w:r>
        <w:t xml:space="preserve">6.3.1 Power analysis with traditional fits</w:t>
      </w:r>
    </w:p>
    <w:p>
      <w:pPr>
        <w:pStyle w:val="FirstParagraph"/>
      </w:pPr>
      <w:r>
        <w:t xml:space="preserve">The illustration based on traditional rule-of-thumb cutoffs leads to a very different picture. Under those generic thresholds, power remains very high for SRMR, but becomes weak for CFI and TLI and drops to zero for RMSEA (</w:t>
      </w:r>
      <w:hyperlink w:anchor="fig-curve-fixed-traditional">
        <w:r>
          <w:rPr>
            <w:rStyle w:val="Hyperlink"/>
          </w:rPr>
          <w:t xml:space="preserve">Figure 20</w:t>
        </w:r>
      </w:hyperlink>
      <w:r>
        <w:t xml:space="preserve">). This contrast shows that conventional cutoffs may be poorly aligned with the sampling behavior of a specific model and can therefore understate the discriminating capacity revealed by the empirical simulation-based approach.</w:t>
      </w:r>
    </w:p>
    <w:tbl>
      <w:tblPr>
        <w:tblStyle w:val="Table"/>
        <w:tblW w:type="pct" w:w="5000"/>
        <w:tblLayout w:type="fixed"/>
        <w:tblLook w:firstRow="0" w:lastRow="0" w:firstColumn="0" w:lastColumn="0" w:noHBand="0" w:noVBand="0" w:val="0000"/>
      </w:tblPr>
      <w:tblGrid>
        <w:gridCol w:w="7920"/>
      </w:tblGrid>
      <w:tr>
        <w:tc>
          <w:tcPr/>
          <w:bookmarkStart w:id="183" w:name="fig-curve-fixed-traditional"/>
          <w:p>
            <w:pPr>
              <w:pStyle w:val="Compact"/>
              <w:jc w:val="center"/>
            </w:pPr>
            <w:r>
              <w:drawing>
                <wp:inline>
                  <wp:extent cx="5334000" cy="3333749"/>
                  <wp:effectExtent b="0" l="0" r="0" t="0"/>
                  <wp:docPr descr="" title="" id="181" name="Picture"/>
                  <a:graphic>
                    <a:graphicData uri="http://schemas.openxmlformats.org/drawingml/2006/picture">
                      <pic:pic>
                        <pic:nvPicPr>
                          <pic:cNvPr descr="index_files/figure-docx/Scripts-AnalysisScripts-05_model_comparison-fig-curve-fixed-traditional-output-1.png" id="182" name="Picture"/>
                          <pic:cNvPicPr>
                            <a:picLocks noChangeArrowheads="1" noChangeAspect="1"/>
                          </pic:cNvPicPr>
                        </pic:nvPicPr>
                        <pic:blipFill>
                          <a:blip r:embed="rId180"/>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Power curves using traditional fit index cutoffs with fixed sample size.</w:t>
            </w:r>
          </w:p>
          <w:bookmarkEnd w:id="183"/>
        </w:tc>
      </w:tr>
    </w:tbl>
    <w:p>
      <w:pPr>
        <w:pStyle w:val="BodyText"/>
      </w:pPr>
      <w:r>
        <w:rPr>
          <w:vertAlign w:val="subscript"/>
        </w:rPr>
        <w:t xml:space="preserve">Source:</w:t>
      </w:r>
      <w:r>
        <w:rPr>
          <w:vertAlign w:val="subscript"/>
        </w:rPr>
        <w:t xml:space="preserve"> </w:t>
      </w:r>
      <w:hyperlink r:id="rId184">
        <w:r>
          <w:rPr>
            <w:rStyle w:val="Hyperlink"/>
            <w:vertAlign w:val="subscript"/>
          </w:rPr>
          <w:t xml:space="preserve">Simulation with Fixed Sample Size</w:t>
        </w:r>
      </w:hyperlink>
    </w:p>
    <w:p>
      <w:pPr>
        <w:pStyle w:val="BodyText"/>
      </w:pPr>
      <w:r>
        <w:t xml:space="preserve">Taken together, these results reinforce the main methodological message of this section: in Monte Carlo power analysis for CFA model fit, the adequacy of a fixed sample size depends not only on</w:t>
      </w:r>
      <w:r>
        <w:t xml:space="preserve"> </w:t>
      </w:r>
      <m:oMath>
        <m:r>
          <m:t>N</m:t>
        </m:r>
      </m:oMath>
      <w:r>
        <w:t xml:space="preserve"> </w:t>
      </w:r>
      <w:r>
        <w:t xml:space="preserve">itself, but also on how the rejection criterion is defined. When cutoffs are calibrated to the population model and to the planned analysis, the chosen</w:t>
      </w:r>
      <w:r>
        <w:t xml:space="preserve"> </w:t>
      </w:r>
      <m:oMath>
        <m:r>
          <m:t>N</m:t>
        </m:r>
      </m:oMath>
      <w:r>
        <w:t xml:space="preserve"> </w:t>
      </w:r>
      <w:r>
        <w:t xml:space="preserve">performs as a highly stable basis for global fit evaluation in the main comparison of the tutorial</w:t>
      </w:r>
      <w:r>
        <w:t xml:space="preserve"> </w:t>
      </w:r>
      <w:r>
        <w:t xml:space="preserve">(Feng &amp; Hancock, 2023; Jak et al., 2021; Moshagen &amp; Bader, 2024; Pornprasertmanit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185" w:name="tbl-power-cutoff-traditional"/>
          <w:p>
            <w:pPr>
              <w:jc w:val="center"/>
            </w:pPr>
            <w:pPr>
              <w:jc w:val="left"/>
              <w:spacing w:before="200"/>
              <w:pStyle w:val="ImageCaption"/>
            </w:pPr>
            <w:r>
              <w:t xml:space="preserve">Table 15: Power for traditional fit index cutoffs with fixed sample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jc w:val="center"/>
                  </w:pPr>
                  <w:r>
                    <w:t xml:space="preserve">CFI</w:t>
                  </w:r>
                </w:p>
              </w:tc>
              <w:tc>
                <w:tcPr/>
                <w:p>
                  <w:pPr>
                    <w:pStyle w:val="Compact"/>
                    <w:jc w:val="center"/>
                    <w:jc w:val="center"/>
                  </w:pPr>
                  <w:r>
                    <w:t xml:space="preserve">TLI</w:t>
                  </w:r>
                </w:p>
              </w:tc>
              <w:tc>
                <w:tcPr/>
                <w:p>
                  <w:pPr>
                    <w:pStyle w:val="Compact"/>
                    <w:jc w:val="center"/>
                    <w:jc w:val="center"/>
                  </w:pPr>
                  <w:r>
                    <w:t xml:space="preserve">RMSEA</w:t>
                  </w:r>
                </w:p>
              </w:tc>
              <w:tc>
                <w:tcPr/>
                <w:p>
                  <w:pPr>
                    <w:pStyle w:val="Compact"/>
                    <w:jc w:val="center"/>
                    <w:jc w:val="center"/>
                  </w:pPr>
                  <w:r>
                    <w:t xml:space="preserve">SRMR</w:t>
                  </w:r>
                </w:p>
              </w:tc>
            </w:tr>
            <w:tr>
              <w:tc>
                <w:tcPr/>
                <w:p>
                  <w:pPr>
                    <w:pStyle w:val="Compact"/>
                    <w:jc w:val="center"/>
                  </w:pPr>
                  <w:r>
                    <w:t xml:space="preserve">Power</w:t>
                  </w:r>
                </w:p>
              </w:tc>
              <w:tc>
                <w:tcPr/>
                <w:p>
                  <w:pPr>
                    <w:pStyle w:val="Compact"/>
                    <w:jc w:val="center"/>
                    <w:jc w:val="center"/>
                  </w:pPr>
                  <w:r>
                    <w:t xml:space="preserve">0.222</w:t>
                  </w:r>
                </w:p>
              </w:tc>
              <w:tc>
                <w:tcPr/>
                <w:p>
                  <w:pPr>
                    <w:pStyle w:val="Compact"/>
                    <w:jc w:val="center"/>
                    <w:jc w:val="center"/>
                  </w:pPr>
                  <w:r>
                    <w:t xml:space="preserve">0.483</w:t>
                  </w:r>
                </w:p>
              </w:tc>
              <w:tc>
                <w:tcPr/>
                <w:p>
                  <w:pPr>
                    <w:pStyle w:val="Compact"/>
                    <w:jc w:val="center"/>
                    <w:jc w:val="center"/>
                  </w:pPr>
                  <w:r>
                    <w:t xml:space="preserve">0</w:t>
                  </w:r>
                </w:p>
              </w:tc>
              <w:tc>
                <w:tcPr/>
                <w:p>
                  <w:pPr>
                    <w:pStyle w:val="Compact"/>
                    <w:jc w:val="center"/>
                    <w:jc w:val="center"/>
                  </w:pPr>
                  <w:r>
                    <w:t xml:space="preserve">0.997</w:t>
                  </w:r>
                </w:p>
              </w:tc>
            </w:tr>
          </w:tbl>
          <w:bookmarkEnd w:id="185"/>
          <w:p/>
        </w:tc>
      </w:tr>
    </w:tbl>
    <w:p>
      <w:pPr>
        <w:pStyle w:val="BodyText"/>
      </w:pPr>
      <w:r>
        <w:rPr>
          <w:vertAlign w:val="subscript"/>
        </w:rPr>
        <w:t xml:space="preserve">Source:</w:t>
      </w:r>
      <w:r>
        <w:rPr>
          <w:vertAlign w:val="subscript"/>
        </w:rPr>
        <w:t xml:space="preserve"> </w:t>
      </w:r>
      <w:hyperlink r:id="rId186">
        <w:r>
          <w:rPr>
            <w:rStyle w:val="Hyperlink"/>
            <w:vertAlign w:val="subscript"/>
          </w:rPr>
          <w:t xml:space="preserve">Simulation with Fixed Sample Size</w:t>
        </w:r>
      </w:hyperlink>
    </w:p>
    <w:bookmarkEnd w:id="187"/>
    <w:bookmarkEnd w:id="188"/>
    <w:bookmarkEnd w:id="189"/>
    <w:bookmarkStart w:id="212" w:name="sec-post-hoc"/>
    <w:p>
      <w:pPr>
        <w:pStyle w:val="Heading2"/>
      </w:pPr>
      <w:r>
        <w:t xml:space="preserve">7 Post Hoc Power Analysis</w:t>
      </w:r>
    </w:p>
    <w:p>
      <w:pPr>
        <w:pStyle w:val="FirstParagraph"/>
      </w:pPr>
      <w:r>
        <w:t xml:space="preserve">Post hoc power analysis is used to evaluate how likely the study design was to reject a false structural model under the conditions actually assumed in the analysis, that is, with the fitted model, the reference model, the selected fit criteria, and the observed sample size already fixed. In SEM, this type of assessment is meaningful only with respect to a clearly defined focal hypothesis, because power is always attached to a specific model comparison rather than to a model in general</w:t>
      </w:r>
      <w:r>
        <w:t xml:space="preserve"> </w:t>
      </w:r>
      <w:r>
        <w:t xml:space="preserve">(Jobst et al., 2023; Moshagen &amp; Bader, 2024)</w:t>
      </w:r>
      <w:r>
        <w:t xml:space="preserve">.</w:t>
      </w:r>
    </w:p>
    <w:p>
      <w:pPr>
        <w:pStyle w:val="BodyText"/>
      </w:pPr>
      <w:r>
        <w:t xml:space="preserve">In this section, power is framed as the probability of identifying global misspecification, not as the probability of detecting an individual parameter. More specifically, the focus is on whether the hypothesized model can be rejected when the data-generating process follows an alternative structure, using fit-index thresholds derived from the null-model distribution at level</w:t>
      </w:r>
      <w:r>
        <w:t xml:space="preserve"> </w:t>
      </w:r>
      <m:oMath>
        <m:r>
          <m:t>α</m:t>
        </m:r>
      </m:oMath>
      <w:r>
        <w:t xml:space="preserve"> </w:t>
      </w:r>
      <w:r>
        <w:t xml:space="preserve">(Jobst et al., 2023; Pornprasertmanit et al., 2021)</w:t>
      </w:r>
      <w:r>
        <w:t xml:space="preserve">.</w:t>
      </w:r>
    </w:p>
    <w:bookmarkStart w:id="195" w:name="with-simulation"/>
    <w:p>
      <w:pPr>
        <w:pStyle w:val="Heading3"/>
      </w:pPr>
      <w:r>
        <w:t xml:space="preserve">7.1 With Simulation</w:t>
      </w:r>
    </w:p>
    <w:p>
      <w:pPr>
        <w:pStyle w:val="FirstParagraph"/>
      </w:pPr>
      <w:r>
        <w:t xml:space="preserve">This simulation-based strategy is especially useful when the effect of interest is defined in model terms, because the discrepancy between</w:t>
      </w:r>
      <w:r>
        <w:t xml:space="preserve"> </w:t>
      </w:r>
      <m:oMath>
        <m:sSub>
          <m:e>
            <m:r>
              <m:t>H</m:t>
            </m:r>
          </m:e>
          <m:sub>
            <m:r>
              <m:t>0</m:t>
            </m:r>
          </m:sub>
        </m:sSub>
      </m:oMath>
      <w:r>
        <w:t xml:space="preserve"> </w:t>
      </w:r>
      <w:r>
        <w:t xml:space="preserve">and</w:t>
      </w:r>
      <w:r>
        <w:t xml:space="preserve"> </w:t>
      </w:r>
      <m:oMath>
        <m:sSub>
          <m:e>
            <m:r>
              <m:t>H</m:t>
            </m:r>
          </m:e>
          <m:sub>
            <m:r>
              <m:t>1</m:t>
            </m:r>
          </m:sub>
        </m:sSub>
      </m:oMath>
      <w:r>
        <w:t xml:space="preserve"> </w:t>
      </w:r>
      <w:r>
        <w:t xml:space="preserve">depends on the full parameterization of the model, not only on one isolated misspecification. In other words, the same nominal discrepancy may imply different statistical power depending on factor loadings, residual structure, latent correlations, and other features of the population model</w:t>
      </w:r>
      <w:r>
        <w:t xml:space="preserve"> </w:t>
      </w:r>
      <w:r>
        <w:t xml:space="preserve">(Moshagen &amp; Bader, 2024; Wang, 2023)</w:t>
      </w:r>
      <w:r>
        <w:t xml:space="preserve">.</w:t>
      </w:r>
    </w:p>
    <w:tbl>
      <w:tblPr>
        <w:tblStyle w:val="Table"/>
        <w:tblW w:type="pct" w:w="5000"/>
        <w:tblLayout w:type="fixed"/>
        <w:tblLook w:firstRow="0" w:lastRow="0" w:firstColumn="0" w:lastColumn="0" w:noHBand="0" w:noVBand="0" w:val="0000"/>
      </w:tblPr>
      <w:tblGrid>
        <w:gridCol w:w="7920"/>
      </w:tblGrid>
      <w:tr>
        <w:tc>
          <w:tcPr/>
          <w:bookmarkStart w:id="193" w:name="fig-posthoc-plotpower"/>
          <w:p>
            <w:pPr>
              <w:pStyle w:val="Compact"/>
              <w:jc w:val="center"/>
            </w:pPr>
            <w:r>
              <w:drawing>
                <wp:inline>
                  <wp:extent cx="5334000" cy="3333749"/>
                  <wp:effectExtent b="0" l="0" r="0" t="0"/>
                  <wp:docPr descr="" title="" id="191" name="Picture"/>
                  <a:graphic>
                    <a:graphicData uri="http://schemas.openxmlformats.org/drawingml/2006/picture">
                      <pic:pic>
                        <pic:nvPicPr>
                          <pic:cNvPr descr="index_files/figure-docx/Scripts-AnalysisScripts-06_posthoc-fig-posthoc-plotpower-output-1.png" id="192" name="Picture"/>
                          <pic:cNvPicPr>
                            <a:picLocks noChangeArrowheads="1" noChangeAspect="1"/>
                          </pic:cNvPicPr>
                        </pic:nvPicPr>
                        <pic:blipFill>
                          <a:blip r:embed="rId190"/>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Power curve for post hoc analysis based on simulation.</w:t>
            </w:r>
          </w:p>
          <w:bookmarkEnd w:id="193"/>
        </w:tc>
      </w:tr>
    </w:tbl>
    <w:p>
      <w:pPr>
        <w:pStyle w:val="BodyText"/>
      </w:pPr>
      <w:r>
        <w:rPr>
          <w:vertAlign w:val="subscript"/>
        </w:rPr>
        <w:t xml:space="preserve">Source:</w:t>
      </w:r>
      <w:r>
        <w:rPr>
          <w:vertAlign w:val="subscript"/>
        </w:rPr>
        <w:t xml:space="preserve"> </w:t>
      </w:r>
      <w:hyperlink r:id="rId194">
        <w:r>
          <w:rPr>
            <w:rStyle w:val="Hyperlink"/>
            <w:vertAlign w:val="subscript"/>
          </w:rPr>
          <w:t xml:space="preserve">Post Hoc Power Analysis</w:t>
        </w:r>
      </w:hyperlink>
    </w:p>
    <w:p>
      <w:pPr>
        <w:pStyle w:val="BodyText"/>
      </w:pPr>
      <w:r>
        <w:t xml:space="preserve">All four fit indices reached power equal to</w:t>
      </w:r>
      <w:r>
        <w:t xml:space="preserve"> </w:t>
      </w:r>
      <m:oMath>
        <m:r>
          <m:t>1.00</m:t>
        </m:r>
      </m:oMath>
      <w:r>
        <w:t xml:space="preserve">. This means that, in the simulated replications, RMSEA, SRMR, CFI, and TLI all rejected the alternative condition in</w:t>
      </w:r>
      <w:r>
        <w:t xml:space="preserve"> </w:t>
      </w:r>
      <m:oMath>
        <m:r>
          <m:t>100</m:t>
        </m:r>
        <m:r>
          <m:rPr>
            <m:sty m:val="p"/>
          </m:rPr>
          <m:t>%</m:t>
        </m:r>
      </m:oMath>
      <w:r>
        <w:t xml:space="preserve"> </w:t>
      </w:r>
      <w:r>
        <w:t xml:space="preserve">of cases according to their respective cutoff rules.</w:t>
      </w:r>
    </w:p>
    <w:p>
      <w:pPr>
        <w:pStyle w:val="BodyText"/>
      </w:pPr>
      <w:r>
        <w:t xml:space="preserve">The</w:t>
      </w:r>
      <w:r>
        <w:t xml:space="preserve"> </w:t>
      </w:r>
      <w:hyperlink w:anchor="fig-posthoc-plotpower">
        <w:r>
          <w:rPr>
            <w:rStyle w:val="Hyperlink"/>
          </w:rPr>
          <w:t xml:space="preserve">Figure 21</w:t>
        </w:r>
      </w:hyperlink>
      <w:r>
        <w:t xml:space="preserve"> </w:t>
      </w:r>
      <w:r>
        <w:t xml:space="preserve">is fully consistent with these values. In every panel, the null and alternative distributions are clearly separated, and the red cutoff line falls between them with no visible overlap.</w:t>
      </w:r>
    </w:p>
    <w:p>
      <w:pPr>
        <w:pStyle w:val="BodyText"/>
      </w:pPr>
      <w:r>
        <w:t xml:space="preserve">For RMSEA, the null distribution is concentrated near zero, whereas the alternative distribution is centered around approximately</w:t>
      </w:r>
      <w:r>
        <w:t xml:space="preserve"> </w:t>
      </w:r>
      <m:oMath>
        <m:r>
          <m:t>0.05</m:t>
        </m:r>
      </m:oMath>
      <w:r>
        <w:t xml:space="preserve">. The cutoff is located between these two regions, so all alternative replications fall on the rejection side.</w:t>
      </w:r>
    </w:p>
    <w:p>
      <w:pPr>
        <w:pStyle w:val="BodyText"/>
      </w:pPr>
      <w:r>
        <w:t xml:space="preserve">For SRMR, the null distribution is clustered around approximately</w:t>
      </w:r>
      <w:r>
        <w:t xml:space="preserve"> </w:t>
      </w:r>
      <m:oMath>
        <m:r>
          <m:t>0.01</m:t>
        </m:r>
      </m:oMath>
      <w:r>
        <w:t xml:space="preserve"> </w:t>
      </w:r>
      <w:r>
        <w:t xml:space="preserve">to</w:t>
      </w:r>
      <w:r>
        <w:t xml:space="preserve"> </w:t>
      </w:r>
      <m:oMath>
        <m:r>
          <m:t>0.02</m:t>
        </m:r>
      </m:oMath>
      <w:r>
        <w:t xml:space="preserve">, while the alternative distribution is concentrated around approximately</w:t>
      </w:r>
      <w:r>
        <w:t xml:space="preserve"> </w:t>
      </w:r>
      <m:oMath>
        <m:r>
          <m:t>0.06</m:t>
        </m:r>
      </m:oMath>
      <w:r>
        <w:t xml:space="preserve"> </w:t>
      </w:r>
      <w:r>
        <w:t xml:space="preserve">to</w:t>
      </w:r>
      <w:r>
        <w:t xml:space="preserve"> </w:t>
      </w:r>
      <m:oMath>
        <m:r>
          <m:t>0.08</m:t>
        </m:r>
      </m:oMath>
      <w:r>
        <w:t xml:space="preserve">. The separation is complete, which explains the power of</w:t>
      </w:r>
      <w:r>
        <w:t xml:space="preserve"> </w:t>
      </w:r>
      <m:oMath>
        <m:r>
          <m:t>1.00</m:t>
        </m:r>
      </m:oMath>
      <w:r>
        <w:t xml:space="preserve">.</w:t>
      </w:r>
    </w:p>
    <w:p>
      <w:pPr>
        <w:pStyle w:val="BodyText"/>
      </w:pPr>
      <w:r>
        <w:t xml:space="preserve">For CFI/TLI, the null distribution is concentrated very close to</w:t>
      </w:r>
      <w:r>
        <w:t xml:space="preserve"> </w:t>
      </w:r>
      <m:oMath>
        <m:r>
          <m:t>1.00</m:t>
        </m:r>
      </m:oMath>
      <w:r>
        <w:t xml:space="preserve">, whereas the alternative distribution is centered around approximately</w:t>
      </w:r>
      <w:r>
        <w:t xml:space="preserve"> </w:t>
      </w:r>
      <m:oMath>
        <m:r>
          <m:t>0.95</m:t>
        </m:r>
      </m:oMath>
      <w:r>
        <w:t xml:space="preserve"> </w:t>
      </w:r>
      <w:r>
        <w:t xml:space="preserve">to</w:t>
      </w:r>
      <w:r>
        <w:t xml:space="preserve"> </w:t>
      </w:r>
      <m:oMath>
        <m:r>
          <m:t>0.97</m:t>
        </m:r>
      </m:oMath>
      <w:r>
        <w:t xml:space="preserve">. The cutoff line is placed between the two distributions, so every alternative replication is correctly classified.</w:t>
      </w:r>
    </w:p>
    <w:p>
      <w:pPr>
        <w:pStyle w:val="BodyText"/>
      </w:pPr>
      <w:r>
        <w:t xml:space="preserve">Overall, the graphical pattern indicates perfect empirical discrimination for all four indices in this post hoc analysis. In practical terms, the results show no ambiguity in classification: the null and alternative conditions are entirely distinct for RMSEA, SRMR, CFI, and TLI. But note that RMSEA, CFI, and TLI are operating at the below the conventional threshold, which is a consequence of the specific cutoff values derived from the null-model distribution in this scenario.</w:t>
      </w:r>
    </w:p>
    <w:bookmarkEnd w:id="195"/>
    <w:bookmarkStart w:id="211" w:name="with-analytical-solutions"/>
    <w:p>
      <w:pPr>
        <w:pStyle w:val="Heading3"/>
      </w:pPr>
      <w:r>
        <w:t xml:space="preserve">7.2 With Analytical Solutions</w:t>
      </w:r>
    </w:p>
    <w:p>
      <w:pPr>
        <w:pStyle w:val="FirstParagraph"/>
      </w:pPr>
      <w:r>
        <w:t xml:space="preserve">In analytical power analysis, the effect is expressed through a noncentrality-based measure such as</w:t>
      </w:r>
      <w:r>
        <w:t xml:space="preserve"> </w:t>
      </w:r>
      <m:oMath>
        <m:sSub>
          <m:e>
            <m:r>
              <m:t>F</m:t>
            </m:r>
          </m:e>
          <m:sub>
            <m:r>
              <m:t>0</m:t>
            </m:r>
          </m:sub>
        </m:sSub>
      </m:oMath>
      <w:r>
        <w:t xml:space="preserve"> </w:t>
      </w:r>
      <w:r>
        <w:t xml:space="preserve">or RMSEA, because these quantities map directly onto the noncentrality parameter used in the likelihood-ratio test. For that reason, analytical post hoc power is especially convenient when the goal is to assess sensitivity to global model misfit without relying on simulation-based estimation</w:t>
      </w:r>
      <w:r>
        <w:t xml:space="preserve"> </w:t>
      </w:r>
      <w:r>
        <w:t xml:space="preserve">(Jak et al., 2021; Moshagen &amp; Bader, 2024)</w:t>
      </w:r>
      <w:r>
        <w:t xml:space="preserve">.</w:t>
      </w:r>
    </w:p>
    <w:p>
      <w:pPr>
        <w:pStyle w:val="BodyText"/>
      </w:pPr>
      <w:r>
        <w:t xml:space="preserve">The first specification (</w:t>
      </w:r>
      <w:hyperlink w:anchor="fig-posthoc-rmsea">
        <w:r>
          <w:rPr>
            <w:rStyle w:val="Hyperlink"/>
          </w:rPr>
          <w:t xml:space="preserve">Figure 22</w:t>
        </w:r>
      </w:hyperlink>
      <w:r>
        <w:t xml:space="preserve">) is model-free in the sense that the focal discrepancy is supplied directly as</w:t>
      </w:r>
      <w:r>
        <w:t xml:space="preserve"> </w:t>
      </w:r>
      <m:oMath>
        <m:r>
          <m:t>R</m:t>
        </m:r>
        <m:r>
          <m:t>M</m:t>
        </m:r>
        <m:r>
          <m:t>S</m:t>
        </m:r>
        <m:r>
          <m:t>E</m:t>
        </m:r>
        <m:r>
          <m:t>A</m:t>
        </m:r>
        <m:r>
          <m:rPr>
            <m:sty m:val="p"/>
          </m:rPr>
          <m:t>=</m:t>
        </m:r>
        <m:r>
          <m:t>0.05</m:t>
        </m:r>
      </m:oMath>
      <w:r>
        <w:t xml:space="preserve">, so power is evaluated for a global test of exact fit rather than for a specific substantive parameter. Conceptually, this treats misspecification as an overall degree of lack of fit per degree of freedom, which makes the analysis comparable across different SEM families as long as the same effect metric is used</w:t>
      </w:r>
      <w:r>
        <w:t xml:space="preserve"> </w:t>
      </w:r>
      <w:r>
        <w:t xml:space="preserve">(Jak et al., 2021; Jobst et al., 2023; Moshagen &amp; Bader, 2024)</w:t>
      </w:r>
      <w:r>
        <w:t xml:space="preserve">.</w:t>
      </w:r>
    </w:p>
    <w:p>
      <w:pPr>
        <w:pStyle w:val="SourceCode"/>
      </w:pPr>
      <w:r>
        <w:br/>
      </w:r>
      <w:r>
        <w:rPr>
          <w:rStyle w:val="VerbatimChar"/>
        </w:rPr>
        <w:t xml:space="preserve"> semPower: Post hoc power analysis</w:t>
      </w:r>
      <w:r>
        <w:br/>
      </w:r>
      <w:r>
        <w:rPr>
          <w:rStyle w:val="VerbatimChar"/>
        </w:rPr>
        <w:t xml:space="preserve">                                      </w:t>
      </w:r>
      <w:r>
        <w:br/>
      </w:r>
      <w:r>
        <w:rPr>
          <w:rStyle w:val="VerbatimChar"/>
        </w:rPr>
        <w:t xml:space="preserve"> F0                       0.622500    </w:t>
      </w:r>
      <w:r>
        <w:br/>
      </w:r>
      <w:r>
        <w:rPr>
          <w:rStyle w:val="VerbatimChar"/>
        </w:rPr>
        <w:t xml:space="preserve"> RMSEA                    0.050000    </w:t>
      </w:r>
      <w:r>
        <w:br/>
      </w:r>
      <w:r>
        <w:rPr>
          <w:rStyle w:val="VerbatimChar"/>
        </w:rPr>
        <w:t xml:space="preserve"> Mc                       0.732531    </w:t>
      </w:r>
      <w:r>
        <w:br/>
      </w:r>
      <w:r>
        <w:rPr>
          <w:rStyle w:val="VerbatimChar"/>
        </w:rPr>
        <w:t xml:space="preserve"> GFI                      0.950683    </w:t>
      </w:r>
      <w:r>
        <w:br/>
      </w:r>
      <w:r>
        <w:rPr>
          <w:rStyle w:val="VerbatimChar"/>
        </w:rPr>
        <w:t xml:space="preserve"> AGFI                     0.940582    </w:t>
      </w:r>
      <w:r>
        <w:br/>
      </w:r>
      <w:r>
        <w:rPr>
          <w:rStyle w:val="VerbatimChar"/>
        </w:rPr>
        <w:t xml:space="preserve">                                      </w:t>
      </w:r>
      <w:r>
        <w:br/>
      </w:r>
      <w:r>
        <w:rPr>
          <w:rStyle w:val="VerbatimChar"/>
        </w:rPr>
        <w:t xml:space="preserve"> df                       249         </w:t>
      </w:r>
      <w:r>
        <w:br/>
      </w:r>
      <w:r>
        <w:rPr>
          <w:rStyle w:val="VerbatimChar"/>
        </w:rPr>
        <w:t xml:space="preserve"> Num Observations         1047        </w:t>
      </w:r>
      <w:r>
        <w:br/>
      </w:r>
      <w:r>
        <w:rPr>
          <w:rStyle w:val="VerbatimChar"/>
        </w:rPr>
        <w:t xml:space="preserve"> NCP                      651.1350    </w:t>
      </w:r>
      <w:r>
        <w:br/>
      </w:r>
      <w:r>
        <w:rPr>
          <w:rStyle w:val="VerbatimChar"/>
        </w:rPr>
        <w:t xml:space="preserve">                                      </w:t>
      </w:r>
      <w:r>
        <w:br/>
      </w:r>
      <w:r>
        <w:rPr>
          <w:rStyle w:val="VerbatimChar"/>
        </w:rPr>
        <w:t xml:space="preserve"> Critical Chi-Square      286.8077    </w:t>
      </w:r>
      <w:r>
        <w:br/>
      </w:r>
      <w:r>
        <w:rPr>
          <w:rStyle w:val="VerbatimChar"/>
        </w:rPr>
        <w:t xml:space="preserve"> Alpha                    0.050000    </w:t>
      </w:r>
      <w:r>
        <w:br/>
      </w:r>
      <w:r>
        <w:rPr>
          <w:rStyle w:val="VerbatimChar"/>
        </w:rPr>
        <w:t xml:space="preserve"> Beta                     4.771426e-48</w:t>
      </w:r>
      <w:r>
        <w:br/>
      </w:r>
      <w:r>
        <w:rPr>
          <w:rStyle w:val="VerbatimChar"/>
        </w:rPr>
        <w:t xml:space="preserve"> Power (1 - Beta)         &gt; 0.9999    </w:t>
      </w:r>
      <w:r>
        <w:br/>
      </w:r>
      <w:r>
        <w:rPr>
          <w:rStyle w:val="VerbatimChar"/>
        </w:rPr>
        <w:t xml:space="preserve"> Implied Alpha/Beta Ratio 1.047905e+46</w:t>
      </w:r>
    </w:p>
    <w:tbl>
      <w:tblPr>
        <w:tblStyle w:val="Table"/>
        <w:tblW w:type="pct" w:w="5000"/>
        <w:tblLayout w:type="fixed"/>
        <w:tblLook w:firstRow="0" w:lastRow="0" w:firstColumn="0" w:lastColumn="0" w:noHBand="0" w:noVBand="0" w:val="0000"/>
      </w:tblPr>
      <w:tblGrid>
        <w:gridCol w:w="7920"/>
      </w:tblGrid>
      <w:tr>
        <w:tc>
          <w:tcPr/>
          <w:bookmarkStart w:id="199" w:name="fig-posthoc-rmsea"/>
          <w:p>
            <w:pPr>
              <w:pStyle w:val="Compact"/>
              <w:jc w:val="center"/>
            </w:pPr>
            <w:r>
              <w:drawing>
                <wp:inline>
                  <wp:extent cx="5334000" cy="3333749"/>
                  <wp:effectExtent b="0" l="0" r="0" t="0"/>
                  <wp:docPr descr="" title="" id="197" name="Picture"/>
                  <a:graphic>
                    <a:graphicData uri="http://schemas.openxmlformats.org/drawingml/2006/picture">
                      <pic:pic>
                        <pic:nvPicPr>
                          <pic:cNvPr descr="index_files/figure-docx/Scripts-AnalysisScripts-06_posthoc-fig-posthoc-rmsea-output-2.png" id="198" name="Picture"/>
                          <pic:cNvPicPr>
                            <a:picLocks noChangeArrowheads="1" noChangeAspect="1"/>
                          </pic:cNvPicPr>
                        </pic:nvPicPr>
                        <pic:blipFill>
                          <a:blip r:embed="rId19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Post hoc power analysis for RMSEA = 0.05.</w:t>
            </w:r>
          </w:p>
          <w:bookmarkEnd w:id="199"/>
        </w:tc>
      </w:tr>
    </w:tbl>
    <w:p>
      <w:pPr>
        <w:pStyle w:val="BodyText"/>
      </w:pPr>
      <w:r>
        <w:rPr>
          <w:vertAlign w:val="subscript"/>
        </w:rPr>
        <w:t xml:space="preserve">Source:</w:t>
      </w:r>
      <w:r>
        <w:rPr>
          <w:vertAlign w:val="subscript"/>
        </w:rPr>
        <w:t xml:space="preserve"> </w:t>
      </w:r>
      <w:hyperlink r:id="rId200">
        <w:r>
          <w:rPr>
            <w:rStyle w:val="Hyperlink"/>
            <w:vertAlign w:val="subscript"/>
          </w:rPr>
          <w:t xml:space="preserve">Post Hoc Power Analysis</w:t>
        </w:r>
      </w:hyperlink>
    </w:p>
    <w:p>
      <w:pPr>
        <w:pStyle w:val="BodyText"/>
      </w:pPr>
      <w:r>
        <w:t xml:space="preserve">The</w:t>
      </w:r>
      <w:r>
        <w:t xml:space="preserve"> </w:t>
      </w:r>
      <w:hyperlink w:anchor="fig-posthoc-rmsea">
        <w:r>
          <w:rPr>
            <w:rStyle w:val="Hyperlink"/>
          </w:rPr>
          <w:t xml:space="preserve">Figure 22</w:t>
        </w:r>
      </w:hyperlink>
      <w:r>
        <w:t xml:space="preserve"> </w:t>
      </w:r>
      <w:r>
        <w:t xml:space="preserve">shows an extremely high detection capacity for the tested discrepancy. With</w:t>
      </w:r>
      <w:r>
        <w:t xml:space="preserve"> </w:t>
      </w:r>
      <m:oMath>
        <m:sSub>
          <m:e>
            <m:r>
              <m:t>F</m:t>
            </m:r>
          </m:e>
          <m:sub>
            <m:r>
              <m:t>0</m:t>
            </m:r>
          </m:sub>
        </m:sSub>
        <m:r>
          <m:rPr>
            <m:sty m:val="p"/>
          </m:rPr>
          <m:t>=</m:t>
        </m:r>
      </m:oMath>
      <w:r>
        <w:t xml:space="preserve"> </w:t>
      </w:r>
      <w:r>
        <w:t xml:space="preserve">0.623,</w:t>
      </w:r>
      <w:r>
        <w:t xml:space="preserve"> </w:t>
      </w:r>
      <m:oMath>
        <m:r>
          <m:t>R</m:t>
        </m:r>
        <m:r>
          <m:t>M</m:t>
        </m:r>
        <m:r>
          <m:t>S</m:t>
        </m:r>
        <m:r>
          <m:t>E</m:t>
        </m:r>
        <m:r>
          <m:t>A</m:t>
        </m:r>
        <m:r>
          <m:rPr>
            <m:sty m:val="p"/>
          </m:rPr>
          <m:t>=</m:t>
        </m:r>
      </m:oMath>
      <w:r>
        <w:t xml:space="preserve"> </w:t>
      </w:r>
      <w:r>
        <w:t xml:space="preserve">0.05,</w:t>
      </w:r>
      <w:r>
        <w:t xml:space="preserve"> </w:t>
      </w:r>
      <m:oMath>
        <m:r>
          <m:t>d</m:t>
        </m:r>
        <m:r>
          <m:t>f</m:t>
        </m:r>
        <m:r>
          <m:rPr>
            <m:sty m:val="p"/>
          </m:rPr>
          <m:t>=</m:t>
        </m:r>
      </m:oMath>
      <w:r>
        <w:t xml:space="preserve"> </w:t>
      </w:r>
      <w:r>
        <w:t xml:space="preserve">249, and</w:t>
      </w:r>
      <w:r>
        <w:t xml:space="preserve"> </w:t>
      </w:r>
      <m:oMath>
        <m:r>
          <m:t>N</m:t>
        </m:r>
        <m:r>
          <m:rPr>
            <m:sty m:val="p"/>
          </m:rPr>
          <m:t>=</m:t>
        </m:r>
      </m:oMath>
      <w:r>
        <w:t xml:space="preserve"> </w:t>
      </w:r>
      <w:r>
        <w:t xml:space="preserve">1047, the noncentrality parameter reached</w:t>
      </w:r>
      <w:r>
        <w:t xml:space="preserve"> </w:t>
      </w:r>
      <m:oMath>
        <m:r>
          <m:t>N</m:t>
        </m:r>
        <m:r>
          <m:t>C</m:t>
        </m:r>
        <m:r>
          <m:t>P</m:t>
        </m:r>
        <m:r>
          <m:rPr>
            <m:sty m:val="p"/>
          </m:rPr>
          <m:t>=</m:t>
        </m:r>
      </m:oMath>
      <w:r>
        <w:t xml:space="preserve"> </w:t>
      </w:r>
      <w:r>
        <w:t xml:space="preserve">651.135, while the critical value was only</w:t>
      </w:r>
      <w:r>
        <w:t xml:space="preserve"> </w:t>
      </w:r>
      <m:oMath>
        <m:sSubSup>
          <m:e>
            <m:r>
              <m:t>χ</m:t>
            </m:r>
          </m:e>
          <m:sub>
            <m:r>
              <m:t>c</m:t>
            </m:r>
            <m:r>
              <m:t>r</m:t>
            </m:r>
            <m:r>
              <m:t>i</m:t>
            </m:r>
            <m:r>
              <m:t>t</m:t>
            </m:r>
          </m:sub>
          <m:sup>
            <m:r>
              <m:t>2</m:t>
            </m:r>
          </m:sup>
        </m:sSubSup>
        <m:r>
          <m:rPr>
            <m:sty m:val="p"/>
          </m:rPr>
          <m:t>=</m:t>
        </m:r>
      </m:oMath>
      <w:r>
        <w:t xml:space="preserve"> </w:t>
      </w:r>
      <w:r>
        <w:t xml:space="preserve">286.808.</w:t>
      </w:r>
    </w:p>
    <w:p>
      <w:pPr>
        <w:pStyle w:val="BodyText"/>
      </w:pPr>
      <w:r>
        <w:t xml:space="preserve">As a result, power was effectively 1. In substantive terms, this means that, under this effect specification, the design was more than sufficient to detect the target misspecification.</w:t>
      </w:r>
    </w:p>
    <w:p>
      <w:pPr>
        <w:pStyle w:val="BodyText"/>
      </w:pPr>
      <w:r>
        <w:t xml:space="preserve">The graph is fully consistent with this result. The noncentral</w:t>
      </w:r>
      <w:r>
        <w:t xml:space="preserve"> </w:t>
      </w:r>
      <m:oMath>
        <m:sSup>
          <m:e>
            <m:r>
              <m:t>χ</m:t>
            </m:r>
          </m:e>
          <m:sup>
            <m:r>
              <m:t>2</m:t>
            </m:r>
          </m:sup>
        </m:sSup>
      </m:oMath>
      <w:r>
        <w:t xml:space="preserve"> </w:t>
      </w:r>
      <w:r>
        <w:t xml:space="preserve">curve is located far to the right of the critical value, and the shaded</w:t>
      </w:r>
      <w:r>
        <w:t xml:space="preserve"> </w:t>
      </w:r>
      <m:oMath>
        <m:r>
          <m:t>β</m:t>
        </m:r>
      </m:oMath>
      <w:r>
        <w:t xml:space="preserve"> </w:t>
      </w:r>
      <w:r>
        <w:t xml:space="preserve">region is essentially negligible, while the</w:t>
      </w:r>
      <w:r>
        <w:t xml:space="preserve"> </w:t>
      </w:r>
      <m:oMath>
        <m:r>
          <m:t>α</m:t>
        </m:r>
      </m:oMath>
      <w:r>
        <w:t xml:space="preserve"> </w:t>
      </w:r>
      <w:r>
        <w:t xml:space="preserve">region remains fixed at</w:t>
      </w:r>
      <w:r>
        <w:t xml:space="preserve"> </w:t>
      </w:r>
      <m:oMath>
        <m:r>
          <m:t>0.05</m:t>
        </m:r>
      </m:oMath>
      <w:r>
        <w:t xml:space="preserve">.</w:t>
      </w:r>
    </w:p>
    <w:p>
      <w:pPr>
        <w:pStyle w:val="BodyText"/>
      </w:pPr>
      <w:r>
        <w:t xml:space="preserve">The model-based specifications (</w:t>
      </w:r>
      <w:hyperlink w:anchor="fig-posthoc-realmodel">
        <w:r>
          <w:rPr>
            <w:rStyle w:val="Hyperlink"/>
          </w:rPr>
          <w:t xml:space="preserve">Figure 23</w:t>
        </w:r>
      </w:hyperlink>
      <w:r>
        <w:t xml:space="preserve">) move one step closer to substantive hypotheses by deriving the effect from explicitly defined models. In this setup, the population model generates the covariance structure expected under the data-generating process, whereas the analysis model encodes the restrictions to be tested; the discrepancy between them is then translated into the population minimum of the fitting function and, from there, into analytical power</w:t>
      </w:r>
      <w:r>
        <w:t xml:space="preserve"> </w:t>
      </w:r>
      <w:r>
        <w:t xml:space="preserve">(Jobst et al., 2023; Moshagen &amp; Bader, 2024)</w:t>
      </w:r>
      <w:r>
        <w:t xml:space="preserve">.</w:t>
      </w:r>
    </w:p>
    <w:p>
      <w:pPr>
        <w:pStyle w:val="BodyText"/>
      </w:pPr>
      <w:r>
        <w:t xml:space="preserve">When only</w:t>
      </w:r>
      <w:r>
        <w:t xml:space="preserve"> </w:t>
      </w:r>
      <w:r>
        <w:rPr>
          <w:rStyle w:val="VerbatimChar"/>
        </w:rPr>
        <w:t xml:space="preserve">modelH0</w:t>
      </w:r>
      <w:r>
        <w:t xml:space="preserve"> </w:t>
      </w:r>
      <w:r>
        <w:t xml:space="preserve">is provided (</w:t>
      </w:r>
      <w:hyperlink w:anchor="fig-posthoc-realmodel">
        <w:r>
          <w:rPr>
            <w:rStyle w:val="Hyperlink"/>
          </w:rPr>
          <w:t xml:space="preserve">Figure 23</w:t>
        </w:r>
      </w:hyperlink>
      <w:r>
        <w:t xml:space="preserve">), the comparison is against the saturated model, so the power analysis concerns the ability to detect that the focal model does not reproduce the population moments exactly. This is a global hypothesis about overall fit, not a targeted test of one particular restriction, even though the model itself may embody many substantive assumptions</w:t>
      </w:r>
      <w:r>
        <w:t xml:space="preserve"> </w:t>
      </w:r>
      <w:r>
        <w:t xml:space="preserve">(Jak et al., 2021; Moshagen &amp; Bader, 2024)</w:t>
      </w:r>
      <w:r>
        <w:t xml:space="preserve">.</w:t>
      </w:r>
    </w:p>
    <w:p>
      <w:pPr>
        <w:pStyle w:val="SourceCode"/>
      </w:pPr>
      <w:r>
        <w:br/>
      </w:r>
      <w:r>
        <w:rPr>
          <w:rStyle w:val="VerbatimChar"/>
        </w:rPr>
        <w:t xml:space="preserve"> semPower: Post hoc power analysis</w:t>
      </w:r>
      <w:r>
        <w:br/>
      </w:r>
      <w:r>
        <w:rPr>
          <w:rStyle w:val="VerbatimChar"/>
        </w:rPr>
        <w:t xml:space="preserve">                                      </w:t>
      </w:r>
      <w:r>
        <w:br/>
      </w:r>
      <w:r>
        <w:rPr>
          <w:rStyle w:val="VerbatimChar"/>
        </w:rPr>
        <w:t xml:space="preserve"> F0                       0.303870    </w:t>
      </w:r>
      <w:r>
        <w:br/>
      </w:r>
      <w:r>
        <w:rPr>
          <w:rStyle w:val="VerbatimChar"/>
        </w:rPr>
        <w:t xml:space="preserve"> RMSEA                    0.034934    </w:t>
      </w:r>
      <w:r>
        <w:br/>
      </w:r>
      <w:r>
        <w:rPr>
          <w:rStyle w:val="VerbatimChar"/>
        </w:rPr>
        <w:t xml:space="preserve"> SRMR                     0.175600    </w:t>
      </w:r>
      <w:r>
        <w:br/>
      </w:r>
      <w:r>
        <w:rPr>
          <w:rStyle w:val="VerbatimChar"/>
        </w:rPr>
        <w:t xml:space="preserve"> Mc                       0.859044    </w:t>
      </w:r>
      <w:r>
        <w:br/>
      </w:r>
      <w:r>
        <w:rPr>
          <w:rStyle w:val="VerbatimChar"/>
        </w:rPr>
        <w:t xml:space="preserve"> GFI                      0.975303    </w:t>
      </w:r>
      <w:r>
        <w:br/>
      </w:r>
      <w:r>
        <w:rPr>
          <w:rStyle w:val="VerbatimChar"/>
        </w:rPr>
        <w:t xml:space="preserve"> AGFI                     0.970244    </w:t>
      </w:r>
      <w:r>
        <w:br/>
      </w:r>
      <w:r>
        <w:rPr>
          <w:rStyle w:val="VerbatimChar"/>
        </w:rPr>
        <w:t xml:space="preserve"> CFI                      0.977582    </w:t>
      </w:r>
      <w:r>
        <w:br/>
      </w:r>
      <w:r>
        <w:rPr>
          <w:rStyle w:val="VerbatimChar"/>
        </w:rPr>
        <w:t xml:space="preserve">                                      </w:t>
      </w:r>
      <w:r>
        <w:br/>
      </w:r>
      <w:r>
        <w:rPr>
          <w:rStyle w:val="VerbatimChar"/>
        </w:rPr>
        <w:t xml:space="preserve"> df                       249         </w:t>
      </w:r>
      <w:r>
        <w:br/>
      </w:r>
      <w:r>
        <w:rPr>
          <w:rStyle w:val="VerbatimChar"/>
        </w:rPr>
        <w:t xml:space="preserve"> Num Observations         1047        </w:t>
      </w:r>
      <w:r>
        <w:br/>
      </w:r>
      <w:r>
        <w:rPr>
          <w:rStyle w:val="VerbatimChar"/>
        </w:rPr>
        <w:t xml:space="preserve"> NCP                      317.8482    </w:t>
      </w:r>
      <w:r>
        <w:br/>
      </w:r>
      <w:r>
        <w:rPr>
          <w:rStyle w:val="VerbatimChar"/>
        </w:rPr>
        <w:t xml:space="preserve">                                      </w:t>
      </w:r>
      <w:r>
        <w:br/>
      </w:r>
      <w:r>
        <w:rPr>
          <w:rStyle w:val="VerbatimChar"/>
        </w:rPr>
        <w:t xml:space="preserve"> Critical Chi-Square      286.8077    </w:t>
      </w:r>
      <w:r>
        <w:br/>
      </w:r>
      <w:r>
        <w:rPr>
          <w:rStyle w:val="VerbatimChar"/>
        </w:rPr>
        <w:t xml:space="preserve"> Alpha                    0.050000    </w:t>
      </w:r>
      <w:r>
        <w:br/>
      </w:r>
      <w:r>
        <w:rPr>
          <w:rStyle w:val="VerbatimChar"/>
        </w:rPr>
        <w:t xml:space="preserve"> Beta                     6.740368e-16</w:t>
      </w:r>
      <w:r>
        <w:br/>
      </w:r>
      <w:r>
        <w:rPr>
          <w:rStyle w:val="VerbatimChar"/>
        </w:rPr>
        <w:t xml:space="preserve"> Power (1 - Beta)         &gt; 0.9999    </w:t>
      </w:r>
      <w:r>
        <w:br/>
      </w:r>
      <w:r>
        <w:rPr>
          <w:rStyle w:val="VerbatimChar"/>
        </w:rPr>
        <w:t xml:space="preserve"> Implied Alpha/Beta Ratio 7.417993e+13</w:t>
      </w:r>
    </w:p>
    <w:tbl>
      <w:tblPr>
        <w:tblStyle w:val="Table"/>
        <w:tblW w:type="pct" w:w="5000"/>
        <w:tblLayout w:type="fixed"/>
        <w:tblLook w:firstRow="0" w:lastRow="0" w:firstColumn="0" w:lastColumn="0" w:noHBand="0" w:noVBand="0" w:val="0000"/>
      </w:tblPr>
      <w:tblGrid>
        <w:gridCol w:w="7920"/>
      </w:tblGrid>
      <w:tr>
        <w:tc>
          <w:tcPr/>
          <w:bookmarkStart w:id="204" w:name="fig-posthoc-realmodel"/>
          <w:p>
            <w:pPr>
              <w:pStyle w:val="Compact"/>
              <w:jc w:val="center"/>
            </w:pPr>
            <w:r>
              <w:drawing>
                <wp:inline>
                  <wp:extent cx="5334000" cy="3333749"/>
                  <wp:effectExtent b="0" l="0" r="0" t="0"/>
                  <wp:docPr descr="" title="" id="202" name="Picture"/>
                  <a:graphic>
                    <a:graphicData uri="http://schemas.openxmlformats.org/drawingml/2006/picture">
                      <pic:pic>
                        <pic:nvPicPr>
                          <pic:cNvPr descr="index_files/figure-docx/Scripts-AnalysisScripts-06_posthoc-fig-posthoc-realmodel-output-2.png" id="203" name="Picture"/>
                          <pic:cNvPicPr>
                            <a:picLocks noChangeArrowheads="1" noChangeAspect="1"/>
                          </pic:cNvPicPr>
                        </pic:nvPicPr>
                        <pic:blipFill>
                          <a:blip r:embed="rId201"/>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Post hoc power analysis for the real model.</w:t>
            </w:r>
          </w:p>
          <w:bookmarkEnd w:id="204"/>
        </w:tc>
      </w:tr>
    </w:tbl>
    <w:p>
      <w:pPr>
        <w:pStyle w:val="BodyText"/>
      </w:pPr>
      <w:r>
        <w:rPr>
          <w:vertAlign w:val="subscript"/>
        </w:rPr>
        <w:t xml:space="preserve">Source:</w:t>
      </w:r>
      <w:r>
        <w:rPr>
          <w:vertAlign w:val="subscript"/>
        </w:rPr>
        <w:t xml:space="preserve"> </w:t>
      </w:r>
      <w:hyperlink r:id="rId205">
        <w:r>
          <w:rPr>
            <w:rStyle w:val="Hyperlink"/>
            <w:vertAlign w:val="subscript"/>
          </w:rPr>
          <w:t xml:space="preserve">Post Hoc Power Analysis</w:t>
        </w:r>
      </w:hyperlink>
    </w:p>
    <w:p>
      <w:pPr>
        <w:pStyle w:val="BodyText"/>
      </w:pPr>
      <w:r>
        <w:t xml:space="preserve">The</w:t>
      </w:r>
      <w:r>
        <w:t xml:space="preserve"> </w:t>
      </w:r>
      <w:hyperlink w:anchor="fig-posthoc-realmodel">
        <w:r>
          <w:rPr>
            <w:rStyle w:val="Hyperlink"/>
          </w:rPr>
          <w:t xml:space="preserve">Figure 23</w:t>
        </w:r>
      </w:hyperlink>
      <w:r>
        <w:t xml:space="preserve"> </w:t>
      </w:r>
      <w:r>
        <w:t xml:space="preserve">shows an extremely high detection capacity for the tested discrepancy. With</w:t>
      </w:r>
      <w:r>
        <w:t xml:space="preserve"> </w:t>
      </w:r>
      <m:oMath>
        <m:sSub>
          <m:e>
            <m:r>
              <m:t>F</m:t>
            </m:r>
          </m:e>
          <m:sub>
            <m:r>
              <m:t>0</m:t>
            </m:r>
          </m:sub>
        </m:sSub>
        <m:r>
          <m:rPr>
            <m:sty m:val="p"/>
          </m:rPr>
          <m:t>=</m:t>
        </m:r>
      </m:oMath>
      <w:r>
        <w:t xml:space="preserve"> </w:t>
      </w:r>
      <w:r>
        <w:t xml:space="preserve">0.304,</w:t>
      </w:r>
      <w:r>
        <w:t xml:space="preserve"> </w:t>
      </w:r>
      <m:oMath>
        <m:r>
          <m:t>R</m:t>
        </m:r>
        <m:r>
          <m:t>M</m:t>
        </m:r>
        <m:r>
          <m:t>S</m:t>
        </m:r>
        <m:r>
          <m:t>E</m:t>
        </m:r>
        <m:r>
          <m:t>A</m:t>
        </m:r>
        <m:r>
          <m:rPr>
            <m:sty m:val="p"/>
          </m:rPr>
          <m:t>=</m:t>
        </m:r>
      </m:oMath>
      <w:r>
        <w:t xml:space="preserve"> </w:t>
      </w:r>
      <w:r>
        <w:t xml:space="preserve">0.035,</w:t>
      </w:r>
      <w:r>
        <w:t xml:space="preserve"> </w:t>
      </w:r>
      <m:oMath>
        <m:r>
          <m:t>d</m:t>
        </m:r>
        <m:r>
          <m:t>f</m:t>
        </m:r>
        <m:r>
          <m:rPr>
            <m:sty m:val="p"/>
          </m:rPr>
          <m:t>=</m:t>
        </m:r>
      </m:oMath>
      <w:r>
        <w:t xml:space="preserve"> </w:t>
      </w:r>
      <w:r>
        <w:t xml:space="preserve">249, and</w:t>
      </w:r>
      <w:r>
        <w:t xml:space="preserve"> </w:t>
      </w:r>
      <m:oMath>
        <m:r>
          <m:t>N</m:t>
        </m:r>
        <m:r>
          <m:rPr>
            <m:sty m:val="p"/>
          </m:rPr>
          <m:t>=</m:t>
        </m:r>
      </m:oMath>
      <w:r>
        <w:t xml:space="preserve"> </w:t>
      </w:r>
      <w:r>
        <w:t xml:space="preserve">1047, the noncentrality parameter reached</w:t>
      </w:r>
      <w:r>
        <w:t xml:space="preserve"> </w:t>
      </w:r>
      <m:oMath>
        <m:r>
          <m:t>N</m:t>
        </m:r>
        <m:r>
          <m:t>C</m:t>
        </m:r>
        <m:r>
          <m:t>P</m:t>
        </m:r>
        <m:r>
          <m:rPr>
            <m:sty m:val="p"/>
          </m:rPr>
          <m:t>=</m:t>
        </m:r>
      </m:oMath>
      <w:r>
        <w:t xml:space="preserve"> </w:t>
      </w:r>
      <w:r>
        <w:t xml:space="preserve">317.848, while the critical value was only</w:t>
      </w:r>
      <w:r>
        <w:t xml:space="preserve"> </w:t>
      </w:r>
      <m:oMath>
        <m:sSubSup>
          <m:e>
            <m:r>
              <m:t>χ</m:t>
            </m:r>
          </m:e>
          <m:sub>
            <m:r>
              <m:t>c</m:t>
            </m:r>
            <m:r>
              <m:t>r</m:t>
            </m:r>
            <m:r>
              <m:t>i</m:t>
            </m:r>
            <m:r>
              <m:t>t</m:t>
            </m:r>
          </m:sub>
          <m:sup>
            <m:r>
              <m:t>2</m:t>
            </m:r>
          </m:sup>
        </m:sSubSup>
        <m:r>
          <m:rPr>
            <m:sty m:val="p"/>
          </m:rPr>
          <m:t>=</m:t>
        </m:r>
      </m:oMath>
      <w:r>
        <w:t xml:space="preserve"> </w:t>
      </w:r>
      <w:r>
        <w:t xml:space="preserve">286.808.</w:t>
      </w:r>
    </w:p>
    <w:p>
      <w:pPr>
        <w:pStyle w:val="BodyText"/>
      </w:pPr>
      <w:r>
        <w:t xml:space="preserve">The graphical result shows the same pattern as in the previous case, although with less separation between the two distributions. Even so, the noncentral distribution still lies predominantly to the right of the cutoff, so the probability of failing to detect the effect is practically zero.</w:t>
      </w:r>
    </w:p>
    <w:p>
      <w:pPr>
        <w:pStyle w:val="BodyText"/>
      </w:pPr>
      <w:r>
        <w:t xml:space="preserve">When both</w:t>
      </w:r>
      <w:r>
        <w:t xml:space="preserve"> </w:t>
      </w:r>
      <w:r>
        <w:rPr>
          <w:rStyle w:val="VerbatimChar"/>
        </w:rPr>
        <w:t xml:space="preserve">modelH0</w:t>
      </w:r>
      <w:r>
        <w:t xml:space="preserve"> </w:t>
      </w:r>
      <w:r>
        <w:t xml:space="preserve">and</w:t>
      </w:r>
      <w:r>
        <w:t xml:space="preserve"> </w:t>
      </w:r>
      <w:r>
        <w:rPr>
          <w:rStyle w:val="VerbatimChar"/>
        </w:rPr>
        <w:t xml:space="preserve">modelH1</w:t>
      </w:r>
      <w:r>
        <w:t xml:space="preserve"> </w:t>
      </w:r>
      <w:r>
        <w:t xml:space="preserve">are specified (</w:t>
      </w:r>
      <w:hyperlink w:anchor="fig-posthoc-misspec">
        <w:r>
          <w:rPr>
            <w:rStyle w:val="Hyperlink"/>
          </w:rPr>
          <w:t xml:space="preserve">Figure 24</w:t>
        </w:r>
      </w:hyperlink>
      <w:r>
        <w:t xml:space="preserve">), the analysis becomes a nested-model comparison. In that case, power refers to the probability of detecting the additional restrictions imposed by</w:t>
      </w:r>
      <w:r>
        <w:t xml:space="preserve"> </w:t>
      </w:r>
      <m:oMath>
        <m:sSub>
          <m:e>
            <m:r>
              <m:t>H</m:t>
            </m:r>
          </m:e>
          <m:sub>
            <m:r>
              <m:t>0</m:t>
            </m:r>
          </m:sub>
        </m:sSub>
      </m:oMath>
      <w:r>
        <w:t xml:space="preserve"> </w:t>
      </w:r>
      <w:r>
        <w:t xml:space="preserve">relative to a less restrictive competitor, which is usually the conceptually preferable strategy when the research question concerns a particular constrained relation rather than the model as a whole</w:t>
      </w:r>
      <w:r>
        <w:t xml:space="preserve"> </w:t>
      </w:r>
      <w:r>
        <w:t xml:space="preserve">(Jak et al., 2021; Jobst et al., 2023; Moshagen &amp; Bader, 2024)</w:t>
      </w:r>
      <w:r>
        <w:t xml:space="preserve">.</w:t>
      </w:r>
    </w:p>
    <w:p>
      <w:pPr>
        <w:pStyle w:val="BodyText"/>
      </w:pPr>
      <w:r>
        <w:t xml:space="preserve">This distinction is important because the same sample size may imply very different power depending on the hypothesis under evaluation. A study can be adequately powered to detect overall misspecification against the saturated model and still be poorly powered for a more localized restriction, or the reverse, because power in SEM is always tied to the specific discrepancy being tested</w:t>
      </w:r>
      <w:r>
        <w:t xml:space="preserve"> </w:t>
      </w:r>
      <w:r>
        <w:t xml:space="preserve">(Jobst et al., 2023; Moshagen &amp; Bader, 2024; Wang, 2023)</w:t>
      </w:r>
      <w:r>
        <w:t xml:space="preserve">.</w:t>
      </w:r>
    </w:p>
    <w:p>
      <w:pPr>
        <w:pStyle w:val="SourceCode"/>
      </w:pPr>
      <w:r>
        <w:br/>
      </w:r>
      <w:r>
        <w:rPr>
          <w:rStyle w:val="VerbatimChar"/>
        </w:rPr>
        <w:t xml:space="preserve"> semPower: Post hoc power analysis</w:t>
      </w:r>
      <w:r>
        <w:br/>
      </w:r>
      <w:r>
        <w:rPr>
          <w:rStyle w:val="VerbatimChar"/>
        </w:rPr>
        <w:t xml:space="preserve">                                  </w:t>
      </w:r>
      <w:r>
        <w:br/>
      </w:r>
      <w:r>
        <w:rPr>
          <w:rStyle w:val="VerbatimChar"/>
        </w:rPr>
        <w:t xml:space="preserve"> F0                       0.009082</w:t>
      </w:r>
      <w:r>
        <w:br/>
      </w:r>
      <w:r>
        <w:rPr>
          <w:rStyle w:val="VerbatimChar"/>
        </w:rPr>
        <w:t xml:space="preserve"> RMSEA                    0.055021</w:t>
      </w:r>
      <w:r>
        <w:br/>
      </w:r>
      <w:r>
        <w:rPr>
          <w:rStyle w:val="VerbatimChar"/>
        </w:rPr>
        <w:t xml:space="preserve"> Mc                       0.995469</w:t>
      </w:r>
      <w:r>
        <w:br/>
      </w:r>
      <w:r>
        <w:rPr>
          <w:rStyle w:val="VerbatimChar"/>
        </w:rPr>
        <w:t xml:space="preserve">                                  </w:t>
      </w:r>
      <w:r>
        <w:br/>
      </w:r>
      <w:r>
        <w:rPr>
          <w:rStyle w:val="VerbatimChar"/>
        </w:rPr>
        <w:t xml:space="preserve"> df                       3       </w:t>
      </w:r>
      <w:r>
        <w:br/>
      </w:r>
      <w:r>
        <w:rPr>
          <w:rStyle w:val="VerbatimChar"/>
        </w:rPr>
        <w:t xml:space="preserve"> Num Observations         1047    </w:t>
      </w:r>
      <w:r>
        <w:br/>
      </w:r>
      <w:r>
        <w:rPr>
          <w:rStyle w:val="VerbatimChar"/>
        </w:rPr>
        <w:t xml:space="preserve"> NCP                      9.499715</w:t>
      </w:r>
      <w:r>
        <w:br/>
      </w:r>
      <w:r>
        <w:rPr>
          <w:rStyle w:val="VerbatimChar"/>
        </w:rPr>
        <w:t xml:space="preserve">                                  </w:t>
      </w:r>
      <w:r>
        <w:br/>
      </w:r>
      <w:r>
        <w:rPr>
          <w:rStyle w:val="VerbatimChar"/>
        </w:rPr>
        <w:t xml:space="preserve"> Critical Chi-Square      7.814728</w:t>
      </w:r>
      <w:r>
        <w:br/>
      </w:r>
      <w:r>
        <w:rPr>
          <w:rStyle w:val="VerbatimChar"/>
        </w:rPr>
        <w:t xml:space="preserve"> Alpha                    0.050000</w:t>
      </w:r>
      <w:r>
        <w:br/>
      </w:r>
      <w:r>
        <w:rPr>
          <w:rStyle w:val="VerbatimChar"/>
        </w:rPr>
        <w:t xml:space="preserve"> Beta                     0.262955</w:t>
      </w:r>
      <w:r>
        <w:br/>
      </w:r>
      <w:r>
        <w:rPr>
          <w:rStyle w:val="VerbatimChar"/>
        </w:rPr>
        <w:t xml:space="preserve"> Power (1 - Beta)         0.737045</w:t>
      </w:r>
      <w:r>
        <w:br/>
      </w:r>
      <w:r>
        <w:rPr>
          <w:rStyle w:val="VerbatimChar"/>
        </w:rPr>
        <w:t xml:space="preserve"> Implied Alpha/Beta Ratio 0.190147</w:t>
      </w:r>
    </w:p>
    <w:tbl>
      <w:tblPr>
        <w:tblStyle w:val="Table"/>
        <w:tblW w:type="pct" w:w="5000"/>
        <w:tblLayout w:type="fixed"/>
        <w:tblLook w:firstRow="0" w:lastRow="0" w:firstColumn="0" w:lastColumn="0" w:noHBand="0" w:noVBand="0" w:val="0000"/>
      </w:tblPr>
      <w:tblGrid>
        <w:gridCol w:w="7920"/>
      </w:tblGrid>
      <w:tr>
        <w:tc>
          <w:tcPr/>
          <w:bookmarkStart w:id="209" w:name="fig-posthoc-misspec"/>
          <w:p>
            <w:pPr>
              <w:pStyle w:val="Compact"/>
              <w:jc w:val="center"/>
            </w:pPr>
            <w:r>
              <w:drawing>
                <wp:inline>
                  <wp:extent cx="5334000" cy="3333749"/>
                  <wp:effectExtent b="0" l="0" r="0" t="0"/>
                  <wp:docPr descr="" title="" id="207" name="Picture"/>
                  <a:graphic>
                    <a:graphicData uri="http://schemas.openxmlformats.org/drawingml/2006/picture">
                      <pic:pic>
                        <pic:nvPicPr>
                          <pic:cNvPr descr="index_files/figure-docx/Scripts-AnalysisScripts-06_posthoc-fig-posthoc-misspec-output-3.png" id="208" name="Picture"/>
                          <pic:cNvPicPr>
                            <a:picLocks noChangeArrowheads="1" noChangeAspect="1"/>
                          </pic:cNvPicPr>
                        </pic:nvPicPr>
                        <pic:blipFill>
                          <a:blip r:embed="rId20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Post hoc power analysis for the misspecified model.</w:t>
            </w:r>
          </w:p>
          <w:bookmarkEnd w:id="209"/>
        </w:tc>
      </w:tr>
    </w:tbl>
    <w:p>
      <w:pPr>
        <w:pStyle w:val="BodyText"/>
      </w:pPr>
      <w:r>
        <w:rPr>
          <w:vertAlign w:val="subscript"/>
        </w:rPr>
        <w:t xml:space="preserve">Source:</w:t>
      </w:r>
      <w:r>
        <w:rPr>
          <w:vertAlign w:val="subscript"/>
        </w:rPr>
        <w:t xml:space="preserve"> </w:t>
      </w:r>
      <w:hyperlink r:id="rId210">
        <w:r>
          <w:rPr>
            <w:rStyle w:val="Hyperlink"/>
            <w:vertAlign w:val="subscript"/>
          </w:rPr>
          <w:t xml:space="preserve">Post Hoc Power Analysis</w:t>
        </w:r>
      </w:hyperlink>
    </w:p>
    <w:p>
      <w:pPr>
        <w:pStyle w:val="BodyText"/>
      </w:pPr>
      <w:r>
        <w:t xml:space="preserve">The</w:t>
      </w:r>
      <w:r>
        <w:t xml:space="preserve"> </w:t>
      </w:r>
      <w:hyperlink w:anchor="fig-posthoc-misspec">
        <w:r>
          <w:rPr>
            <w:rStyle w:val="Hyperlink"/>
          </w:rPr>
          <w:t xml:space="preserve">Figure 24</w:t>
        </w:r>
      </w:hyperlink>
      <w:r>
        <w:t xml:space="preserve"> </w:t>
      </w:r>
      <w:r>
        <w:t xml:space="preserve">yields a much more moderate result. Although the sample size was the same, the tested discrepancy was much smaller, with</w:t>
      </w:r>
      <w:r>
        <w:t xml:space="preserve"> </w:t>
      </w:r>
      <m:oMath>
        <m:sSub>
          <m:e>
            <m:r>
              <m:t>F</m:t>
            </m:r>
          </m:e>
          <m:sub>
            <m:r>
              <m:t>0</m:t>
            </m:r>
          </m:sub>
        </m:sSub>
        <m:r>
          <m:rPr>
            <m:sty m:val="p"/>
          </m:rPr>
          <m:t>=</m:t>
        </m:r>
      </m:oMath>
      <w:r>
        <w:t xml:space="preserve"> </w:t>
      </w:r>
      <w:r>
        <w:t xml:space="preserve">0.009,</w:t>
      </w:r>
      <w:r>
        <w:t xml:space="preserve"> </w:t>
      </w:r>
      <m:oMath>
        <m:r>
          <m:t>R</m:t>
        </m:r>
        <m:r>
          <m:t>M</m:t>
        </m:r>
        <m:r>
          <m:t>S</m:t>
        </m:r>
        <m:r>
          <m:t>E</m:t>
        </m:r>
        <m:r>
          <m:t>A</m:t>
        </m:r>
        <m:r>
          <m:rPr>
            <m:sty m:val="p"/>
          </m:rPr>
          <m:t>=</m:t>
        </m:r>
      </m:oMath>
      <w:r>
        <w:t xml:space="preserve"> </w:t>
      </w:r>
      <w:r>
        <w:t xml:space="preserve">0.055 and only</w:t>
      </w:r>
      <w:r>
        <w:t xml:space="preserve"> </w:t>
      </w:r>
      <m:oMath>
        <m:r>
          <m:t>d</m:t>
        </m:r>
        <m:r>
          <m:t>f</m:t>
        </m:r>
        <m:r>
          <m:rPr>
            <m:sty m:val="p"/>
          </m:rPr>
          <m:t>=</m:t>
        </m:r>
      </m:oMath>
      <w:r>
        <w:t xml:space="preserve"> </w:t>
      </w:r>
      <w:r>
        <w:t xml:space="preserve">3, which led to a comparatively small</w:t>
      </w:r>
      <w:r>
        <w:t xml:space="preserve"> </w:t>
      </w:r>
      <m:oMath>
        <m:r>
          <m:t>N</m:t>
        </m:r>
        <m:r>
          <m:t>C</m:t>
        </m:r>
        <m:r>
          <m:t>P</m:t>
        </m:r>
        <m:r>
          <m:rPr>
            <m:sty m:val="p"/>
          </m:rPr>
          <m:t>=</m:t>
        </m:r>
      </m:oMath>
      <w:r>
        <w:t xml:space="preserve"> </w:t>
      </w:r>
      <w:r>
        <w:t xml:space="preserve">9.5.</w:t>
      </w:r>
    </w:p>
    <w:p>
      <w:pPr>
        <w:pStyle w:val="BodyText"/>
      </w:pPr>
      <w:r>
        <w:t xml:space="preserve">The critical value was</w:t>
      </w:r>
      <w:r>
        <w:t xml:space="preserve"> </w:t>
      </w:r>
      <m:oMath>
        <m:sSubSup>
          <m:e>
            <m:r>
              <m:t>χ</m:t>
            </m:r>
          </m:e>
          <m:sub>
            <m:r>
              <m:t>c</m:t>
            </m:r>
            <m:r>
              <m:t>r</m:t>
            </m:r>
            <m:r>
              <m:t>i</m:t>
            </m:r>
            <m:r>
              <m:t>t</m:t>
            </m:r>
          </m:sub>
          <m:sup>
            <m:r>
              <m:t>2</m:t>
            </m:r>
          </m:sup>
        </m:sSubSup>
        <m:r>
          <m:rPr>
            <m:sty m:val="p"/>
          </m:rPr>
          <m:t>=</m:t>
        </m:r>
      </m:oMath>
      <w:r>
        <w:t xml:space="preserve"> </w:t>
      </w:r>
      <w:r>
        <w:t xml:space="preserve">7.815, and this time the overlap between the central and noncentral distributions was substantial. Accordingly,</w:t>
      </w:r>
      <w:r>
        <w:t xml:space="preserve"> </w:t>
      </w:r>
      <m:oMath>
        <m:r>
          <m:t>β</m:t>
        </m:r>
        <m:r>
          <m:rPr>
            <m:sty m:val="p"/>
          </m:rPr>
          <m:t>=</m:t>
        </m:r>
      </m:oMath>
      <w:r>
        <w:t xml:space="preserve"> </w:t>
      </w:r>
      <w:r>
        <w:t xml:space="preserve">0.263 and power was 0.737, indicating that the analysis did not reach the conventional</w:t>
      </w:r>
      <w:r>
        <w:t xml:space="preserve"> </w:t>
      </w:r>
      <m:oMath>
        <m:r>
          <m:t>0.80</m:t>
        </m:r>
      </m:oMath>
      <w:r>
        <w:t xml:space="preserve"> </w:t>
      </w:r>
      <w:r>
        <w:t xml:space="preserve">threshold.</w:t>
      </w:r>
    </w:p>
    <w:p>
      <w:pPr>
        <w:pStyle w:val="BodyText"/>
      </w:pPr>
      <w:r>
        <w:t xml:space="preserve">The graph reflects this clearly. Unlike the first two plots, the noncentral curve is only moderately shifted to the right of the critical value, and the shaded</w:t>
      </w:r>
      <w:r>
        <w:t xml:space="preserve"> </w:t>
      </w:r>
      <m:oMath>
        <m:r>
          <m:t>β</m:t>
        </m:r>
      </m:oMath>
      <w:r>
        <w:t xml:space="preserve"> </w:t>
      </w:r>
      <w:r>
        <w:t xml:space="preserve">area is visibly large, showing a nontrivial probability of not detecting the tested discrepancy.</w:t>
      </w:r>
    </w:p>
    <w:p>
      <w:pPr>
        <w:pStyle w:val="BodyText"/>
      </w:pPr>
      <w:r>
        <w:t xml:space="preserve">More broadly, these chunks illustrate the two main analytical routes available in SEM post hoc power assessment: a model-free route based on a prespecified fit index value, and a model-based route in which the effect is induced by the discrepancy between population and analysis models. The latter is often more substantively interpretable, whereas the former is simpler and more general, especially when the main interest is sensitivity to a chosen level of global misfit</w:t>
      </w:r>
      <w:r>
        <w:t xml:space="preserve"> </w:t>
      </w:r>
      <w:r>
        <w:t xml:space="preserve">(Jak et al., 2021; Moshagen &amp; Bader, 2024)</w:t>
      </w:r>
      <w:r>
        <w:t xml:space="preserve">.</w:t>
      </w:r>
    </w:p>
    <w:p>
      <w:pPr>
        <w:pStyle w:val="BodyText"/>
      </w:pPr>
      <w:r>
        <w:t xml:space="preserve">Analytical post hoc power is typically preferred whenever its asymptotic assumptions are reasonable, because it is computationally immediate, free from Monte Carlo sampling error, and directly tied to the theoretical reference distributions of the SEM test statistic. Even so, its interpretation remains conditional on the chosen effect definition, the assumed fitting function, and the specific null-versus-alternative comparison encoded by the models</w:t>
      </w:r>
      <w:r>
        <w:t xml:space="preserve"> </w:t>
      </w:r>
      <w:r>
        <w:t xml:space="preserve">(Jobst et al., 2023; Moshagen &amp; Bader, 2024)</w:t>
      </w:r>
      <w:r>
        <w:t xml:space="preserve">.</w:t>
      </w:r>
    </w:p>
    <w:bookmarkEnd w:id="211"/>
    <w:bookmarkEnd w:id="212"/>
    <w:bookmarkStart w:id="233" w:name="references"/>
    <w:p>
      <w:pPr>
        <w:pStyle w:val="Heading2"/>
      </w:pPr>
      <w:r>
        <w:t xml:space="preserve">References</w:t>
      </w:r>
    </w:p>
    <w:bookmarkStart w:id="232" w:name="refs"/>
    <w:bookmarkStart w:id="213" w:name="ref-feng2023"/>
    <w:p>
      <w:pPr>
        <w:pStyle w:val="Bibliography"/>
      </w:pPr>
      <w:r>
        <w:t xml:space="preserve">Feng, Y., &amp; Hancock, G. R. (2023). Power</w:t>
      </w:r>
      <w:r>
        <w:t xml:space="preserve"> </w:t>
      </w:r>
      <w:r>
        <w:t xml:space="preserve">Analysis</w:t>
      </w:r>
      <w:r>
        <w:t xml:space="preserve"> </w:t>
      </w:r>
      <w:r>
        <w:t xml:space="preserve">within a</w:t>
      </w:r>
      <w:r>
        <w:t xml:space="preserve"> </w:t>
      </w:r>
      <w:r>
        <w:t xml:space="preserve">Structural Equation Modeling Framework</w:t>
      </w:r>
      <w:r>
        <w:t xml:space="preserve">. In R. H. Hoyle (Ed.),</w:t>
      </w:r>
      <w:r>
        <w:t xml:space="preserve"> </w:t>
      </w:r>
      <w:r>
        <w:rPr>
          <w:i/>
          <w:iCs/>
        </w:rPr>
        <w:t xml:space="preserve">Handbook of</w:t>
      </w:r>
      <w:r>
        <w:rPr>
          <w:i/>
          <w:iCs/>
        </w:rPr>
        <w:t xml:space="preserve"> </w:t>
      </w:r>
      <w:r>
        <w:rPr>
          <w:i/>
          <w:iCs/>
        </w:rPr>
        <w:t xml:space="preserve">Structural Equation Modeling</w:t>
      </w:r>
      <w:r>
        <w:t xml:space="preserve">. The Guilford Press.</w:t>
      </w:r>
    </w:p>
    <w:bookmarkEnd w:id="213"/>
    <w:bookmarkStart w:id="215" w:name="ref-jak2021"/>
    <w:p>
      <w:pPr>
        <w:pStyle w:val="Bibliography"/>
      </w:pPr>
      <w:r>
        <w:t xml:space="preserve">Jak, S., Jorgensen, T. D., Verdam, M. G. E., Oort, F. J., &amp; Elffers, L. (2021). Analytical power calculations for structural equation modeling:</w:t>
      </w:r>
      <w:r>
        <w:t xml:space="preserve"> </w:t>
      </w:r>
      <w:r>
        <w:t xml:space="preserve">A</w:t>
      </w:r>
      <w:r>
        <w:t xml:space="preserve"> </w:t>
      </w:r>
      <w:r>
        <w:t xml:space="preserve">tutorial and</w:t>
      </w:r>
      <w:r>
        <w:t xml:space="preserve"> </w:t>
      </w:r>
      <w:r>
        <w:t xml:space="preserve">Shiny</w:t>
      </w:r>
      <w:r>
        <w:t xml:space="preserve"> </w:t>
      </w:r>
      <w:r>
        <w:t xml:space="preserve">app.</w:t>
      </w:r>
      <w:r>
        <w:t xml:space="preserve"> </w:t>
      </w:r>
      <w:r>
        <w:rPr>
          <w:i/>
          <w:iCs/>
        </w:rPr>
        <w:t xml:space="preserve">Behavior Research Mehods</w:t>
      </w:r>
      <w:r>
        <w:t xml:space="preserve">,</w:t>
      </w:r>
      <w:r>
        <w:t xml:space="preserve"> </w:t>
      </w:r>
      <w:r>
        <w:rPr>
          <w:i/>
          <w:iCs/>
        </w:rPr>
        <w:t xml:space="preserve">53</w:t>
      </w:r>
      <w:r>
        <w:t xml:space="preserve">, 1385–1406.</w:t>
      </w:r>
      <w:r>
        <w:t xml:space="preserve"> </w:t>
      </w:r>
      <w:hyperlink r:id="rId214">
        <w:r>
          <w:rPr>
            <w:rStyle w:val="Hyperlink"/>
          </w:rPr>
          <w:t xml:space="preserve">https://doi.org/10.3758/s13428-020-01479-0/Published</w:t>
        </w:r>
      </w:hyperlink>
    </w:p>
    <w:bookmarkEnd w:id="215"/>
    <w:bookmarkStart w:id="217" w:name="ref-jobst2023"/>
    <w:p>
      <w:pPr>
        <w:pStyle w:val="Bibliography"/>
      </w:pPr>
      <w:r>
        <w:t xml:space="preserve">Jobst, L. J., Bader, M., &amp; Moshagen, M. (2023). A tutorial on assessing statistical power and determining sample size for structural equation models.</w:t>
      </w:r>
      <w:r>
        <w:t xml:space="preserve"> </w:t>
      </w:r>
      <w:r>
        <w:rPr>
          <w:i/>
          <w:iCs/>
        </w:rPr>
        <w:t xml:space="preserve">Psychological Methods</w:t>
      </w:r>
      <w:r>
        <w:t xml:space="preserve">,</w:t>
      </w:r>
      <w:r>
        <w:t xml:space="preserve"> </w:t>
      </w:r>
      <w:r>
        <w:rPr>
          <w:i/>
          <w:iCs/>
        </w:rPr>
        <w:t xml:space="preserve">28</w:t>
      </w:r>
      <w:r>
        <w:t xml:space="preserve">(1), 207–221.</w:t>
      </w:r>
      <w:r>
        <w:t xml:space="preserve"> </w:t>
      </w:r>
      <w:hyperlink r:id="rId216">
        <w:r>
          <w:rPr>
            <w:rStyle w:val="Hyperlink"/>
          </w:rPr>
          <w:t xml:space="preserve">https://doi.org/10.1037/met0000423</w:t>
        </w:r>
      </w:hyperlink>
    </w:p>
    <w:bookmarkEnd w:id="217"/>
    <w:bookmarkStart w:id="219" w:name="ref-kyriazos2018"/>
    <w:p>
      <w:pPr>
        <w:pStyle w:val="Bibliography"/>
      </w:pPr>
      <w:r>
        <w:t xml:space="preserve">Kyriazos, T. A. (2018). Applied</w:t>
      </w:r>
      <w:r>
        <w:t xml:space="preserve"> </w:t>
      </w:r>
      <w:r>
        <w:t xml:space="preserve">Psychometrics</w:t>
      </w:r>
      <w:r>
        <w:t xml:space="preserve">:</w:t>
      </w:r>
      <w:r>
        <w:t xml:space="preserve"> </w:t>
      </w:r>
      <w:r>
        <w:t xml:space="preserve">Sample Size</w:t>
      </w:r>
      <w:r>
        <w:t xml:space="preserve"> </w:t>
      </w:r>
      <w:r>
        <w:t xml:space="preserve">and</w:t>
      </w:r>
      <w:r>
        <w:t xml:space="preserve"> </w:t>
      </w:r>
      <w:r>
        <w:t xml:space="preserve">Sample Power Considerations</w:t>
      </w:r>
      <w:r>
        <w:t xml:space="preserve"> </w:t>
      </w:r>
      <w:r>
        <w:t xml:space="preserve">in</w:t>
      </w:r>
      <w:r>
        <w:t xml:space="preserve"> </w:t>
      </w:r>
      <w:r>
        <w:t xml:space="preserve">Factor Analysis</w:t>
      </w:r>
      <w:r>
        <w:t xml:space="preserve"> </w:t>
      </w:r>
      <w:r>
        <w:t xml:space="preserve">(</w:t>
      </w:r>
      <w:r>
        <w:t xml:space="preserve">EFA</w:t>
      </w:r>
      <w:r>
        <w:t xml:space="preserve">,</w:t>
      </w:r>
      <w:r>
        <w:t xml:space="preserve"> </w:t>
      </w:r>
      <w:r>
        <w:t xml:space="preserve">CFA</w:t>
      </w:r>
      <w:r>
        <w:t xml:space="preserve">) and</w:t>
      </w:r>
      <w:r>
        <w:t xml:space="preserve"> </w:t>
      </w:r>
      <w:r>
        <w:t xml:space="preserve">SEM</w:t>
      </w:r>
      <w:r>
        <w:t xml:space="preserve"> </w:t>
      </w:r>
      <w:r>
        <w:t xml:space="preserve">in</w:t>
      </w:r>
      <w:r>
        <w:t xml:space="preserve"> </w:t>
      </w:r>
      <w:r>
        <w:t xml:space="preserve">General</w:t>
      </w:r>
      <w:r>
        <w:t xml:space="preserve">.</w:t>
      </w:r>
      <w:r>
        <w:t xml:space="preserve"> </w:t>
      </w:r>
      <w:r>
        <w:rPr>
          <w:i/>
          <w:iCs/>
        </w:rPr>
        <w:t xml:space="preserve">Psychology</w:t>
      </w:r>
      <w:r>
        <w:t xml:space="preserve">,</w:t>
      </w:r>
      <w:r>
        <w:t xml:space="preserve"> </w:t>
      </w:r>
      <w:r>
        <w:rPr>
          <w:i/>
          <w:iCs/>
        </w:rPr>
        <w:t xml:space="preserve">09</w:t>
      </w:r>
      <w:r>
        <w:t xml:space="preserve">(08), 2207–2230.</w:t>
      </w:r>
      <w:r>
        <w:t xml:space="preserve"> </w:t>
      </w:r>
      <w:hyperlink r:id="rId218">
        <w:r>
          <w:rPr>
            <w:rStyle w:val="Hyperlink"/>
          </w:rPr>
          <w:t xml:space="preserve">https://doi.org/10.4236/psych.2018.98126</w:t>
        </w:r>
      </w:hyperlink>
    </w:p>
    <w:bookmarkEnd w:id="219"/>
    <w:bookmarkStart w:id="221" w:name="ref-lin2022"/>
    <w:p>
      <w:pPr>
        <w:pStyle w:val="Bibliography"/>
      </w:pPr>
      <w:r>
        <w:t xml:space="preserve">Lin, L.-C., &amp; Yao, G. (2022). Validation of the factor structure of the</w:t>
      </w:r>
      <w:r>
        <w:t xml:space="preserve"> </w:t>
      </w:r>
      <w:r>
        <w:t xml:space="preserve">WHOQOL-BREF</w:t>
      </w:r>
      <w:r>
        <w:t xml:space="preserve"> </w:t>
      </w:r>
      <w:r>
        <w:t xml:space="preserve">using meta-analysis of exploratory factor analysis and social network analysis.</w:t>
      </w:r>
      <w:r>
        <w:t xml:space="preserve"> </w:t>
      </w:r>
      <w:r>
        <w:rPr>
          <w:i/>
          <w:iCs/>
        </w:rPr>
        <w:t xml:space="preserve">Psychological Assessment</w:t>
      </w:r>
      <w:r>
        <w:t xml:space="preserve">,</w:t>
      </w:r>
      <w:r>
        <w:t xml:space="preserve"> </w:t>
      </w:r>
      <w:r>
        <w:rPr>
          <w:i/>
          <w:iCs/>
        </w:rPr>
        <w:t xml:space="preserve">34</w:t>
      </w:r>
      <w:r>
        <w:t xml:space="preserve">(7), 660–670.</w:t>
      </w:r>
      <w:r>
        <w:t xml:space="preserve"> </w:t>
      </w:r>
      <w:hyperlink r:id="rId220">
        <w:r>
          <w:rPr>
            <w:rStyle w:val="Hyperlink"/>
          </w:rPr>
          <w:t xml:space="preserve">https://doi.org/10.1037/pas0001122</w:t>
        </w:r>
      </w:hyperlink>
    </w:p>
    <w:bookmarkEnd w:id="221"/>
    <w:bookmarkStart w:id="223" w:name="ref-maccallum1996"/>
    <w:p>
      <w:pPr>
        <w:pStyle w:val="Bibliography"/>
      </w:pPr>
      <w:r>
        <w:t xml:space="preserve">MacCallum, R. C., Browne, M. W., &amp; Sugawara, H. M. (1996). Power analysis and determination of sample size for covariance structure modeling.</w:t>
      </w:r>
      <w:r>
        <w:t xml:space="preserve"> </w:t>
      </w:r>
      <w:r>
        <w:rPr>
          <w:i/>
          <w:iCs/>
        </w:rPr>
        <w:t xml:space="preserve">Psychological Methods</w:t>
      </w:r>
      <w:r>
        <w:t xml:space="preserve">,</w:t>
      </w:r>
      <w:r>
        <w:t xml:space="preserve"> </w:t>
      </w:r>
      <w:r>
        <w:rPr>
          <w:i/>
          <w:iCs/>
        </w:rPr>
        <w:t xml:space="preserve">1</w:t>
      </w:r>
      <w:r>
        <w:t xml:space="preserve">(2), 130–149.</w:t>
      </w:r>
      <w:r>
        <w:t xml:space="preserve"> </w:t>
      </w:r>
      <w:hyperlink r:id="rId222">
        <w:r>
          <w:rPr>
            <w:rStyle w:val="Hyperlink"/>
          </w:rPr>
          <w:t xml:space="preserve">https://doi.org/10.1037/1082-989X.1.2.130</w:t>
        </w:r>
      </w:hyperlink>
    </w:p>
    <w:bookmarkEnd w:id="223"/>
    <w:bookmarkStart w:id="225" w:name="ref-moshagen2024"/>
    <w:p>
      <w:pPr>
        <w:pStyle w:val="Bibliography"/>
      </w:pPr>
      <w:r>
        <w:t xml:space="preserve">Moshagen, M., &amp; Bader, M. (2024).</w:t>
      </w:r>
      <w:r>
        <w:t xml:space="preserve"> </w:t>
      </w:r>
      <w:r>
        <w:t xml:space="preserve">semPower</w:t>
      </w:r>
      <w:r>
        <w:t xml:space="preserve">:</w:t>
      </w:r>
      <w:r>
        <w:t xml:space="preserve"> </w:t>
      </w:r>
      <w:r>
        <w:t xml:space="preserve">General</w:t>
      </w:r>
      <w:r>
        <w:t xml:space="preserve"> </w:t>
      </w:r>
      <w:r>
        <w:t xml:space="preserve">power analysis for structural equation models.</w:t>
      </w:r>
      <w:r>
        <w:t xml:space="preserve"> </w:t>
      </w:r>
      <w:r>
        <w:rPr>
          <w:i/>
          <w:iCs/>
        </w:rPr>
        <w:t xml:space="preserve">Behavior Research Methods</w:t>
      </w:r>
      <w:r>
        <w:t xml:space="preserve">,</w:t>
      </w:r>
      <w:r>
        <w:t xml:space="preserve"> </w:t>
      </w:r>
      <w:r>
        <w:rPr>
          <w:i/>
          <w:iCs/>
        </w:rPr>
        <w:t xml:space="preserve">56</w:t>
      </w:r>
      <w:r>
        <w:t xml:space="preserve">(4), 2901–2922.</w:t>
      </w:r>
      <w:r>
        <w:t xml:space="preserve"> </w:t>
      </w:r>
      <w:hyperlink r:id="rId224">
        <w:r>
          <w:rPr>
            <w:rStyle w:val="Hyperlink"/>
          </w:rPr>
          <w:t xml:space="preserve">https://doi.org/10.3758/s13428-023-02254-7</w:t>
        </w:r>
      </w:hyperlink>
    </w:p>
    <w:bookmarkEnd w:id="225"/>
    <w:bookmarkStart w:id="227" w:name="ref-mosqueirataipe2026"/>
    <w:p>
      <w:pPr>
        <w:pStyle w:val="Bibliography"/>
      </w:pPr>
      <w:r>
        <w:t xml:space="preserve">Mosqueira Taipe, C. M., Amador Campos, J. A., Krieger, V., Miasso, A. I., Molina, N. P. F. M., &amp; dos Santos, P. L.</w:t>
      </w:r>
      <w:r>
        <w:t xml:space="preserve"> (2026). Systematic review of the factor structure of</w:t>
      </w:r>
      <w:r>
        <w:t xml:space="preserve"> </w:t>
      </w:r>
      <w:r>
        <w:t xml:space="preserve">WHOQOL-bref</w:t>
      </w:r>
      <w:r>
        <w:t xml:space="preserve"> </w:t>
      </w:r>
      <w:r>
        <w:t xml:space="preserve">in adult population.</w:t>
      </w:r>
      <w:r>
        <w:t xml:space="preserve"> </w:t>
      </w:r>
      <w:r>
        <w:rPr>
          <w:i/>
          <w:iCs/>
        </w:rPr>
        <w:t xml:space="preserve">Quality of Life Research</w:t>
      </w:r>
      <w:r>
        <w:t xml:space="preserve">,</w:t>
      </w:r>
      <w:r>
        <w:t xml:space="preserve"> </w:t>
      </w:r>
      <w:r>
        <w:rPr>
          <w:i/>
          <w:iCs/>
        </w:rPr>
        <w:t xml:space="preserve">35</w:t>
      </w:r>
      <w:r>
        <w:t xml:space="preserve">(17), 1–18.</w:t>
      </w:r>
      <w:r>
        <w:t xml:space="preserve"> </w:t>
      </w:r>
      <w:hyperlink r:id="rId226">
        <w:r>
          <w:rPr>
            <w:rStyle w:val="Hyperlink"/>
          </w:rPr>
          <w:t xml:space="preserve">https://doi.org/10.1007/s11136-025-04115-6</w:t>
        </w:r>
      </w:hyperlink>
    </w:p>
    <w:bookmarkEnd w:id="227"/>
    <w:bookmarkStart w:id="229" w:name="ref-simsem2021"/>
    <w:p>
      <w:pPr>
        <w:pStyle w:val="Bibliography"/>
      </w:pPr>
      <w:r>
        <w:t xml:space="preserve">Pornprasertmanit, S., Miller, P., Schoemann, A., &amp; Jorgensen, T. D. (2021).</w:t>
      </w:r>
      <w:r>
        <w:t xml:space="preserve"> </w:t>
      </w:r>
      <w:r>
        <w:rPr>
          <w:i/>
          <w:iCs/>
        </w:rPr>
        <w:t xml:space="preserve">Simsem:</w:t>
      </w:r>
      <w:r>
        <w:rPr>
          <w:i/>
          <w:iCs/>
        </w:rPr>
        <w:t xml:space="preserve"> </w:t>
      </w:r>
      <w:r>
        <w:rPr>
          <w:i/>
          <w:iCs/>
        </w:rPr>
        <w:t xml:space="preserve">SIMulated Structural Equation Modeling</w:t>
      </w:r>
      <w:r>
        <w:t xml:space="preserve">.</w:t>
      </w:r>
      <w:r>
        <w:t xml:space="preserve"> </w:t>
      </w:r>
      <w:hyperlink r:id="rId228">
        <w:r>
          <w:rPr>
            <w:rStyle w:val="Hyperlink"/>
          </w:rPr>
          <w:t xml:space="preserve">https://CRAN.R-project.org/package=simsem</w:t>
        </w:r>
      </w:hyperlink>
    </w:p>
    <w:bookmarkEnd w:id="229"/>
    <w:bookmarkStart w:id="231" w:name="ref-wang2023"/>
    <w:p>
      <w:pPr>
        <w:pStyle w:val="Bibliography"/>
      </w:pPr>
      <w:r>
        <w:t xml:space="preserve">Wang, Y. A. (2023).</w:t>
      </w:r>
      <w:r>
        <w:t xml:space="preserve"> </w:t>
      </w:r>
      <w:r>
        <w:rPr>
          <w:i/>
          <w:iCs/>
        </w:rPr>
        <w:t xml:space="preserve">How to</w:t>
      </w:r>
      <w:r>
        <w:rPr>
          <w:i/>
          <w:iCs/>
        </w:rPr>
        <w:t xml:space="preserve"> </w:t>
      </w:r>
      <w:r>
        <w:rPr>
          <w:i/>
          <w:iCs/>
        </w:rPr>
        <w:t xml:space="preserve">Conduct Power Analysis</w:t>
      </w:r>
      <w:r>
        <w:rPr>
          <w:i/>
          <w:iCs/>
        </w:rPr>
        <w:t xml:space="preserve"> </w:t>
      </w:r>
      <w:r>
        <w:rPr>
          <w:i/>
          <w:iCs/>
        </w:rPr>
        <w:t xml:space="preserve">for</w:t>
      </w:r>
      <w:r>
        <w:rPr>
          <w:i/>
          <w:iCs/>
        </w:rPr>
        <w:t xml:space="preserve"> </w:t>
      </w:r>
      <w:r>
        <w:rPr>
          <w:i/>
          <w:iCs/>
        </w:rPr>
        <w:t xml:space="preserve">Structural Equation Models</w:t>
      </w:r>
      <w:r>
        <w:rPr>
          <w:i/>
          <w:iCs/>
        </w:rPr>
        <w:t xml:space="preserve">:</w:t>
      </w:r>
      <w:r>
        <w:rPr>
          <w:i/>
          <w:iCs/>
        </w:rPr>
        <w:t xml:space="preserve"> </w:t>
      </w:r>
      <w:r>
        <w:rPr>
          <w:i/>
          <w:iCs/>
        </w:rPr>
        <w:t xml:space="preserve">A Practical Primer</w:t>
      </w:r>
      <w:r>
        <w:t xml:space="preserve"> </w:t>
      </w:r>
      <w:r>
        <w:t xml:space="preserve">[Preprint]. PsyArXiv.</w:t>
      </w:r>
      <w:r>
        <w:t xml:space="preserve"> </w:t>
      </w:r>
      <w:hyperlink r:id="rId230">
        <w:r>
          <w:rPr>
            <w:rStyle w:val="Hyperlink"/>
          </w:rPr>
          <w:t xml:space="preserve">https://doi.org/10.31234/osf.io/4n3uk</w:t>
        </w:r>
      </w:hyperlink>
    </w:p>
    <w:bookmarkEnd w:id="231"/>
    <w:bookmarkEnd w:id="232"/>
    <w:bookmarkEnd w:id="2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9" Target="media/rId9.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14" Target="media/rId14.png" /><Relationship Type="http://schemas.openxmlformats.org/officeDocument/2006/relationships/image" Id="rId56" Target="media/rId56.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91" Target="media/rId91.png" /><Relationship Type="http://schemas.openxmlformats.org/officeDocument/2006/relationships/image" Id="rId124" Target="media/rId124.png" /><Relationship Type="http://schemas.openxmlformats.org/officeDocument/2006/relationships/image" Id="rId137" Target="media/rId137.png" /><Relationship Type="http://schemas.openxmlformats.org/officeDocument/2006/relationships/image" Id="rId98" Target="media/rId98.png" /><Relationship Type="http://schemas.openxmlformats.org/officeDocument/2006/relationships/image" Id="rId86" Target="media/rId86.png" /><Relationship Type="http://schemas.openxmlformats.org/officeDocument/2006/relationships/image" Id="rId119" Target="media/rId119.png" /><Relationship Type="http://schemas.openxmlformats.org/officeDocument/2006/relationships/image" Id="rId132" Target="media/rId132.png" /><Relationship Type="http://schemas.openxmlformats.org/officeDocument/2006/relationships/image" Id="rId152" Target="media/rId152.png" /><Relationship Type="http://schemas.openxmlformats.org/officeDocument/2006/relationships/image" Id="rId165" Target="media/rId165.png" /><Relationship Type="http://schemas.openxmlformats.org/officeDocument/2006/relationships/image" Id="rId147" Target="media/rId147.png" /><Relationship Type="http://schemas.openxmlformats.org/officeDocument/2006/relationships/image" Id="rId160" Target="media/rId160.png" /><Relationship Type="http://schemas.openxmlformats.org/officeDocument/2006/relationships/image" Id="rId180" Target="media/rId180.png" /><Relationship Type="http://schemas.openxmlformats.org/officeDocument/2006/relationships/image" Id="rId173" Target="media/rId173.png" /><Relationship Type="http://schemas.openxmlformats.org/officeDocument/2006/relationships/image" Id="rId206" Target="media/rId206.png" /><Relationship Type="http://schemas.openxmlformats.org/officeDocument/2006/relationships/image" Id="rId190" Target="media/rId190.png" /><Relationship Type="http://schemas.openxmlformats.org/officeDocument/2006/relationships/image" Id="rId201" Target="media/rId201.png" /><Relationship Type="http://schemas.openxmlformats.org/officeDocument/2006/relationships/image" Id="rId196" Target="media/rId196.png" /><Relationship Type="http://schemas.openxmlformats.org/officeDocument/2006/relationships/hyperlink" Id="rId228" Target="https://CRAN.R-project.org/package=simsem" TargetMode="External" /><Relationship Type="http://schemas.openxmlformats.org/officeDocument/2006/relationships/hyperlink" Id="rId226" Target="https://doi.org/10.1007/s11136-025-04115-6" TargetMode="External" /><Relationship Type="http://schemas.openxmlformats.org/officeDocument/2006/relationships/hyperlink" Id="rId222" Target="https://doi.org/10.1037/1082-989X.1.2.130" TargetMode="External" /><Relationship Type="http://schemas.openxmlformats.org/officeDocument/2006/relationships/hyperlink" Id="rId216" Target="https://doi.org/10.1037/met0000423" TargetMode="External" /><Relationship Type="http://schemas.openxmlformats.org/officeDocument/2006/relationships/hyperlink" Id="rId220" Target="https://doi.org/10.1037/pas0001122" TargetMode="External" /><Relationship Type="http://schemas.openxmlformats.org/officeDocument/2006/relationships/hyperlink" Id="rId230" Target="https://doi.org/10.31234/osf.io/4n3uk" TargetMode="External" /><Relationship Type="http://schemas.openxmlformats.org/officeDocument/2006/relationships/hyperlink" Id="rId214" Target="https://doi.org/10.3758/s13428-020-01479-0/Published" TargetMode="External" /><Relationship Type="http://schemas.openxmlformats.org/officeDocument/2006/relationships/hyperlink" Id="rId224" Target="https://doi.org/10.3758/s13428-023-02254-7" TargetMode="External" /><Relationship Type="http://schemas.openxmlformats.org/officeDocument/2006/relationships/hyperlink" Id="rId218" Target="https://doi.org/10.4236/psych.2018.98126" TargetMode="External" /><Relationship Type="http://schemas.openxmlformats.org/officeDocument/2006/relationships/hyperlink" Id="rId34" Target="https://phdpablo.github.io/cfa-power/Scripts\AnalysisScripts\01_population_models-preview.html#cell-H1-model" TargetMode="External" /><Relationship Type="http://schemas.openxmlformats.org/officeDocument/2006/relationships/hyperlink" Id="rId46" Target="https://phdpablo.github.io/cfa-power/Scripts\AnalysisScripts\01_population_models-preview.html#cell-analysis-model" TargetMode="External" /><Relationship Type="http://schemas.openxmlformats.org/officeDocument/2006/relationships/hyperlink" Id="rId51" Target="https://phdpablo.github.io/cfa-power/Scripts\AnalysisScripts\01_population_models-preview.html#cell-fig-diagram-analyzemodel" TargetMode="External" /><Relationship Type="http://schemas.openxmlformats.org/officeDocument/2006/relationships/hyperlink" Id="rId39" Target="https://phdpablo.github.io/cfa-power/Scripts\AnalysisScripts\01_population_models-preview.html#cell-fig-diagram-h1model" TargetMode="External" /><Relationship Type="http://schemas.openxmlformats.org/officeDocument/2006/relationships/hyperlink" Id="rId25" Target="https://phdpablo.github.io/cfa-power/Scripts\AnalysisScripts\01_population_models-preview.html#cell-fig-diagram-naivemodel" TargetMode="External" /><Relationship Type="http://schemas.openxmlformats.org/officeDocument/2006/relationships/hyperlink" Id="rId32" Target="https://phdpablo.github.io/cfa-power/Scripts\AnalysisScripts\01_population_models-preview.html#cell-fig-diagram-optmodel" TargetMode="External" /><Relationship Type="http://schemas.openxmlformats.org/officeDocument/2006/relationships/hyperlink" Id="rId18" Target="https://phdpablo.github.io/cfa-power/Scripts\AnalysisScripts\01_population_models-preview.html#cell-fig-diagram-popmodel" TargetMode="External" /><Relationship Type="http://schemas.openxmlformats.org/officeDocument/2006/relationships/hyperlink" Id="rId20" Target="https://phdpablo.github.io/cfa-power/Scripts\AnalysisScripts\01_population_models-preview.html#cell-naive-model" TargetMode="External" /><Relationship Type="http://schemas.openxmlformats.org/officeDocument/2006/relationships/hyperlink" Id="rId27" Target="https://phdpablo.github.io/cfa-power/Scripts\AnalysisScripts\01_population_models-preview.html#cell-opt-model" TargetMode="External" /><Relationship Type="http://schemas.openxmlformats.org/officeDocument/2006/relationships/hyperlink" Id="rId13" Target="https://phdpablo.github.io/cfa-power/Scripts\AnalysisScripts\01_population_models-preview.html#cell-pop-model" TargetMode="External" /><Relationship Type="http://schemas.openxmlformats.org/officeDocument/2006/relationships/hyperlink" Id="rId44" Target="https://phdpablo.github.io/cfa-power/Scripts\AnalysisScripts\01_population_models-preview.html#cell-tbl-pop-comparison" TargetMode="External" /><Relationship Type="http://schemas.openxmlformats.org/officeDocument/2006/relationships/hyperlink" Id="rId42" Target="https://phdpablo.github.io/cfa-power/Scripts\AnalysisScripts\01_population_models-preview.html#cell-tbl-pop-summary" TargetMode="External" /><Relationship Type="http://schemas.openxmlformats.org/officeDocument/2006/relationships/hyperlink" Id="rId63" Target="https://phdpablo.github.io/cfa-power/Scripts\AnalysisScripts\02_analytical_power-preview.html#cell-apriori-popmodel" TargetMode="External" /><Relationship Type="http://schemas.openxmlformats.org/officeDocument/2006/relationships/hyperlink" Id="rId60" Target="https://phdpablo.github.io/cfa-power/Scripts\AnalysisScripts\02_analytical_power-preview.html#cell-apriori-rmsea" TargetMode="External" /><Relationship Type="http://schemas.openxmlformats.org/officeDocument/2006/relationships/hyperlink" Id="rId54" Target="https://phdpablo.github.io/cfa-power/Scripts\AnalysisScripts\02_analytical_power-preview.html#cell-compute-df" TargetMode="External" /><Relationship Type="http://schemas.openxmlformats.org/officeDocument/2006/relationships/hyperlink" Id="rId76" Target="https://phdpablo.github.io/cfa-power/Scripts\AnalysisScripts\02_analytical_power-preview.html#cell-fig-power-popmodel" TargetMode="External" /><Relationship Type="http://schemas.openxmlformats.org/officeDocument/2006/relationships/hyperlink" Id="rId70" Target="https://phdpablo.github.io/cfa-power/Scripts\AnalysisScripts\02_analytical_power-preview.html#cell-fig-power-rmsea" TargetMode="External" /><Relationship Type="http://schemas.openxmlformats.org/officeDocument/2006/relationships/hyperlink" Id="rId80" Target="https://phdpablo.github.io/cfa-power/Scripts\AnalysisScripts\02_analytical_power-preview.html#cell-tbl-analytical-summary" TargetMode="External" /><Relationship Type="http://schemas.openxmlformats.org/officeDocument/2006/relationships/hyperlink" Id="rId95" Target="https://phdpablo.github.io/cfa-power/Scripts\AnalysisScripts\03_simulation_ideal-preview.html#cell-fig-fit-curve-ideal" TargetMode="External" /><Relationship Type="http://schemas.openxmlformats.org/officeDocument/2006/relationships/hyperlink" Id="rId128" Target="https://phdpablo.github.io/cfa-power/Scripts\AnalysisScripts\03_simulation_ideal-preview.html#cell-fig-fit-curve-naive" TargetMode="External" /><Relationship Type="http://schemas.openxmlformats.org/officeDocument/2006/relationships/hyperlink" Id="rId141" Target="https://phdpablo.github.io/cfa-power/Scripts\AnalysisScripts\03_simulation_ideal-preview.html#cell-fig-fit-curve-opt" TargetMode="External" /><Relationship Type="http://schemas.openxmlformats.org/officeDocument/2006/relationships/hyperlink" Id="rId102" Target="https://phdpablo.github.io/cfa-power/Scripts\AnalysisScripts\03_simulation_ideal-preview.html#cell-fig-fit-curve-traditional" TargetMode="External" /><Relationship Type="http://schemas.openxmlformats.org/officeDocument/2006/relationships/hyperlink" Id="rId90" Target="https://phdpablo.github.io/cfa-power/Scripts\AnalysisScripts\03_simulation_ideal-preview.html#cell-fig-power-curve-ideal" TargetMode="External" /><Relationship Type="http://schemas.openxmlformats.org/officeDocument/2006/relationships/hyperlink" Id="rId123" Target="https://phdpablo.github.io/cfa-power/Scripts\AnalysisScripts\03_simulation_ideal-preview.html#cell-fig-power-curve-naive" TargetMode="External" /><Relationship Type="http://schemas.openxmlformats.org/officeDocument/2006/relationships/hyperlink" Id="rId136" Target="https://phdpablo.github.io/cfa-power/Scripts\AnalysisScripts\03_simulation_ideal-preview.html#cell-fig-power-curve-opt" TargetMode="External" /><Relationship Type="http://schemas.openxmlformats.org/officeDocument/2006/relationships/hyperlink" Id="rId107" Target="https://phdpablo.github.io/cfa-power/Scripts\AnalysisScripts\03_simulation_ideal-preview.html#cell-tbl-param-estimate-ideal" TargetMode="External" /><Relationship Type="http://schemas.openxmlformats.org/officeDocument/2006/relationships/hyperlink" Id="rId97" Target="https://phdpablo.github.io/cfa-power/Scripts\AnalysisScripts\03_simulation_ideal-preview.html#cell-tbl-power-cutoff-ideal" TargetMode="External" /><Relationship Type="http://schemas.openxmlformats.org/officeDocument/2006/relationships/hyperlink" Id="rId130" Target="https://phdpablo.github.io/cfa-power/Scripts\AnalysisScripts\03_simulation_ideal-preview.html#cell-tbl-power-cutoff-naive" TargetMode="External" /><Relationship Type="http://schemas.openxmlformats.org/officeDocument/2006/relationships/hyperlink" Id="rId143" Target="https://phdpablo.github.io/cfa-power/Scripts\AnalysisScripts\03_simulation_ideal-preview.html#cell-tbl-power-cutoff-opt" TargetMode="External" /><Relationship Type="http://schemas.openxmlformats.org/officeDocument/2006/relationships/hyperlink" Id="rId104" Target="https://phdpablo.github.io/cfa-power/Scripts\AnalysisScripts\03_simulation_ideal-preview.html#cell-tbl-power-cutoff-traditional" TargetMode="External" /><Relationship Type="http://schemas.openxmlformats.org/officeDocument/2006/relationships/hyperlink" Id="rId109" Target="https://phdpablo.github.io/cfa-power/Scripts\AnalysisScripts\03_simulation_ideal-preview.html#cell-tbl-power-n-ideal" TargetMode="External" /><Relationship Type="http://schemas.openxmlformats.org/officeDocument/2006/relationships/hyperlink" Id="rId114" Target="https://phdpablo.github.io/cfa-power/Scripts\AnalysisScripts\03_simulation_ideal-preview.html#cell-tbl-power-n-naive" TargetMode="External" /><Relationship Type="http://schemas.openxmlformats.org/officeDocument/2006/relationships/hyperlink" Id="rId117" Target="https://phdpablo.github.io/cfa-power/Scripts\AnalysisScripts\03_simulation_ideal-preview.html#cell-tbl-power-n-opt" TargetMode="External" /><Relationship Type="http://schemas.openxmlformats.org/officeDocument/2006/relationships/hyperlink" Id="rId156" Target="https://phdpablo.github.io/cfa-power/Scripts\AnalysisScripts\04_simulation_robust-preview.html#cell-fig-fit-curve-missing" TargetMode="External" /><Relationship Type="http://schemas.openxmlformats.org/officeDocument/2006/relationships/hyperlink" Id="rId169" Target="https://phdpablo.github.io/cfa-power/Scripts\AnalysisScripts\04_simulation_robust-preview.html#cell-fig-fit-curve-nnorm" TargetMode="External" /><Relationship Type="http://schemas.openxmlformats.org/officeDocument/2006/relationships/hyperlink" Id="rId151" Target="https://phdpablo.github.io/cfa-power/Scripts\AnalysisScripts\04_simulation_robust-preview.html#cell-fig-power-curve-missing" TargetMode="External" /><Relationship Type="http://schemas.openxmlformats.org/officeDocument/2006/relationships/hyperlink" Id="rId164" Target="https://phdpablo.github.io/cfa-power/Scripts\AnalysisScripts\04_simulation_robust-preview.html#cell-fig-power-curve-nnorm" TargetMode="External" /><Relationship Type="http://schemas.openxmlformats.org/officeDocument/2006/relationships/hyperlink" Id="rId158" Target="https://phdpablo.github.io/cfa-power/Scripts\AnalysisScripts\04_simulation_robust-preview.html#cell-tbl-power-cutoff-missing" TargetMode="External" /><Relationship Type="http://schemas.openxmlformats.org/officeDocument/2006/relationships/hyperlink" Id="rId171" Target="https://phdpablo.github.io/cfa-power/Scripts\AnalysisScripts\04_simulation_robust-preview.html#cell-tbl-power-cutoff-nnorm" TargetMode="External" /><Relationship Type="http://schemas.openxmlformats.org/officeDocument/2006/relationships/hyperlink" Id="rId184" Target="https://phdpablo.github.io/cfa-power/Scripts\AnalysisScripts\05_model_comparison-preview.html#cell-fig-curve-fixed-traditional" TargetMode="External" /><Relationship Type="http://schemas.openxmlformats.org/officeDocument/2006/relationships/hyperlink" Id="rId177" Target="https://phdpablo.github.io/cfa-power/Scripts\AnalysisScripts\05_model_comparison-preview.html#cell-fig-power-curve-fixed" TargetMode="External" /><Relationship Type="http://schemas.openxmlformats.org/officeDocument/2006/relationships/hyperlink" Id="rId179" Target="https://phdpablo.github.io/cfa-power/Scripts\AnalysisScripts\05_model_comparison-preview.html#cell-tbl-power-cutoff-fixed" TargetMode="External" /><Relationship Type="http://schemas.openxmlformats.org/officeDocument/2006/relationships/hyperlink" Id="rId186" Target="https://phdpablo.github.io/cfa-power/Scripts\AnalysisScripts\05_model_comparison-preview.html#cell-tbl-power-cutoff-traditional" TargetMode="External" /><Relationship Type="http://schemas.openxmlformats.org/officeDocument/2006/relationships/hyperlink" Id="rId210" Target="https://phdpablo.github.io/cfa-power/Scripts\AnalysisScripts\06_posthoc-preview.html#cell-fig-posthoc-misspec" TargetMode="External" /><Relationship Type="http://schemas.openxmlformats.org/officeDocument/2006/relationships/hyperlink" Id="rId194" Target="https://phdpablo.github.io/cfa-power/Scripts\AnalysisScripts\06_posthoc-preview.html#cell-fig-posthoc-plotpower" TargetMode="External" /><Relationship Type="http://schemas.openxmlformats.org/officeDocument/2006/relationships/hyperlink" Id="rId205" Target="https://phdpablo.github.io/cfa-power/Scripts\AnalysisScripts\06_posthoc-preview.html#cell-fig-posthoc-realmodel" TargetMode="External" /><Relationship Type="http://schemas.openxmlformats.org/officeDocument/2006/relationships/hyperlink" Id="rId200" Target="https://phdpablo.github.io/cfa-power/Scripts\AnalysisScripts\06_posthoc-preview.html#cell-fig-posthoc-rmsea" TargetMode="External" /></Relationships>
</file>

<file path=word/_rels/footnotes.xml.rels><?xml version="1.0" encoding="UTF-8"?><Relationships xmlns="http://schemas.openxmlformats.org/package/2006/relationships"><Relationship Type="http://schemas.openxmlformats.org/officeDocument/2006/relationships/hyperlink" Id="rId228" Target="https://CRAN.R-project.org/package=simsem" TargetMode="External" /><Relationship Type="http://schemas.openxmlformats.org/officeDocument/2006/relationships/hyperlink" Id="rId226" Target="https://doi.org/10.1007/s11136-025-04115-6" TargetMode="External" /><Relationship Type="http://schemas.openxmlformats.org/officeDocument/2006/relationships/hyperlink" Id="rId222" Target="https://doi.org/10.1037/1082-989X.1.2.130" TargetMode="External" /><Relationship Type="http://schemas.openxmlformats.org/officeDocument/2006/relationships/hyperlink" Id="rId216" Target="https://doi.org/10.1037/met0000423" TargetMode="External" /><Relationship Type="http://schemas.openxmlformats.org/officeDocument/2006/relationships/hyperlink" Id="rId220" Target="https://doi.org/10.1037/pas0001122" TargetMode="External" /><Relationship Type="http://schemas.openxmlformats.org/officeDocument/2006/relationships/hyperlink" Id="rId230" Target="https://doi.org/10.31234/osf.io/4n3uk" TargetMode="External" /><Relationship Type="http://schemas.openxmlformats.org/officeDocument/2006/relationships/hyperlink" Id="rId214" Target="https://doi.org/10.3758/s13428-020-01479-0/Published" TargetMode="External" /><Relationship Type="http://schemas.openxmlformats.org/officeDocument/2006/relationships/hyperlink" Id="rId224" Target="https://doi.org/10.3758/s13428-023-02254-7" TargetMode="External" /><Relationship Type="http://schemas.openxmlformats.org/officeDocument/2006/relationships/hyperlink" Id="rId218" Target="https://doi.org/10.4236/psych.2018.98126" TargetMode="External" /><Relationship Type="http://schemas.openxmlformats.org/officeDocument/2006/relationships/hyperlink" Id="rId34" Target="https://phdpablo.github.io/cfa-power/Scripts\AnalysisScripts\01_population_models-preview.html#cell-H1-model" TargetMode="External" /><Relationship Type="http://schemas.openxmlformats.org/officeDocument/2006/relationships/hyperlink" Id="rId46" Target="https://phdpablo.github.io/cfa-power/Scripts\AnalysisScripts\01_population_models-preview.html#cell-analysis-model" TargetMode="External" /><Relationship Type="http://schemas.openxmlformats.org/officeDocument/2006/relationships/hyperlink" Id="rId51" Target="https://phdpablo.github.io/cfa-power/Scripts\AnalysisScripts\01_population_models-preview.html#cell-fig-diagram-analyzemodel" TargetMode="External" /><Relationship Type="http://schemas.openxmlformats.org/officeDocument/2006/relationships/hyperlink" Id="rId39" Target="https://phdpablo.github.io/cfa-power/Scripts\AnalysisScripts\01_population_models-preview.html#cell-fig-diagram-h1model" TargetMode="External" /><Relationship Type="http://schemas.openxmlformats.org/officeDocument/2006/relationships/hyperlink" Id="rId25" Target="https://phdpablo.github.io/cfa-power/Scripts\AnalysisScripts\01_population_models-preview.html#cell-fig-diagram-naivemodel" TargetMode="External" /><Relationship Type="http://schemas.openxmlformats.org/officeDocument/2006/relationships/hyperlink" Id="rId32" Target="https://phdpablo.github.io/cfa-power/Scripts\AnalysisScripts\01_population_models-preview.html#cell-fig-diagram-optmodel" TargetMode="External" /><Relationship Type="http://schemas.openxmlformats.org/officeDocument/2006/relationships/hyperlink" Id="rId18" Target="https://phdpablo.github.io/cfa-power/Scripts\AnalysisScripts\01_population_models-preview.html#cell-fig-diagram-popmodel" TargetMode="External" /><Relationship Type="http://schemas.openxmlformats.org/officeDocument/2006/relationships/hyperlink" Id="rId20" Target="https://phdpablo.github.io/cfa-power/Scripts\AnalysisScripts\01_population_models-preview.html#cell-naive-model" TargetMode="External" /><Relationship Type="http://schemas.openxmlformats.org/officeDocument/2006/relationships/hyperlink" Id="rId27" Target="https://phdpablo.github.io/cfa-power/Scripts\AnalysisScripts\01_population_models-preview.html#cell-opt-model" TargetMode="External" /><Relationship Type="http://schemas.openxmlformats.org/officeDocument/2006/relationships/hyperlink" Id="rId13" Target="https://phdpablo.github.io/cfa-power/Scripts\AnalysisScripts\01_population_models-preview.html#cell-pop-model" TargetMode="External" /><Relationship Type="http://schemas.openxmlformats.org/officeDocument/2006/relationships/hyperlink" Id="rId44" Target="https://phdpablo.github.io/cfa-power/Scripts\AnalysisScripts\01_population_models-preview.html#cell-tbl-pop-comparison" TargetMode="External" /><Relationship Type="http://schemas.openxmlformats.org/officeDocument/2006/relationships/hyperlink" Id="rId42" Target="https://phdpablo.github.io/cfa-power/Scripts\AnalysisScripts\01_population_models-preview.html#cell-tbl-pop-summary" TargetMode="External" /><Relationship Type="http://schemas.openxmlformats.org/officeDocument/2006/relationships/hyperlink" Id="rId63" Target="https://phdpablo.github.io/cfa-power/Scripts\AnalysisScripts\02_analytical_power-preview.html#cell-apriori-popmodel" TargetMode="External" /><Relationship Type="http://schemas.openxmlformats.org/officeDocument/2006/relationships/hyperlink" Id="rId60" Target="https://phdpablo.github.io/cfa-power/Scripts\AnalysisScripts\02_analytical_power-preview.html#cell-apriori-rmsea" TargetMode="External" /><Relationship Type="http://schemas.openxmlformats.org/officeDocument/2006/relationships/hyperlink" Id="rId54" Target="https://phdpablo.github.io/cfa-power/Scripts\AnalysisScripts\02_analytical_power-preview.html#cell-compute-df" TargetMode="External" /><Relationship Type="http://schemas.openxmlformats.org/officeDocument/2006/relationships/hyperlink" Id="rId76" Target="https://phdpablo.github.io/cfa-power/Scripts\AnalysisScripts\02_analytical_power-preview.html#cell-fig-power-popmodel" TargetMode="External" /><Relationship Type="http://schemas.openxmlformats.org/officeDocument/2006/relationships/hyperlink" Id="rId70" Target="https://phdpablo.github.io/cfa-power/Scripts\AnalysisScripts\02_analytical_power-preview.html#cell-fig-power-rmsea" TargetMode="External" /><Relationship Type="http://schemas.openxmlformats.org/officeDocument/2006/relationships/hyperlink" Id="rId80" Target="https://phdpablo.github.io/cfa-power/Scripts\AnalysisScripts\02_analytical_power-preview.html#cell-tbl-analytical-summary" TargetMode="External" /><Relationship Type="http://schemas.openxmlformats.org/officeDocument/2006/relationships/hyperlink" Id="rId95" Target="https://phdpablo.github.io/cfa-power/Scripts\AnalysisScripts\03_simulation_ideal-preview.html#cell-fig-fit-curve-ideal" TargetMode="External" /><Relationship Type="http://schemas.openxmlformats.org/officeDocument/2006/relationships/hyperlink" Id="rId128" Target="https://phdpablo.github.io/cfa-power/Scripts\AnalysisScripts\03_simulation_ideal-preview.html#cell-fig-fit-curve-naive" TargetMode="External" /><Relationship Type="http://schemas.openxmlformats.org/officeDocument/2006/relationships/hyperlink" Id="rId141" Target="https://phdpablo.github.io/cfa-power/Scripts\AnalysisScripts\03_simulation_ideal-preview.html#cell-fig-fit-curve-opt" TargetMode="External" /><Relationship Type="http://schemas.openxmlformats.org/officeDocument/2006/relationships/hyperlink" Id="rId102" Target="https://phdpablo.github.io/cfa-power/Scripts\AnalysisScripts\03_simulation_ideal-preview.html#cell-fig-fit-curve-traditional" TargetMode="External" /><Relationship Type="http://schemas.openxmlformats.org/officeDocument/2006/relationships/hyperlink" Id="rId90" Target="https://phdpablo.github.io/cfa-power/Scripts\AnalysisScripts\03_simulation_ideal-preview.html#cell-fig-power-curve-ideal" TargetMode="External" /><Relationship Type="http://schemas.openxmlformats.org/officeDocument/2006/relationships/hyperlink" Id="rId123" Target="https://phdpablo.github.io/cfa-power/Scripts\AnalysisScripts\03_simulation_ideal-preview.html#cell-fig-power-curve-naive" TargetMode="External" /><Relationship Type="http://schemas.openxmlformats.org/officeDocument/2006/relationships/hyperlink" Id="rId136" Target="https://phdpablo.github.io/cfa-power/Scripts\AnalysisScripts\03_simulation_ideal-preview.html#cell-fig-power-curve-opt" TargetMode="External" /><Relationship Type="http://schemas.openxmlformats.org/officeDocument/2006/relationships/hyperlink" Id="rId107" Target="https://phdpablo.github.io/cfa-power/Scripts\AnalysisScripts\03_simulation_ideal-preview.html#cell-tbl-param-estimate-ideal" TargetMode="External" /><Relationship Type="http://schemas.openxmlformats.org/officeDocument/2006/relationships/hyperlink" Id="rId97" Target="https://phdpablo.github.io/cfa-power/Scripts\AnalysisScripts\03_simulation_ideal-preview.html#cell-tbl-power-cutoff-ideal" TargetMode="External" /><Relationship Type="http://schemas.openxmlformats.org/officeDocument/2006/relationships/hyperlink" Id="rId130" Target="https://phdpablo.github.io/cfa-power/Scripts\AnalysisScripts\03_simulation_ideal-preview.html#cell-tbl-power-cutoff-naive" TargetMode="External" /><Relationship Type="http://schemas.openxmlformats.org/officeDocument/2006/relationships/hyperlink" Id="rId143" Target="https://phdpablo.github.io/cfa-power/Scripts\AnalysisScripts\03_simulation_ideal-preview.html#cell-tbl-power-cutoff-opt" TargetMode="External" /><Relationship Type="http://schemas.openxmlformats.org/officeDocument/2006/relationships/hyperlink" Id="rId104" Target="https://phdpablo.github.io/cfa-power/Scripts\AnalysisScripts\03_simulation_ideal-preview.html#cell-tbl-power-cutoff-traditional" TargetMode="External" /><Relationship Type="http://schemas.openxmlformats.org/officeDocument/2006/relationships/hyperlink" Id="rId109" Target="https://phdpablo.github.io/cfa-power/Scripts\AnalysisScripts\03_simulation_ideal-preview.html#cell-tbl-power-n-ideal" TargetMode="External" /><Relationship Type="http://schemas.openxmlformats.org/officeDocument/2006/relationships/hyperlink" Id="rId114" Target="https://phdpablo.github.io/cfa-power/Scripts\AnalysisScripts\03_simulation_ideal-preview.html#cell-tbl-power-n-naive" TargetMode="External" /><Relationship Type="http://schemas.openxmlformats.org/officeDocument/2006/relationships/hyperlink" Id="rId117" Target="https://phdpablo.github.io/cfa-power/Scripts\AnalysisScripts\03_simulation_ideal-preview.html#cell-tbl-power-n-opt" TargetMode="External" /><Relationship Type="http://schemas.openxmlformats.org/officeDocument/2006/relationships/hyperlink" Id="rId156" Target="https://phdpablo.github.io/cfa-power/Scripts\AnalysisScripts\04_simulation_robust-preview.html#cell-fig-fit-curve-missing" TargetMode="External" /><Relationship Type="http://schemas.openxmlformats.org/officeDocument/2006/relationships/hyperlink" Id="rId169" Target="https://phdpablo.github.io/cfa-power/Scripts\AnalysisScripts\04_simulation_robust-preview.html#cell-fig-fit-curve-nnorm" TargetMode="External" /><Relationship Type="http://schemas.openxmlformats.org/officeDocument/2006/relationships/hyperlink" Id="rId151" Target="https://phdpablo.github.io/cfa-power/Scripts\AnalysisScripts\04_simulation_robust-preview.html#cell-fig-power-curve-missing" TargetMode="External" /><Relationship Type="http://schemas.openxmlformats.org/officeDocument/2006/relationships/hyperlink" Id="rId164" Target="https://phdpablo.github.io/cfa-power/Scripts\AnalysisScripts\04_simulation_robust-preview.html#cell-fig-power-curve-nnorm" TargetMode="External" /><Relationship Type="http://schemas.openxmlformats.org/officeDocument/2006/relationships/hyperlink" Id="rId158" Target="https://phdpablo.github.io/cfa-power/Scripts\AnalysisScripts\04_simulation_robust-preview.html#cell-tbl-power-cutoff-missing" TargetMode="External" /><Relationship Type="http://schemas.openxmlformats.org/officeDocument/2006/relationships/hyperlink" Id="rId171" Target="https://phdpablo.github.io/cfa-power/Scripts\AnalysisScripts\04_simulation_robust-preview.html#cell-tbl-power-cutoff-nnorm" TargetMode="External" /><Relationship Type="http://schemas.openxmlformats.org/officeDocument/2006/relationships/hyperlink" Id="rId184" Target="https://phdpablo.github.io/cfa-power/Scripts\AnalysisScripts\05_model_comparison-preview.html#cell-fig-curve-fixed-traditional" TargetMode="External" /><Relationship Type="http://schemas.openxmlformats.org/officeDocument/2006/relationships/hyperlink" Id="rId177" Target="https://phdpablo.github.io/cfa-power/Scripts\AnalysisScripts\05_model_comparison-preview.html#cell-fig-power-curve-fixed" TargetMode="External" /><Relationship Type="http://schemas.openxmlformats.org/officeDocument/2006/relationships/hyperlink" Id="rId179" Target="https://phdpablo.github.io/cfa-power/Scripts\AnalysisScripts\05_model_comparison-preview.html#cell-tbl-power-cutoff-fixed" TargetMode="External" /><Relationship Type="http://schemas.openxmlformats.org/officeDocument/2006/relationships/hyperlink" Id="rId186" Target="https://phdpablo.github.io/cfa-power/Scripts\AnalysisScripts\05_model_comparison-preview.html#cell-tbl-power-cutoff-traditional" TargetMode="External" /><Relationship Type="http://schemas.openxmlformats.org/officeDocument/2006/relationships/hyperlink" Id="rId210" Target="https://phdpablo.github.io/cfa-power/Scripts\AnalysisScripts\06_posthoc-preview.html#cell-fig-posthoc-misspec" TargetMode="External" /><Relationship Type="http://schemas.openxmlformats.org/officeDocument/2006/relationships/hyperlink" Id="rId194" Target="https://phdpablo.github.io/cfa-power/Scripts\AnalysisScripts\06_posthoc-preview.html#cell-fig-posthoc-plotpower" TargetMode="External" /><Relationship Type="http://schemas.openxmlformats.org/officeDocument/2006/relationships/hyperlink" Id="rId205" Target="https://phdpablo.github.io/cfa-power/Scripts\AnalysisScripts\06_posthoc-preview.html#cell-fig-posthoc-realmodel" TargetMode="External" /><Relationship Type="http://schemas.openxmlformats.org/officeDocument/2006/relationships/hyperlink" Id="rId200" Target="https://phdpablo.github.io/cfa-power/Scripts\AnalysisScripts\06_posthoc-preview.html#cell-fig-posthoc-rms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Analysis for Confirmatory Factor Analysis: A Practical Tutorial</dc:title>
  <dc:creator>Pablo Rogers</dc:creator>
  <cp:keywords>Power Analysis, Confirmatory Factor Analysis, Structural Equation Modeling, Monte Carlo Simulation, semPower, simsem</cp:keywords>
  <dcterms:created xsi:type="dcterms:W3CDTF">2026-04-21T14:35:56Z</dcterms:created>
  <dcterms:modified xsi:type="dcterms:W3CDTF">2026-04-21T14:35:56Z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notebook presents a pedagogical tutorial on statistical power analysis in Confirmatory Factor Analysis (CFA). Proper planning of sample sizes requires assessing the power to detect overall model misfit by analytical approach or simulation-based approach. Standard analytical tools typically rely on asymptotic normal theory, which may break down when confronted with non-normality or missing data. This tutorial demonstrates both analytical strategies (using semPower and semTools) and Monte Carlo simulations (using simsem) side-by-side using the WHOQOL-BREF 4-factor model as a unifying case study. We illustrate how simulation can complement analytical calculations, allowing researchers to evaluate parameter-level power, coverage, and relative bias under realistic scenarios involving varying degrees of model misspecification, missing data, and continuous non-normal indicators. Ultimately, we argue that analytical methods are ideal for initial planning, while simulations constitute the gold standard for robust confirmation.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apa7ed.csl</vt:lpwstr>
  </property>
  <property fmtid="{D5CDD505-2E9C-101B-9397-08002B2CF9AE}" pid="11" name="date">
    <vt:lpwstr>2026-04-21</vt:lpwstr>
  </property>
  <property fmtid="{D5CDD505-2E9C-101B-9397-08002B2CF9AE}" pid="12" name="editor">
    <vt:lpwstr>source</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Analytical and Simulation-Based Approaches</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