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28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Careless/Insufficient Effort Responding (C/IER) Detection</w:t>
      </w:r>
    </w:p>
    <w:p>
      <w:pPr>
        <w:pStyle w:val="Author"/>
      </w:pPr>
      <w:r>
        <w:t xml:space="preserve">Pablo Rogers</w:t>
      </w:r>
    </w:p>
    <w:p>
      <w:pPr>
        <w:pStyle w:val="Date"/>
      </w:pPr>
      <w:r>
        <w:t xml:space="preserve">2026-09-25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notebook presents a tutorial on the detection of careless or insufficient effort responding (C/IER) in self-report questionnaires. We use real database from WHOQOL-Bref scale as an example (n = 1,546), and we apply the</w:t>
      </w:r>
      <w:r>
        <w:t xml:space="preserve"> </w:t>
      </w:r>
      <w:r>
        <w:t xml:space="preserve">‘careless’</w:t>
      </w:r>
      <w:r>
        <w:t xml:space="preserve"> </w:t>
      </w:r>
      <w:r>
        <w:t xml:space="preserve">package and Laz.R</w:t>
      </w:r>
      <w:r>
        <w:t xml:space="preserve"> </w:t>
      </w:r>
      <w:r>
        <w:t xml:space="preserve">(Biemann et al., 2025)</w:t>
      </w:r>
      <w:r>
        <w:t xml:space="preserve"> </w:t>
      </w:r>
      <w:r>
        <w:t xml:space="preserve">to detect C/IER (post hoc indicators). We also discuss the importance of procedural C/IER detection in the quality control of data obtained through self-report questionnaires.</w:t>
      </w:r>
    </w:p>
    <w:bookmarkStart w:id="9" w:name="contextualization"/>
    <w:p>
      <w:pPr>
        <w:pStyle w:val="Heading2"/>
      </w:pPr>
      <w:r>
        <w:t xml:space="preserve">1 Contextualization</w:t>
      </w:r>
    </w:p>
    <w:p>
      <w:pPr>
        <w:pStyle w:val="FirstParagraph"/>
      </w:pPr>
      <w:r>
        <w:t xml:space="preserve">The detection of Careless or Insufficient Effort Responding (C/IER) is an</w:t>
      </w:r>
      <w:r>
        <w:t xml:space="preserve"> </w:t>
      </w:r>
      <w:r>
        <w:t xml:space="preserve">essential step in the quality control of data obtained through self-report</w:t>
      </w:r>
      <w:r>
        <w:t xml:space="preserve"> </w:t>
      </w:r>
      <w:r>
        <w:t xml:space="preserve">questionnaires. C/IER occurs when respondents complete the instrument without</w:t>
      </w:r>
      <w:r>
        <w:t xml:space="preserve"> </w:t>
      </w:r>
      <w:r>
        <w:t xml:space="preserve">attention to the item content, compromising the validity of the psychometric</w:t>
      </w:r>
      <w:r>
        <w:t xml:space="preserve"> </w:t>
      </w:r>
      <w:r>
        <w:t xml:space="preserve">and substantive inferences derived from the data</w:t>
      </w:r>
      <w:r>
        <w:t xml:space="preserve"> </w:t>
      </w:r>
      <w:r>
        <w:t xml:space="preserve">(Curran, 2016; Huang et al., 2026)</w:t>
      </w:r>
      <w:r>
        <w:t xml:space="preserve">.</w:t>
      </w:r>
    </w:p>
    <w:p>
      <w:pPr>
        <w:pStyle w:val="BodyText"/>
      </w:pPr>
      <w:r>
        <w:t xml:space="preserve">The analytical flow of this document follows two sequential levels of detection: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Questionnaire:</w:t>
      </w:r>
      <w:r>
        <w:t xml:space="preserve"> </w:t>
      </w:r>
      <w:r>
        <w:t xml:space="preserve">procedural exclusions (a priori), including dropout,</w:t>
      </w:r>
      <w:r>
        <w:t xml:space="preserve"> </w:t>
      </w:r>
      <w:r>
        <w:t xml:space="preserve">response time, and quality control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WHOQOL Scale:</w:t>
      </w:r>
      <w:r>
        <w:t xml:space="preserve"> </w:t>
      </w:r>
      <w:r>
        <w:t xml:space="preserve">diagnostic post-hoc indicators (Laz.R, Longstring,</w:t>
      </w:r>
      <w:r>
        <w:t xml:space="preserve"> </w:t>
      </w:r>
      <w:r>
        <w:t xml:space="preserve">Mahalanobis Distance, and IRV) with cut-off points estimated via the</w:t>
      </w:r>
      <w:r>
        <w:t xml:space="preserve"> </w:t>
      </w:r>
      <w:r>
        <w:t xml:space="preserve">Kneedle algorithm</w:t>
      </w:r>
      <w:r>
        <w:t xml:space="preserve"> </w:t>
      </w:r>
      <w:r>
        <w:t xml:space="preserve">(Biemann et al., 2025)</w:t>
      </w:r>
      <w:r>
        <w:t xml:space="preserve">.</w:t>
      </w:r>
    </w:p>
    <w:bookmarkEnd w:id="9"/>
    <w:bookmarkStart w:id="12" w:name="data-reading-and-preparation"/>
    <w:p>
      <w:pPr>
        <w:pStyle w:val="Heading2"/>
      </w:pPr>
      <w:r>
        <w:t xml:space="preserve">2 Data reading and preparation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data.csv</w:t>
      </w:r>
      <w:r>
        <w:t xml:space="preserve"> </w:t>
      </w:r>
      <w:r>
        <w:t xml:space="preserve">file contains the raw survey responses (separator</w:t>
      </w:r>
      <w:r>
        <w:t xml:space="preserve"> </w:t>
      </w:r>
      <w:r>
        <w:rPr>
          <w:rStyle w:val="VerbatimChar"/>
        </w:rPr>
        <w:t xml:space="preserve">;</w:t>
      </w:r>
      <w:r>
        <w:t xml:space="preserve">).</w:t>
      </w:r>
      <w:r>
        <w:t xml:space="preserve"> </w:t>
      </w:r>
      <w:r>
        <w:t xml:space="preserve">In this step, dropout records are removed, variables for the analytical flow</w:t>
      </w:r>
      <w:r>
        <w:t xml:space="preserve"> </w:t>
      </w:r>
      <w:r>
        <w:t xml:space="preserve">are selected, and the total response time (</w:t>
      </w:r>
      <w:r>
        <w:rPr>
          <w:rStyle w:val="VerbatimChar"/>
        </w:rPr>
        <w:t xml:space="preserve">TIME</w:t>
      </w:r>
      <w:r>
        <w:t xml:space="preserve">) is derived.</w:t>
      </w:r>
    </w:p>
    <w:bookmarkStart w:id="10" w:name="data-reading"/>
    <w:p>
      <w:pPr>
        <w:pStyle w:val="TableCaption"/>
      </w:pPr>
      <w:r>
        <w:t xml:space="preserve">Structure and variable dictionary of the prepared survey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imported_data</w:t>
      </w:r>
      <w:r>
        <w:t xml:space="preserve">)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  <w:tblCaption w:val="Structure and variable dictionary of the prepared survey dataset (imported_data)"/>
      </w:tblPr>
      <w:tblGrid>
        <w:gridCol w:w="1683"/>
        <w:gridCol w:w="1386"/>
        <w:gridCol w:w="1386"/>
        <w:gridCol w:w="3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  <w:r>
              <w:t xml:space="preserve"> </w:t>
            </w:r>
            <w:r>
              <w:t xml:space="preserve">(Double)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respondent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CREATED,</w:t>
            </w:r>
            <w:r>
              <w:t xml:space="preserve"> </w:t>
            </w:r>
            <w:r>
              <w:t xml:space="preserve">MODIFIED,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Date-time /</w:t>
            </w:r>
            <w:r>
              <w:t xml:space="preserve"> </w:t>
            </w:r>
            <w:r>
              <w:t xml:space="preserve">Numeric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timestamps and total</w:t>
            </w:r>
            <w:r>
              <w:t xml:space="preserve"> </w:t>
            </w:r>
            <w:r>
              <w:t xml:space="preserve">response duration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CQ1, CQ2, CQ3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check items (1 =</w:t>
            </w:r>
            <w:r>
              <w:t xml:space="preserve"> </w:t>
            </w:r>
            <w:r>
              <w:t xml:space="preserve">passed, 0 = failed)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WHOQOL-Bref</w:t>
            </w:r>
            <w:r>
              <w:t xml:space="preserve"> </w:t>
            </w: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to Q26 (26</w:t>
            </w:r>
            <w:r>
              <w:t xml:space="preserve"> </w:t>
            </w:r>
            <w:r>
              <w:t xml:space="preserve">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(1 to</w:t>
            </w:r>
            <w:r>
              <w:t xml:space="preserve"> </w:t>
            </w:r>
            <w:r>
              <w:t xml:space="preserve">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Self-reported quality of life</w:t>
            </w:r>
            <w:r>
              <w:t xml:space="preserve"> </w:t>
            </w:r>
            <w:r>
              <w:t xml:space="preserve">items</w:t>
            </w:r>
          </w:p>
        </w:tc>
      </w:tr>
    </w:tbl>
    <w:bookmarkEnd w:id="10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1">
        <w:r>
          <w:rPr>
            <w:rStyle w:val="Hyperlink"/>
            <w:vertAlign w:val="subscript"/>
          </w:rPr>
          <w:t xml:space="preserve">Procedural exclusions</w:t>
        </w:r>
      </w:hyperlink>
    </w:p>
    <w:bookmarkEnd w:id="12"/>
    <w:bookmarkStart w:id="15" w:name="procedural-exclusions"/>
    <w:p>
      <w:pPr>
        <w:pStyle w:val="Heading2"/>
      </w:pPr>
      <w:r>
        <w:t xml:space="preserve">3 Procedural exclusions</w:t>
      </w:r>
    </w:p>
    <w:p>
      <w:pPr>
        <w:pStyle w:val="FirstParagraph"/>
      </w:pPr>
      <w:r>
        <w:t xml:space="preserve">Level 1 applies three procedures prior to calculating post-hoc indicators:</w:t>
      </w:r>
      <w:r>
        <w:t xml:space="preserve"> </w:t>
      </w:r>
      <w:r>
        <w:t xml:space="preserve">dropout removal, exclusion for response time below 208 seconds</w:t>
      </w:r>
      <w:r>
        <w:t xml:space="preserve"> </w:t>
      </w:r>
      <w:r>
        <w:t xml:space="preserve">(104 items × 2 s/item)</w:t>
      </w:r>
      <w:r>
        <w:t xml:space="preserve"> </w:t>
      </w:r>
      <w:r>
        <w:t xml:space="preserve">(Huang et al., 2026)</w:t>
      </w:r>
      <w:r>
        <w:t xml:space="preserve">, and exclusion for two or more failures</w:t>
      </w:r>
      <w:r>
        <w:t xml:space="preserve"> </w:t>
      </w:r>
      <w:r>
        <w:t xml:space="preserve">on quality control items (</w:t>
      </w:r>
      <w:r>
        <w:rPr>
          <w:rStyle w:val="VerbatimChar"/>
        </w:rPr>
        <w:t xml:space="preserve">CQ1-CQ3</w:t>
      </w:r>
      <w:r>
        <w:t xml:space="preserve">)</w:t>
      </w:r>
      <w:r>
        <w:t xml:space="preserve"> </w:t>
      </w:r>
      <w:r>
        <w:t xml:space="preserve">(Curran, 2016)</w:t>
      </w:r>
      <w:r>
        <w:t xml:space="preserve">. Every exclusion is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exclusion_log.csv</w:t>
      </w:r>
      <w:r>
        <w:t xml:space="preserve"> </w:t>
      </w:r>
      <w:r>
        <w:t xml:space="preserve">with its reason and criterion.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evel-1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Procedural exclusions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Raw data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Dropouts removed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Excluded by time (&lt; 208 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Excluded by QC (≥ 2 fails)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Excluded by missings (&gt; 5 in Q1-Q26)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Eligible for Level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Remaining NAs in Q1-Q26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4">
        <w:r>
          <w:rPr>
            <w:rStyle w:val="Hyperlink"/>
            <w:vertAlign w:val="subscript"/>
          </w:rPr>
          <w:t xml:space="preserve">Procedural exclusions</w:t>
        </w:r>
      </w:hyperlink>
    </w:p>
    <w:bookmarkEnd w:id="15"/>
    <w:bookmarkStart w:id="73" w:name="calculation-of-cier-indicators"/>
    <w:p>
      <w:pPr>
        <w:pStyle w:val="Heading2"/>
      </w:pPr>
      <w:r>
        <w:t xml:space="preserve">4 Calculation of C/IER indicators</w:t>
      </w:r>
    </w:p>
    <w:p>
      <w:pPr>
        <w:pStyle w:val="FirstParagraph"/>
      </w:pPr>
      <w:r>
        <w:t xml:space="preserve">Each indicator captures distinct manifestations of C/IER; their concurrent</w:t>
      </w:r>
      <w:r>
        <w:t xml:space="preserve"> </w:t>
      </w:r>
      <w:r>
        <w:t xml:space="preserve">presence offers stronger evidence than any single indicator alone</w:t>
      </w:r>
      <w:r>
        <w:t xml:space="preserve"> </w:t>
      </w:r>
      <w:r>
        <w:t xml:space="preserve">(Curran, 2016; Hong et al., 2020; Huang et al., 2026)</w:t>
      </w:r>
      <w:r>
        <w:t xml:space="preserve">.</w:t>
      </w:r>
    </w:p>
    <w:bookmarkStart w:id="33" w:name="univariate-visualization"/>
    <w:p>
      <w:pPr>
        <w:pStyle w:val="Heading3"/>
      </w:pPr>
      <w:r>
        <w:t xml:space="preserve">4.1 Univariate visualization</w:t>
      </w:r>
    </w:p>
    <w:bookmarkStart w:id="32" w:name="fig-univariat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viz-lazr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48590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viz-lazr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Laz.R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viz-longstr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48590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viz-longstr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Longstring</w:t>
                  </w:r>
                </w:p>
                <w:bookmarkEnd w:id="2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" w:name="fig-viz-md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485900"/>
                        <wp:effectExtent b="0" l="0" r="0" t="0"/>
                        <wp:docPr descr="" title="" id="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viz-md.png" id="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 Mahalanobis Distance</w:t>
                  </w:r>
                </w:p>
                <w:bookmarkEnd w:id="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" w:name="fig-viz-irv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485900"/>
                        <wp:effectExtent b="0" l="0" r="0" t="0"/>
                        <wp:docPr descr="" title="" id="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viz-irv.png" id="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IRV</w:t>
                  </w:r>
                </w:p>
                <w:bookmarkEnd w:id="3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Univariate distributions of C/IER indicators</w:t>
      </w:r>
    </w:p>
    <w:bookmarkEnd w:id="32"/>
    <w:bookmarkEnd w:id="33"/>
    <w:bookmarkStart w:id="36" w:name="cut-off-points-via-kneedle-algorithm"/>
    <w:p>
      <w:pPr>
        <w:pStyle w:val="Heading3"/>
      </w:pPr>
      <w:r>
        <w:t xml:space="preserve">4.2 Cut-off points via Kneedle algorithm</w:t>
      </w:r>
    </w:p>
    <w:p>
      <w:pPr>
        <w:pStyle w:val="FirstParagraph"/>
      </w:pPr>
      <w:r>
        <w:t xml:space="preserve">The Kneedle algorithm is applied to the sorted (descending) curve of each indicator.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Laz.R</w:t>
      </w:r>
      <w:r>
        <w:t xml:space="preserve">,</w:t>
      </w:r>
      <w:r>
        <w:t xml:space="preserve"> </w:t>
      </w:r>
      <w:r>
        <w:rPr>
          <w:b/>
          <w:bCs/>
        </w:rPr>
        <w:t xml:space="preserve">Longstring</w:t>
      </w:r>
      <w:r>
        <w:t xml:space="preserve">, and</w:t>
      </w:r>
      <w:r>
        <w:t xml:space="preserve"> </w:t>
      </w:r>
      <w:r>
        <w:rPr>
          <w:b/>
          <w:bCs/>
        </w:rPr>
        <w:t xml:space="preserve">MD</w:t>
      </w:r>
      <w:r>
        <w:t xml:space="preserve">, kneedle with</w:t>
      </w:r>
      <w:r>
        <w:t xml:space="preserve"> </w:t>
      </w:r>
      <w:r>
        <w:rPr>
          <w:rStyle w:val="VerbatimChar"/>
        </w:rPr>
        <w:t xml:space="preserve">sign = -1</w:t>
      </w:r>
      <w:r>
        <w:t xml:space="preserve"> </w:t>
      </w:r>
      <w:r>
        <w:t xml:space="preserve">identifies</w:t>
      </w:r>
      <w:r>
        <w:t xml:space="preserve"> </w:t>
      </w:r>
      <w:r>
        <w:t xml:space="preserve">where extremely high values separate from the majority (right tail).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IRV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 = -1</w:t>
      </w:r>
      <w:r>
        <w:t xml:space="preserve"> </w:t>
      </w:r>
      <w:r>
        <w:t xml:space="preserve">is used to detect excessively high IRV and</w:t>
      </w:r>
      <w:r>
        <w:t xml:space="preserve"> </w:t>
      </w:r>
      <w:r>
        <w:rPr>
          <w:rStyle w:val="VerbatimChar"/>
        </w:rPr>
        <w:t xml:space="preserve">sign = +1</w:t>
      </w:r>
      <w:r>
        <w:t xml:space="preserve"> </w:t>
      </w:r>
      <w:r>
        <w:t xml:space="preserve">for excessively low IRV, since both extremes can be considered suspicious.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kneedle-cutoff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Cut-off points estimated with the Kneedle algorithm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Critical 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flagged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Longstring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(high end)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(low end)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5">
        <w:r>
          <w:rPr>
            <w:rStyle w:val="Hyperlink"/>
            <w:vertAlign w:val="subscript"/>
          </w:rPr>
          <w:t xml:space="preserve">Post-hoc C/IER Indicators</w:t>
        </w:r>
      </w:hyperlink>
    </w:p>
    <w:bookmarkEnd w:id="36"/>
    <w:bookmarkStart w:id="54" w:name="plots-with-cut-off-points"/>
    <w:p>
      <w:pPr>
        <w:pStyle w:val="Heading3"/>
      </w:pPr>
      <w:r>
        <w:t xml:space="preserve">4.3 Plots with cut-off points</w:t>
      </w:r>
    </w:p>
    <w:bookmarkStart w:id="53" w:name="fig-cumulativ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0" w:name="fig-cum-lazr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981200"/>
                        <wp:effectExtent b="0" l="0" r="0" t="0"/>
                        <wp:docPr descr="" title="" id="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cum-lazr.png" id="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Laz.R</w:t>
                  </w:r>
                </w:p>
                <w:bookmarkEnd w:id="4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4" w:name="fig-cum-longstr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9812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cum-longstr.png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Longstring</w:t>
                  </w:r>
                </w:p>
                <w:bookmarkEnd w:id="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8" w:name="fig-cum-md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981200"/>
                        <wp:effectExtent b="0" l="0" r="0" t="0"/>
                        <wp:docPr descr="" title="" id="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cum-md.png" id="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 Mahalanobis Distance</w:t>
                  </w:r>
                </w:p>
                <w:bookmarkEnd w:id="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52" w:name="fig-cum-irv-pd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1981200"/>
                        <wp:effectExtent b="0" l="0" r="0" t="0"/>
                        <wp:docPr descr="" title="" id="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Output/Results/Figures/fig-cum-irv.png" id="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IRV</w:t>
                  </w:r>
                </w:p>
                <w:bookmarkEnd w:id="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Cumulative frequency curves with Kneedle cut-off points</w:t>
      </w:r>
    </w:p>
    <w:bookmarkEnd w:id="53"/>
    <w:bookmarkEnd w:id="54"/>
    <w:bookmarkStart w:id="57" w:name="cier-flags"/>
    <w:p>
      <w:pPr>
        <w:pStyle w:val="Heading3"/>
      </w:pPr>
      <w:r>
        <w:t xml:space="preserve">4.4 C/IER Flags</w:t>
      </w:r>
    </w:p>
    <w:p>
      <w:pPr>
        <w:pStyle w:val="FirstParagraph"/>
      </w:pPr>
      <w:r>
        <w:t xml:space="preserve">For each indicator, a</w:t>
      </w:r>
      <w:r>
        <w:t xml:space="preserve"> </w:t>
      </w:r>
      <w:r>
        <w:rPr>
          <w:rStyle w:val="VerbatimChar"/>
        </w:rPr>
        <w:t xml:space="preserve">_FLAG</w:t>
      </w:r>
      <w:r>
        <w:t xml:space="preserve"> </w:t>
      </w:r>
      <w:r>
        <w:t xml:space="preserve">variable is created (</w:t>
      </w:r>
      <w:r>
        <w:rPr>
          <w:rStyle w:val="VerbatimChar"/>
        </w:rPr>
        <w:t xml:space="preserve">1</w:t>
      </w:r>
      <w:r>
        <w:t xml:space="preserve"> </w:t>
      </w:r>
      <w:r>
        <w:t xml:space="preserve">= flagged,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not flagged) based on the Kneedle cut-off points.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Post-hoc indicators are</w:t>
      </w:r>
      <w:r>
        <w:t xml:space="preserve"> </w:t>
      </w:r>
      <w:r>
        <w:rPr>
          <w:b/>
          <w:bCs/>
        </w:rPr>
        <w:t xml:space="preserve">diagnostic</w:t>
      </w:r>
      <w:r>
        <w:t xml:space="preserve">, they do not trigger automatic</w:t>
      </w:r>
      <w:r>
        <w:t xml:space="preserve"> </w:t>
      </w:r>
      <w:r>
        <w:t xml:space="preserve">exclusion in isolation. The final decision below requires corroboration from</w:t>
      </w:r>
      <w:r>
        <w:t xml:space="preserve"> </w:t>
      </w:r>
      <w:r>
        <w:t xml:space="preserve">at least two of four selected indicators.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flags-overvie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of respondents flagged by each C/IER indicator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flagged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flagged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LazR_FLAG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Longstr_FLAG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MD_FLAG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IRV_high_FLAG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IRV_low_FLAG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6">
        <w:r>
          <w:rPr>
            <w:rStyle w:val="Hyperlink"/>
            <w:vertAlign w:val="subscript"/>
          </w:rPr>
          <w:t xml:space="preserve">Post-hoc C/IER Indicators</w:t>
        </w:r>
      </w:hyperlink>
    </w:p>
    <w:bookmarkEnd w:id="57"/>
    <w:bookmarkStart w:id="72" w:name="posthoc-decision"/>
    <w:p>
      <w:pPr>
        <w:pStyle w:val="Heading3"/>
      </w:pPr>
      <w:r>
        <w:t xml:space="preserve">4.5 From diagnostic flags to final exclusions</w:t>
      </w:r>
    </w:p>
    <w:p>
      <w:pPr>
        <w:pStyle w:val="FirstParagraph"/>
      </w:pPr>
      <w:r>
        <w:t xml:space="preserve">The cut-offs above identify response patterns that warrant attention; they do</w:t>
      </w:r>
      <w:r>
        <w:t xml:space="preserve"> </w:t>
      </w:r>
      <w:r>
        <w:t xml:space="preserve">not, by themselves, prove that a respondent answered carelessly. Detection</w:t>
      </w:r>
      <w:r>
        <w:t xml:space="preserve"> </w:t>
      </w:r>
      <w:r>
        <w:t xml:space="preserve">methods are sensitive to different manifestations of C/IER and may also flag</w:t>
      </w:r>
      <w:r>
        <w:t xml:space="preserve"> </w:t>
      </w:r>
      <w:r>
        <w:t xml:space="preserve">unusual but valid response profiles. Consequently, combining every available</w:t>
      </w:r>
      <w:r>
        <w:t xml:space="preserve"> </w:t>
      </w:r>
      <w:r>
        <w:t xml:space="preserve">flag with an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rule can increase sensitivity at the cost of specificity</w:t>
      </w:r>
      <w:r>
        <w:t xml:space="preserve"> </w:t>
      </w:r>
      <w:r>
        <w:t xml:space="preserve">and sample size</w:t>
      </w:r>
      <w:r>
        <w:t xml:space="preserve"> </w:t>
      </w:r>
      <w:r>
        <w:t xml:space="preserve">(Curran, 2016; Hong et al., 2020)</w:t>
      </w:r>
      <w:r>
        <w:t xml:space="preserve">. Indiscriminate post-hoc removal may</w:t>
      </w:r>
      <w:r>
        <w:t xml:space="preserve"> </w:t>
      </w:r>
      <w:r>
        <w:t xml:space="preserve">also distort statistical and psychometric estimates when valid atypical</w:t>
      </w:r>
      <w:r>
        <w:t xml:space="preserve"> </w:t>
      </w:r>
      <w:r>
        <w:t xml:space="preserve">respondents are classified as inattentive</w:t>
      </w:r>
      <w:r>
        <w:t xml:space="preserve"> </w:t>
      </w:r>
      <w:r>
        <w:t xml:space="preserve">(Wang et al., 2025)</w:t>
      </w:r>
      <w:r>
        <w:t xml:space="preserve">.</w:t>
      </w:r>
    </w:p>
    <w:bookmarkStart w:id="60" w:name="X8686f2e1359f65159f630da4d7ee3662558b3cb"/>
    <w:p>
      <w:pPr>
        <w:pStyle w:val="Heading4"/>
      </w:pPr>
      <w:r>
        <w:t xml:space="preserve">4.5.1 Consequences of alternative decision rules</w:t>
      </w:r>
    </w:p>
    <w:p>
      <w:pPr>
        <w:pStyle w:val="FirstParagraph"/>
      </w:pPr>
      <w:r>
        <w:t xml:space="preserve">The scenarios below make the cost of each possible rule explicit. The first</w:t>
      </w:r>
      <w:r>
        <w:t xml:space="preserve"> </w:t>
      </w:r>
      <w:r>
        <w:t xml:space="preserve">two use all five diagnostic flags. The next two remove Longstring from the</w:t>
      </w:r>
      <w:r>
        <w:t xml:space="preserve"> </w:t>
      </w:r>
      <w:r>
        <w:t xml:space="preserve">decision set, while retaining it as a descriptive diagnostic. The final two</w:t>
      </w:r>
      <w:r>
        <w:t xml:space="preserve"> </w:t>
      </w:r>
      <w:r>
        <w:t xml:space="preserve">show the Laz.R–MD screening alternative.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decision-scenar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Consequences of alternative post-hoc decision rules</w:t>
            </w:r>
          </w:p>
          <w:tbl>
            <w:tblPr>
              <w:tblStyle w:val="Table"/>
              <w:tblW w:type="pct" w:w="4878"/>
              <w:tblLayout w:type="fixed"/>
              <w:tblLook w:firstRow="1" w:lastRow="0" w:firstColumn="0" w:lastColumn="0" w:noHBand="0" w:noVBand="0" w:val="0020"/>
            </w:tblPr>
            <w:tblGrid>
              <w:gridCol w:w="4539"/>
              <w:gridCol w:w="1062"/>
              <w:gridCol w:w="1062"/>
              <w:gridCol w:w="106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 rule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Excluded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</w:t>
                  </w:r>
                  <w:r>
                    <w:t xml:space="preserve"> </w:t>
                  </w:r>
                  <w:r>
                    <w:t xml:space="preserve">excluded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Any of the five diagnostic flags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 least two of the five diagnostic flags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Any of the four decision flags (excluding</w:t>
                  </w:r>
                  <w:r>
                    <w:t xml:space="preserve"> </w:t>
                  </w:r>
                  <w:r>
                    <w:t xml:space="preserve">Longstring)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 least two of the four decision flags (Plan</w:t>
                  </w:r>
                  <w:r>
                    <w:t xml:space="preserve"> </w:t>
                  </w:r>
                  <w:r>
                    <w:t xml:space="preserve">A)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or MD (case-review screening)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and 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1293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9">
        <w:r>
          <w:rPr>
            <w:rStyle w:val="Hyperlink"/>
            <w:vertAlign w:val="subscript"/>
          </w:rPr>
          <w:t xml:space="preserve">Post-hoc C/IER Indicators</w:t>
        </w:r>
      </w:hyperlink>
    </w:p>
    <w:p>
      <w:pPr>
        <w:pStyle w:val="BodyText"/>
      </w:pPr>
    </w:p>
    <w:p>
      <w:pPr>
        <w:pStyle w:val="BodyText"/>
      </w:pPr>
      <w:r>
        <w:t xml:space="preserve">An OR rule across all five flags would remove 436 respondents (33.7%), leaving</w:t>
      </w:r>
      <w:r>
        <w:t xml:space="preserve"> </w:t>
      </w:r>
      <w:r>
        <w:t xml:space="preserve">859 observations. Even after removing Longstring from the decision set, an OR</w:t>
      </w:r>
      <w:r>
        <w:t xml:space="preserve"> </w:t>
      </w:r>
      <w:r>
        <w:t xml:space="preserve">rule would remove 344 respondents (26.6%). These reductions are difficult to</w:t>
      </w:r>
      <w:r>
        <w:t xml:space="preserve"> </w:t>
      </w:r>
      <w:r>
        <w:t xml:space="preserve">defend when a single post-hoc indicator can produce false positives. In</w:t>
      </w:r>
      <w:r>
        <w:t xml:space="preserve"> </w:t>
      </w:r>
      <w:r>
        <w:t xml:space="preserve">particular, Mahalanobis distance may overflag respondents when ordinal item</w:t>
      </w:r>
      <w:r>
        <w:t xml:space="preserve"> </w:t>
      </w:r>
      <w:r>
        <w:t xml:space="preserve">responses depart from the multivariate-normal assumptions used in conventional</w:t>
      </w:r>
      <w:r>
        <w:t xml:space="preserve"> </w:t>
      </w:r>
      <w:r>
        <w:t xml:space="preserve">outlier detection</w:t>
      </w:r>
      <w:r>
        <w:t xml:space="preserve"> </w:t>
      </w:r>
      <w:r>
        <w:t xml:space="preserve">(Hong et al., 2020)</w:t>
      </w:r>
      <w:r>
        <w:t xml:space="preserve">.</w:t>
      </w:r>
    </w:p>
    <w:bookmarkEnd w:id="60"/>
    <w:bookmarkStart w:id="65" w:name="what-the-intersections-show"/>
    <w:p>
      <w:pPr>
        <w:pStyle w:val="Heading4"/>
      </w:pPr>
      <w:r>
        <w:t xml:space="preserve">4.5.2 What the intersections show</w:t>
      </w:r>
    </w:p>
    <w:p>
      <w:pPr>
        <w:pStyle w:val="FirstParagraph"/>
      </w:pPr>
      <w:r>
        <w:t xml:space="preserve">Longstring and low IRV are invariability-oriented diagnostics, high IRV targets</w:t>
      </w:r>
      <w:r>
        <w:t xml:space="preserve"> </w:t>
      </w:r>
      <w:r>
        <w:t xml:space="preserve">excessive variation, and MD targets multivariate atypicality. Laz.R detects</w:t>
      </w:r>
      <w:r>
        <w:t xml:space="preserve"> </w:t>
      </w:r>
      <w:r>
        <w:t xml:space="preserve">predictable transitions, including straightlining, alternating, and diagonal</w:t>
      </w:r>
      <w:r>
        <w:t xml:space="preserve"> </w:t>
      </w:r>
      <w:r>
        <w:t xml:space="preserve">patterns, but it is not a general detector of random responding. Laz.R should</w:t>
      </w:r>
      <w:r>
        <w:t xml:space="preserve"> </w:t>
      </w:r>
      <w:r>
        <w:t xml:space="preserve">therefore be combined with complementary approaches, and its Kneedle cut-off</w:t>
      </w:r>
      <w:r>
        <w:t xml:space="preserve"> </w:t>
      </w:r>
      <w:r>
        <w:t xml:space="preserve">should support scrutiny and possible exclusion rather than be treated as proof</w:t>
      </w:r>
      <w:r>
        <w:t xml:space="preserve"> </w:t>
      </w:r>
      <w:r>
        <w:t xml:space="preserve">of carelessness</w:t>
      </w:r>
      <w:r>
        <w:t xml:space="preserve"> </w:t>
      </w:r>
      <w:r>
        <w:t xml:space="preserve">(Biemann et al., 2025)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flag-pairwise-overla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Pairwise overlap among diagnostic C/IER flags</w:t>
            </w:r>
          </w:p>
          <w:tbl>
            <w:tblPr>
              <w:tblStyle w:val="Table"/>
              <w:tblW w:type="pct" w:w="4870"/>
              <w:tblLayout w:type="fixed"/>
              <w:tblLook w:firstRow="1" w:lastRow="0" w:firstColumn="0" w:lastColumn="0" w:noHBand="0" w:noVBand="0" w:val="0020"/>
            </w:tblPr>
            <w:tblGrid>
              <w:gridCol w:w="1337"/>
              <w:gridCol w:w="1337"/>
              <w:gridCol w:w="1542"/>
              <w:gridCol w:w="1748"/>
              <w:gridCol w:w="17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Indicator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Indicator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 intersection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of indicator</w:t>
                  </w:r>
                  <w:r>
                    <w:t xml:space="preserve"> </w:t>
                  </w: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of indicator</w:t>
                  </w:r>
                  <w:r>
                    <w:t xml:space="preserve"> </w:t>
                  </w: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Longstring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Longstring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Longstring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Longstring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high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IRV 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</w:tbl>
          <w:bookmarkEnd w:id="61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2">
        <w:r>
          <w:rPr>
            <w:rStyle w:val="Hyperlink"/>
            <w:vertAlign w:val="subscript"/>
          </w:rPr>
          <w:t xml:space="preserve">Post-hoc C/IER Indicators</w:t>
        </w:r>
      </w:hyperlink>
    </w:p>
    <w:p>
      <w:pPr>
        <w:pStyle w:val="BodyText"/>
      </w:pPr>
    </w:p>
    <w:p>
      <w:pPr>
        <w:pStyle w:val="BodyText"/>
      </w:pPr>
      <w:r>
        <w:t xml:space="preserve">Of the 91 Laz.R flags, 76 (83.5%) are also Longstring flags. Counting both in</w:t>
      </w:r>
      <w:r>
        <w:t xml:space="preserve"> </w:t>
      </w:r>
      <w:r>
        <w:t xml:space="preserve">the composite rule would allow one narrow manifestation - repetitive or highly</w:t>
      </w:r>
      <w:r>
        <w:t xml:space="preserve"> </w:t>
      </w:r>
      <w:r>
        <w:t xml:space="preserve">predictable responding - to contribute two votes. Longstring remains useful</w:t>
      </w:r>
      <w:r>
        <w:t xml:space="preserve"> </w:t>
      </w:r>
      <w:r>
        <w:t xml:space="preserve">for diagnosis and teaching, but its narrower scope and empirical redundancy</w:t>
      </w:r>
      <w:r>
        <w:t xml:space="preserve"> </w:t>
      </w:r>
      <w:r>
        <w:t xml:space="preserve">with Laz.R justify excluding it from the final flag count. Conversely, 42 of</w:t>
      </w:r>
      <w:r>
        <w:t xml:space="preserve"> </w:t>
      </w:r>
      <w:r>
        <w:t xml:space="preserve">the 66 IRV-high cases are also flagged by MD, providing convergent evidence for</w:t>
      </w:r>
      <w:r>
        <w:t xml:space="preserve"> </w:t>
      </w:r>
      <w:r>
        <w:t xml:space="preserve">excessive variability or multivariate atypicality.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lazr-md-intersec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Intersection of Laz.R and Mahalanobis distance flags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of sample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Neither 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 Laz.R and 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4">
        <w:r>
          <w:rPr>
            <w:rStyle w:val="Hyperlink"/>
            <w:vertAlign w:val="subscript"/>
          </w:rPr>
          <w:t xml:space="preserve">Post-hoc C/IER Indicators</w:t>
        </w:r>
      </w:hyperlink>
    </w:p>
    <w:p>
      <w:pPr>
        <w:pStyle w:val="BodyText"/>
      </w:pPr>
    </w:p>
    <w:p>
      <w:pPr>
        <w:pStyle w:val="BodyText"/>
      </w:pPr>
      <w:r>
        <w:t xml:space="preserve">Only two respondents fail both Laz.R and MD, whereas 199 fail MD only and 89</w:t>
      </w:r>
      <w:r>
        <w:t xml:space="preserve"> </w:t>
      </w:r>
      <w:r>
        <w:t xml:space="preserve">fail Laz.R only. Requiring both would remove almost no cases, while using either</w:t>
      </w:r>
      <w:r>
        <w:t xml:space="preserve"> </w:t>
      </w:r>
      <w:r>
        <w:t xml:space="preserve">would identify 290 cases (22.4%) for case-by-case review. This can be a useful</w:t>
      </w:r>
      <w:r>
        <w:t xml:space="preserve"> </w:t>
      </w:r>
      <w:r>
        <w:t xml:space="preserve">screening pool, but it was not adopted as an automatic exclusion rule because</w:t>
      </w:r>
      <w:r>
        <w:t xml:space="preserve"> </w:t>
      </w:r>
      <w:r>
        <w:t xml:space="preserve">the indicators are nearly disjoint in this sample and MD-only evidence is not</w:t>
      </w:r>
      <w:r>
        <w:t xml:space="preserve"> </w:t>
      </w:r>
      <w:r>
        <w:t xml:space="preserve">sufficient to infer carelessness from ordinal responses</w:t>
      </w:r>
      <w:r>
        <w:t xml:space="preserve"> </w:t>
      </w:r>
      <w:r>
        <w:t xml:space="preserve">(Hong et al., 2020; Ward &amp; Meade, 2023)</w:t>
      </w:r>
      <w:r>
        <w:t xml:space="preserve">.</w:t>
      </w:r>
    </w:p>
    <w:bookmarkEnd w:id="65"/>
    <w:bookmarkStart w:id="68" w:name="X36b84422d9f660eab4ba91b2be4044ba947450f"/>
    <w:p>
      <w:pPr>
        <w:pStyle w:val="Heading4"/>
      </w:pPr>
      <w:r>
        <w:t xml:space="preserve">4.5.3 Final rule: at least two of four decision flags</w:t>
      </w:r>
    </w:p>
    <w:p>
      <w:pPr>
        <w:pStyle w:val="FirstParagraph"/>
      </w:pPr>
      <w:r>
        <w:t xml:space="preserve">The final rule counts</w:t>
      </w:r>
      <w:r>
        <w:t xml:space="preserve"> </w:t>
      </w:r>
      <w:r>
        <w:rPr>
          <w:b/>
          <w:bCs/>
        </w:rPr>
        <w:t xml:space="preserve">Laz.R, MD, IRV high, and IRV low</w:t>
      </w:r>
      <w:r>
        <w:t xml:space="preserve"> </w:t>
      </w:r>
      <w:r>
        <w:t xml:space="preserve">and excludes a</w:t>
      </w:r>
      <w:r>
        <w:t xml:space="preserve"> </w:t>
      </w:r>
      <w:r>
        <w:t xml:space="preserve">respondent only when at least two of these four flags are present. It requires</w:t>
      </w:r>
      <w:r>
        <w:t xml:space="preserve"> </w:t>
      </w:r>
      <w:r>
        <w:t xml:space="preserve">corroboration, avoids deletion based on MD alone, and retains IRV as evidence</w:t>
      </w:r>
      <w:r>
        <w:t xml:space="preserve"> </w:t>
      </w:r>
      <w:r>
        <w:t xml:space="preserve">for both insufficient and excessive within-person variability. This follows</w:t>
      </w:r>
      <w:r>
        <w:t xml:space="preserve"> </w:t>
      </w:r>
      <w:r>
        <w:t xml:space="preserve">the recommendation to use multiple, context-appropriate indicators rather</w:t>
      </w:r>
      <w:r>
        <w:t xml:space="preserve"> </w:t>
      </w:r>
      <w:r>
        <w:t xml:space="preserve">than rely blindly on one index</w:t>
      </w:r>
      <w:r>
        <w:t xml:space="preserve"> </w:t>
      </w:r>
      <w:r>
        <w:t xml:space="preserve">(Curran, 2016; Ward &amp; Meade, 2023)</w:t>
      </w:r>
      <w:r>
        <w:t xml:space="preserve">.</w:t>
      </w:r>
    </w:p>
    <w:p>
      <w:pPr>
        <w:pStyle w:val="BodyText"/>
      </w:pPr>
      <w:r>
        <w:t xml:space="preserve">Hong et al. (2020)</w:t>
      </w:r>
      <w:r>
        <w:t xml:space="preserve"> </w:t>
      </w:r>
      <w:r>
        <w:t xml:space="preserve">best-subset simulations support selecting a smaller group of</w:t>
      </w:r>
      <w:r>
        <w:t xml:space="preserve"> </w:t>
      </w:r>
      <w:r>
        <w:t xml:space="preserve">complementary indicators instead of a kitchen-sink combination, although their</w:t>
      </w:r>
      <w:r>
        <w:t xml:space="preserve"> </w:t>
      </w:r>
      <w:r>
        <w:t xml:space="preserve">specific subset and cut-offs are design-dependent and should not be imported</w:t>
      </w:r>
      <w:r>
        <w:t xml:space="preserve"> </w:t>
      </w:r>
      <w:r>
        <w:t xml:space="preserve">unchanged into the WHOQOL-Bref</w:t>
      </w:r>
      <w:r>
        <w:t xml:space="preserve"> </w:t>
      </w:r>
      <w:r>
        <w:t xml:space="preserve">(Hong et al., 2020)</w:t>
      </w:r>
      <w:r>
        <w:t xml:space="preserve">. Plan A is therefore a transparent</w:t>
      </w:r>
      <w:r>
        <w:t xml:space="preserve"> </w:t>
      </w:r>
      <w:r>
        <w:t xml:space="preserve">teaching decision for this dataset, not a universal threshold.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posthoc-exclusion-patter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Evidence combinations among respondents excluded by Plan 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decision_evidence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Excluded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of exclusions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 + IRV 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+ IRV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+ IRV 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+ 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Laz.R + MD + IRV 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</w:tr>
          </w:tbl>
          <w:bookmarkEnd w:id="66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7">
        <w:r>
          <w:rPr>
            <w:rStyle w:val="Hyperlink"/>
            <w:vertAlign w:val="subscript"/>
          </w:rPr>
          <w:t xml:space="preserve">Post-hoc C/IER Indicators</w:t>
        </w:r>
      </w:hyperlink>
    </w:p>
    <w:p>
      <w:pPr>
        <w:pStyle w:val="BodyText"/>
      </w:pPr>
    </w:p>
    <w:p>
      <w:pPr>
        <w:pStyle w:val="BodyText"/>
      </w:pPr>
      <w:r>
        <w:t xml:space="preserve">Plan A removes 62 of the 1,295 eligible respondents (4.8%). The full audit log</w:t>
      </w:r>
      <w:r>
        <w:t xml:space="preserve"> </w:t>
      </w:r>
      <w:r>
        <w:t xml:space="preserve">preserves each excluded ID, indicator value, flag, composite count, and evidence</w:t>
      </w:r>
      <w:r>
        <w:t xml:space="preserve"> </w:t>
      </w:r>
      <w:r>
        <w:t xml:space="preserve">combination in</w:t>
      </w:r>
      <w:r>
        <w:t xml:space="preserve"> </w:t>
      </w:r>
      <w:r>
        <w:rPr>
          <w:rStyle w:val="VerbatimChar"/>
        </w:rPr>
        <w:t xml:space="preserve">posthoc-exclusion-log.csv</w:t>
      </w:r>
      <w:r>
        <w:t xml:space="preserve">.</w:t>
      </w:r>
    </w:p>
    <w:bookmarkEnd w:id="68"/>
    <w:bookmarkStart w:id="71" w:name="final-analysis-dataset"/>
    <w:p>
      <w:pPr>
        <w:pStyle w:val="Heading4"/>
      </w:pPr>
      <w:r>
        <w:t xml:space="preserve">4.5.4 Final analysis dataset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analysis-sampl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Derivation of the final analysis sample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Eligible after procedural exclusions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Excluded by Plan A post-hoc rule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analysis dataset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1233</w:t>
                  </w:r>
                </w:p>
              </w:tc>
            </w:tr>
          </w:tbl>
          <w:bookmarkEnd w:id="69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0">
        <w:r>
          <w:rPr>
            <w:rStyle w:val="Hyperlink"/>
            <w:vertAlign w:val="subscript"/>
          </w:rPr>
          <w:t xml:space="preserve">Post-hoc C/IER Indicators</w:t>
        </w:r>
      </w:hyperlink>
    </w:p>
    <w:p>
      <w:pPr>
        <w:pStyle w:val="BodyText"/>
      </w:pPr>
    </w:p>
    <w:p>
      <w:pPr>
        <w:pStyle w:val="BodyText"/>
      </w:pPr>
      <w:r>
        <w:t xml:space="preserve">The final</w:t>
      </w:r>
      <w:r>
        <w:t xml:space="preserve"> </w:t>
      </w:r>
      <w:r>
        <w:rPr>
          <w:rStyle w:val="VerbatimChar"/>
        </w:rPr>
        <w:t xml:space="preserve">whoqol_analysis.csv</w:t>
      </w:r>
      <w:r>
        <w:t xml:space="preserve"> </w:t>
      </w:r>
      <w:r>
        <w:t xml:space="preserve">contains 1,233 respondents,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Q1-Q26</w:t>
      </w:r>
      <w:r>
        <w:t xml:space="preserve">. Items Q3, Q4, and Q26 are reverse-scored only after the C/IER</w:t>
      </w:r>
      <w:r>
        <w:t xml:space="preserve"> </w:t>
      </w:r>
      <w:r>
        <w:t xml:space="preserve">indicators have been calculated on the response sequence as administered. For</w:t>
      </w:r>
      <w:r>
        <w:t xml:space="preserve"> </w:t>
      </w:r>
      <w:r>
        <w:t xml:space="preserve">substantive analyses, the unfiltered 1,295-case dataset can be retained as a</w:t>
      </w:r>
      <w:r>
        <w:t xml:space="preserve"> </w:t>
      </w:r>
      <w:r>
        <w:t xml:space="preserve">sensitivity condition. Large changes between filtered and unfiltered results</w:t>
      </w:r>
      <w:r>
        <w:t xml:space="preserve"> </w:t>
      </w:r>
      <w:r>
        <w:t xml:space="preserve">should be reported rather than used to choose whichever cleaning rule produces</w:t>
      </w:r>
      <w:r>
        <w:t xml:space="preserve"> </w:t>
      </w:r>
      <w:r>
        <w:t xml:space="preserve">the preferred result</w:t>
      </w:r>
      <w:r>
        <w:t xml:space="preserve"> </w:t>
      </w:r>
      <w:r>
        <w:t xml:space="preserve">(Wang et al., 2025)</w:t>
      </w:r>
      <w:r>
        <w:t xml:space="preserve">.</w:t>
      </w:r>
    </w:p>
    <w:bookmarkEnd w:id="71"/>
    <w:bookmarkEnd w:id="72"/>
    <w:bookmarkEnd w:id="73"/>
    <w:bookmarkStart w:id="87" w:name="references"/>
    <w:p>
      <w:pPr>
        <w:pStyle w:val="Heading2"/>
      </w:pPr>
      <w:r>
        <w:t xml:space="preserve">References</w:t>
      </w:r>
    </w:p>
    <w:bookmarkStart w:id="86" w:name="refs"/>
    <w:bookmarkStart w:id="75" w:name="ref-biemann2025"/>
    <w:p>
      <w:pPr>
        <w:pStyle w:val="Bibliography"/>
      </w:pPr>
      <w:r>
        <w:t xml:space="preserve">Biemann, T., Koch-Bayram, I. F., Meier-Barthold, M., &amp; Aguinis, H. (2025). Using</w:t>
      </w:r>
      <w:r>
        <w:t xml:space="preserve"> </w:t>
      </w:r>
      <w:r>
        <w:t xml:space="preserve">Markov Chains</w:t>
      </w:r>
      <w:r>
        <w:t xml:space="preserve"> </w:t>
      </w:r>
      <w:r>
        <w:t xml:space="preserve">to</w:t>
      </w:r>
      <w:r>
        <w:t xml:space="preserve"> </w:t>
      </w:r>
      <w:r>
        <w:t xml:space="preserve">Detect Careless Responding</w:t>
      </w:r>
      <w:r>
        <w:t xml:space="preserve"> </w:t>
      </w:r>
      <w:r>
        <w:t xml:space="preserve">in</w:t>
      </w:r>
      <w:r>
        <w:t xml:space="preserve"> </w:t>
      </w:r>
      <w:r>
        <w:t xml:space="preserve">Survey Research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Organizational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(4), 543–568.</w:t>
      </w:r>
      <w:r>
        <w:t xml:space="preserve"> </w:t>
      </w:r>
      <w:hyperlink r:id="rId74">
        <w:r>
          <w:rPr>
            <w:rStyle w:val="Hyperlink"/>
          </w:rPr>
          <w:t xml:space="preserve">https://doi.org/10.1177/10944281251334778</w:t>
        </w:r>
      </w:hyperlink>
    </w:p>
    <w:bookmarkEnd w:id="75"/>
    <w:bookmarkStart w:id="77" w:name="ref-curran2016"/>
    <w:p>
      <w:pPr>
        <w:pStyle w:val="Bibliography"/>
      </w:pPr>
      <w:r>
        <w:t xml:space="preserve">Curran, P. G. (2016). Methods for the detection of carelessly invalid responses in survey data.</w:t>
      </w:r>
      <w:r>
        <w:t xml:space="preserve"> </w:t>
      </w:r>
      <w:r>
        <w:rPr>
          <w:i/>
          <w:iCs/>
        </w:rPr>
        <w:t xml:space="preserve">Journal of Experimental Social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66</w:t>
      </w:r>
      <w:r>
        <w:t xml:space="preserve">, 4–19.</w:t>
      </w:r>
      <w:r>
        <w:t xml:space="preserve"> </w:t>
      </w:r>
      <w:hyperlink r:id="rId76">
        <w:r>
          <w:rPr>
            <w:rStyle w:val="Hyperlink"/>
          </w:rPr>
          <w:t xml:space="preserve">https://doi.org/10.1016/j.jesp.2015.07.006</w:t>
        </w:r>
      </w:hyperlink>
    </w:p>
    <w:bookmarkEnd w:id="77"/>
    <w:bookmarkStart w:id="79" w:name="ref-hong2020"/>
    <w:p>
      <w:pPr>
        <w:pStyle w:val="Bibliography"/>
      </w:pPr>
      <w:r>
        <w:t xml:space="preserve">Hong, M., Steedle, J. T., &amp; Cheng, Y. (2020). Methods of</w:t>
      </w:r>
      <w:r>
        <w:t xml:space="preserve"> </w:t>
      </w:r>
      <w:r>
        <w:t xml:space="preserve">Detecting Insufficient Effort Responding</w:t>
      </w:r>
      <w:r>
        <w:t xml:space="preserve">:</w:t>
      </w:r>
      <w:r>
        <w:t xml:space="preserve"> </w:t>
      </w:r>
      <w:r>
        <w:t xml:space="preserve">Comparisons</w:t>
      </w:r>
      <w:r>
        <w:t xml:space="preserve"> </w:t>
      </w:r>
      <w:r>
        <w:t xml:space="preserve">and</w:t>
      </w:r>
      <w:r>
        <w:t xml:space="preserve"> </w:t>
      </w:r>
      <w:r>
        <w:t xml:space="preserve">Practical Recommendations</w:t>
      </w:r>
      <w:r>
        <w:t xml:space="preserve">.</w:t>
      </w:r>
      <w:r>
        <w:t xml:space="preserve"> </w:t>
      </w:r>
      <w:r>
        <w:rPr>
          <w:i/>
          <w:iCs/>
        </w:rPr>
        <w:t xml:space="preserve">Educ Psychol Meas</w:t>
      </w:r>
      <w:r>
        <w:t xml:space="preserve">,</w:t>
      </w:r>
      <w:r>
        <w:t xml:space="preserve"> </w:t>
      </w:r>
      <w:r>
        <w:rPr>
          <w:i/>
          <w:iCs/>
        </w:rPr>
        <w:t xml:space="preserve">80</w:t>
      </w:r>
      <w:r>
        <w:t xml:space="preserve">(2), 312–345.</w:t>
      </w:r>
      <w:r>
        <w:t xml:space="preserve"> </w:t>
      </w:r>
      <w:hyperlink r:id="rId78">
        <w:r>
          <w:rPr>
            <w:rStyle w:val="Hyperlink"/>
          </w:rPr>
          <w:t xml:space="preserve">https://doi.org/10.1177/0013164419865316</w:t>
        </w:r>
      </w:hyperlink>
    </w:p>
    <w:bookmarkEnd w:id="79"/>
    <w:bookmarkStart w:id="81" w:name="ref-huang2026"/>
    <w:p>
      <w:pPr>
        <w:pStyle w:val="Bibliography"/>
      </w:pPr>
      <w:r>
        <w:t xml:space="preserve">Huang, J. L., Wang, Z., Huang, R., Wu, D., &amp; Shi, H. (2026).</w:t>
      </w:r>
      <w:r>
        <w:t xml:space="preserve"> </w:t>
      </w:r>
      <w:r>
        <w:rPr>
          <w:i/>
          <w:iCs/>
        </w:rPr>
        <w:t xml:space="preserve">Insufficient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Effort Responding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Research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 Critical Review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Future Directions</w:t>
      </w:r>
      <w:r>
        <w:t xml:space="preserve">.</w:t>
      </w:r>
      <w:r>
        <w:t xml:space="preserve"> </w:t>
      </w:r>
      <w:r>
        <w:rPr>
          <w:i/>
          <w:iCs/>
        </w:rPr>
        <w:t xml:space="preserve">52</w:t>
      </w:r>
      <w:r>
        <w:t xml:space="preserve">(1).</w:t>
      </w:r>
      <w:r>
        <w:t xml:space="preserve"> </w:t>
      </w:r>
      <w:hyperlink r:id="rId80">
        <w:r>
          <w:rPr>
            <w:rStyle w:val="Hyperlink"/>
          </w:rPr>
          <w:t xml:space="preserve">https://doi.org/10.1177/01492063251330268</w:t>
        </w:r>
      </w:hyperlink>
    </w:p>
    <w:bookmarkEnd w:id="81"/>
    <w:bookmarkStart w:id="83" w:name="ref-wang2025b"/>
    <w:p>
      <w:pPr>
        <w:pStyle w:val="Bibliography"/>
      </w:pPr>
      <w:r>
        <w:t xml:space="preserve">Wang, M. D., Xiao, L., &amp; Zang, X. (2025). When</w:t>
      </w:r>
      <w:r>
        <w:t xml:space="preserve"> </w:t>
      </w:r>
      <w:r>
        <w:t xml:space="preserve">Cleaning Data Introduces Bias</w:t>
      </w:r>
      <w:r>
        <w:t xml:space="preserve">:</w:t>
      </w:r>
      <w:r>
        <w:t xml:space="preserve"> </w:t>
      </w:r>
      <w:r>
        <w:t xml:space="preserve">A Critical Examination</w:t>
      </w:r>
      <w:r>
        <w:t xml:space="preserve"> </w:t>
      </w:r>
      <w:r>
        <w:t xml:space="preserve">of</w:t>
      </w:r>
      <w:r>
        <w:t xml:space="preserve"> </w:t>
      </w:r>
      <w:r>
        <w:t xml:space="preserve">Post-Hoc Methods</w:t>
      </w:r>
      <w:r>
        <w:t xml:space="preserve"> </w:t>
      </w:r>
      <w:r>
        <w:t xml:space="preserve">in</w:t>
      </w:r>
      <w:r>
        <w:t xml:space="preserve"> </w:t>
      </w:r>
      <w:r>
        <w:t xml:space="preserve">Detecting Insufficient Effort Responding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Official Statistics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(4).</w:t>
      </w:r>
      <w:r>
        <w:t xml:space="preserve"> </w:t>
      </w:r>
      <w:hyperlink r:id="rId82">
        <w:r>
          <w:rPr>
            <w:rStyle w:val="Hyperlink"/>
          </w:rPr>
          <w:t xml:space="preserve">https://doi.org/10.1177/0282423X251337843</w:t>
        </w:r>
      </w:hyperlink>
    </w:p>
    <w:bookmarkEnd w:id="83"/>
    <w:bookmarkStart w:id="85" w:name="ref-ward2023"/>
    <w:p>
      <w:pPr>
        <w:pStyle w:val="Bibliography"/>
      </w:pPr>
      <w:r>
        <w:t xml:space="preserve">Ward, M. K., &amp; Meade, A. W. (2023). Dealing with</w:t>
      </w:r>
      <w:r>
        <w:t xml:space="preserve"> </w:t>
      </w:r>
      <w:r>
        <w:t xml:space="preserve">Careless Responding</w:t>
      </w:r>
      <w:r>
        <w:t xml:space="preserve"> </w:t>
      </w:r>
      <w:r>
        <w:t xml:space="preserve">in</w:t>
      </w:r>
      <w:r>
        <w:t xml:space="preserve"> </w:t>
      </w:r>
      <w:r>
        <w:t xml:space="preserve">Survey Data</w:t>
      </w:r>
      <w:r>
        <w:t xml:space="preserve">:</w:t>
      </w:r>
      <w:r>
        <w:t xml:space="preserve"> </w:t>
      </w:r>
      <w:r>
        <w:t xml:space="preserve">Prevention</w:t>
      </w:r>
      <w:r>
        <w:t xml:space="preserve">,</w:t>
      </w:r>
      <w:r>
        <w:t xml:space="preserve"> </w:t>
      </w:r>
      <w:r>
        <w:t xml:space="preserve">Identification</w:t>
      </w:r>
      <w:r>
        <w:t xml:space="preserve">, and</w:t>
      </w:r>
      <w:r>
        <w:t xml:space="preserve"> </w:t>
      </w:r>
      <w:r>
        <w:t xml:space="preserve">Recommended Best Practices</w:t>
      </w:r>
      <w:r>
        <w:t xml:space="preserve">.</w:t>
      </w:r>
      <w:r>
        <w:t xml:space="preserve"> </w:t>
      </w:r>
      <w:r>
        <w:rPr>
          <w:i/>
          <w:iCs/>
        </w:rPr>
        <w:t xml:space="preserve">Annu. Rev. Psychol.</w:t>
      </w:r>
      <w:r>
        <w:t xml:space="preserve">,</w:t>
      </w:r>
      <w:r>
        <w:t xml:space="preserve"> </w:t>
      </w:r>
      <w:r>
        <w:rPr>
          <w:i/>
          <w:iCs/>
        </w:rPr>
        <w:t xml:space="preserve">74</w:t>
      </w:r>
      <w:r>
        <w:t xml:space="preserve">(Volume 74, 2023), 577–596.</w:t>
      </w:r>
      <w:r>
        <w:t xml:space="preserve"> </w:t>
      </w:r>
      <w:hyperlink r:id="rId84">
        <w:r>
          <w:rPr>
            <w:rStyle w:val="Hyperlink"/>
          </w:rPr>
          <w:t xml:space="preserve">https://doi.org/10.1146/annurev-psych-040422-045007</w:t>
        </w:r>
      </w:hyperlink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76" Target="https://doi.org/10.1016/j.jesp.2015.07.006" TargetMode="External" /><Relationship Type="http://schemas.openxmlformats.org/officeDocument/2006/relationships/hyperlink" Id="rId84" Target="https://doi.org/10.1146/annurev-psych-040422-045007" TargetMode="External" /><Relationship Type="http://schemas.openxmlformats.org/officeDocument/2006/relationships/hyperlink" Id="rId78" Target="https://doi.org/10.1177/0013164419865316" TargetMode="External" /><Relationship Type="http://schemas.openxmlformats.org/officeDocument/2006/relationships/hyperlink" Id="rId80" Target="https://doi.org/10.1177/01492063251330268" TargetMode="External" /><Relationship Type="http://schemas.openxmlformats.org/officeDocument/2006/relationships/hyperlink" Id="rId82" Target="https://doi.org/10.1177/0282423X251337843" TargetMode="External" /><Relationship Type="http://schemas.openxmlformats.org/officeDocument/2006/relationships/hyperlink" Id="rId74" Target="https://doi.org/10.1177/10944281251334778" TargetMode="External" /><Relationship Type="http://schemas.openxmlformats.org/officeDocument/2006/relationships/hyperlink" Id="rId11" Target="https://phdpablo.github.io/cier/Scripts\ProcessingScripts\01_procedural-preview.html#cell-data-reading" TargetMode="External" /><Relationship Type="http://schemas.openxmlformats.org/officeDocument/2006/relationships/hyperlink" Id="rId14" Target="https://phdpablo.github.io/cier/Scripts\ProcessingScripts\01_procedural-preview.html#cell-tbl-level-1-summary" TargetMode="External" /><Relationship Type="http://schemas.openxmlformats.org/officeDocument/2006/relationships/hyperlink" Id="rId70" Target="https://phdpablo.github.io/cier/Scripts\ProcessingScripts\02_posthoc-preview.html#cell-tbl-analysis-sample-summary" TargetMode="External" /><Relationship Type="http://schemas.openxmlformats.org/officeDocument/2006/relationships/hyperlink" Id="rId59" Target="https://phdpablo.github.io/cier/Scripts\ProcessingScripts\02_posthoc-preview.html#cell-tbl-decision-scenarios" TargetMode="External" /><Relationship Type="http://schemas.openxmlformats.org/officeDocument/2006/relationships/hyperlink" Id="rId62" Target="https://phdpablo.github.io/cier/Scripts\ProcessingScripts\02_posthoc-preview.html#cell-tbl-flag-pairwise-overlap" TargetMode="External" /><Relationship Type="http://schemas.openxmlformats.org/officeDocument/2006/relationships/hyperlink" Id="rId56" Target="https://phdpablo.github.io/cier/Scripts\ProcessingScripts\02_posthoc-preview.html#cell-tbl-flags-overview" TargetMode="External" /><Relationship Type="http://schemas.openxmlformats.org/officeDocument/2006/relationships/hyperlink" Id="rId35" Target="https://phdpablo.github.io/cier/Scripts\ProcessingScripts\02_posthoc-preview.html#cell-tbl-kneedle-cutoffs" TargetMode="External" /><Relationship Type="http://schemas.openxmlformats.org/officeDocument/2006/relationships/hyperlink" Id="rId64" Target="https://phdpablo.github.io/cier/Scripts\ProcessingScripts\02_posthoc-preview.html#cell-tbl-lazr-md-intersection" TargetMode="External" /><Relationship Type="http://schemas.openxmlformats.org/officeDocument/2006/relationships/hyperlink" Id="rId67" Target="https://phdpablo.github.io/cier/Scripts\ProcessingScripts\02_posthoc-preview.html#cell-tbl-posthoc-exclusion-patter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doi.org/10.1016/j.jesp.2015.07.006" TargetMode="External" /><Relationship Type="http://schemas.openxmlformats.org/officeDocument/2006/relationships/hyperlink" Id="rId84" Target="https://doi.org/10.1146/annurev-psych-040422-045007" TargetMode="External" /><Relationship Type="http://schemas.openxmlformats.org/officeDocument/2006/relationships/hyperlink" Id="rId78" Target="https://doi.org/10.1177/0013164419865316" TargetMode="External" /><Relationship Type="http://schemas.openxmlformats.org/officeDocument/2006/relationships/hyperlink" Id="rId80" Target="https://doi.org/10.1177/01492063251330268" TargetMode="External" /><Relationship Type="http://schemas.openxmlformats.org/officeDocument/2006/relationships/hyperlink" Id="rId82" Target="https://doi.org/10.1177/0282423X251337843" TargetMode="External" /><Relationship Type="http://schemas.openxmlformats.org/officeDocument/2006/relationships/hyperlink" Id="rId74" Target="https://doi.org/10.1177/10944281251334778" TargetMode="External" /><Relationship Type="http://schemas.openxmlformats.org/officeDocument/2006/relationships/hyperlink" Id="rId11" Target="https://phdpablo.github.io/cier/Scripts\ProcessingScripts\01_procedural-preview.html#cell-data-reading" TargetMode="External" /><Relationship Type="http://schemas.openxmlformats.org/officeDocument/2006/relationships/hyperlink" Id="rId14" Target="https://phdpablo.github.io/cier/Scripts\ProcessingScripts\01_procedural-preview.html#cell-tbl-level-1-summary" TargetMode="External" /><Relationship Type="http://schemas.openxmlformats.org/officeDocument/2006/relationships/hyperlink" Id="rId70" Target="https://phdpablo.github.io/cier/Scripts\ProcessingScripts\02_posthoc-preview.html#cell-tbl-analysis-sample-summary" TargetMode="External" /><Relationship Type="http://schemas.openxmlformats.org/officeDocument/2006/relationships/hyperlink" Id="rId59" Target="https://phdpablo.github.io/cier/Scripts\ProcessingScripts\02_posthoc-preview.html#cell-tbl-decision-scenarios" TargetMode="External" /><Relationship Type="http://schemas.openxmlformats.org/officeDocument/2006/relationships/hyperlink" Id="rId62" Target="https://phdpablo.github.io/cier/Scripts\ProcessingScripts\02_posthoc-preview.html#cell-tbl-flag-pairwise-overlap" TargetMode="External" /><Relationship Type="http://schemas.openxmlformats.org/officeDocument/2006/relationships/hyperlink" Id="rId56" Target="https://phdpablo.github.io/cier/Scripts\ProcessingScripts\02_posthoc-preview.html#cell-tbl-flags-overview" TargetMode="External" /><Relationship Type="http://schemas.openxmlformats.org/officeDocument/2006/relationships/hyperlink" Id="rId35" Target="https://phdpablo.github.io/cier/Scripts\ProcessingScripts\02_posthoc-preview.html#cell-tbl-kneedle-cutoffs" TargetMode="External" /><Relationship Type="http://schemas.openxmlformats.org/officeDocument/2006/relationships/hyperlink" Id="rId64" Target="https://phdpablo.github.io/cier/Scripts\ProcessingScripts\02_posthoc-preview.html#cell-tbl-lazr-md-intersection" TargetMode="External" /><Relationship Type="http://schemas.openxmlformats.org/officeDocument/2006/relationships/hyperlink" Id="rId67" Target="https://phdpablo.github.io/cier/Scripts\ProcessingScripts\02_posthoc-preview.html#cell-tbl-posthoc-exclusion-patter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Careless/Insufficient Effort Responding (C/IER) Detection</dc:title>
  <dc:creator>Pablo Rogers</dc:creator>
  <cp:keywords>Careless Responding, Insufficient Effort Responding, Laz.R, Longstring, Mahalanobis Distance, IRV</cp:keywords>
  <dcterms:created xsi:type="dcterms:W3CDTF">2026-09-27T21:35:16Z</dcterms:created>
  <dcterms:modified xsi:type="dcterms:W3CDTF">2026-09-27T21:35:16Z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notebook presents a tutorial on the detection of careless or insufficient effort responding (C/IER) in self-report questionnaires. We use real database from WHOQOL-Bref scale as an example (n = 1,546), and we apply the ‘careless’ package and Laz.R (Biemann et al., 2025) to detect C/IER (post hoc indicators). We also discuss the importance of procedural C/IER detection in the quality control of data obtained through self-report questionnaires.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csl">
    <vt:lpwstr>apa7ed.csl</vt:lpwstr>
  </property>
  <property fmtid="{D5CDD505-2E9C-101B-9397-08002B2CF9AE}" pid="11" name="date">
    <vt:lpwstr>2026-09-25</vt:lpwstr>
  </property>
  <property fmtid="{D5CDD505-2E9C-101B-9397-08002B2CF9AE}" pid="12" name="doi">
    <vt:lpwstr>10.5281/zenodo.23002392</vt:lpwstr>
  </property>
  <property fmtid="{D5CDD505-2E9C-101B-9397-08002B2CF9AE}" pid="13" name="editor">
    <vt:lpwstr>source</vt:lpwstr>
  </property>
  <property fmtid="{D5CDD505-2E9C-101B-9397-08002B2CF9AE}" pid="14" name="engines">
    <vt:lpwstr/>
  </property>
  <property fmtid="{D5CDD505-2E9C-101B-9397-08002B2CF9AE}" pid="15" name="google-scholar">
    <vt:lpwstr>True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lightbox">
    <vt:lpwstr>auto</vt:lpwstr>
  </property>
  <property fmtid="{D5CDD505-2E9C-101B-9397-08002B2CF9AE}" pid="21" name="manuscript">
    <vt:lpwstr/>
  </property>
  <property fmtid="{D5CDD505-2E9C-101B-9397-08002B2CF9AE}" pid="22" name="notebook-preview-options">
    <vt:lpwstr/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