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20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three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Items:</w:t>
      </w:r>
      <w:r>
        <w:t xml:space="preserve"> </w:t>
      </w:r>
      <w:r>
        <w:t xml:space="preserve">VIF-based multicollinearity diagnosis to anticipate</w:t>
      </w:r>
      <w:r>
        <w:t xml:space="preserve"> </w:t>
      </w:r>
      <w:r>
        <w:t xml:space="preserve">convergence problems in CFA.</w:t>
      </w:r>
    </w:p>
    <w:bookmarkEnd w:id="20"/>
    <w:bookmarkStart w:id="2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Procedural exclusions</w:t>
        </w:r>
      </w:hyperlink>
    </w:p>
    <w:bookmarkEnd w:id="22"/>
    <w:bookmarkStart w:id="2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23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Procedural exclusions</w:t>
        </w:r>
      </w:hyperlink>
    </w:p>
    <w:bookmarkEnd w:id="25"/>
    <w:bookmarkStart w:id="74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49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47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9"/>
    <w:bookmarkStart w:id="70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0"/>
    <w:bookmarkStart w:id="73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71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3"/>
    <w:bookmarkEnd w:id="74"/>
    <w:bookmarkStart w:id="89" w:name="multicollinearity"/>
    <w:p>
      <w:pPr>
        <w:pStyle w:val="Heading2"/>
      </w:pPr>
      <w:r>
        <w:t xml:space="preserve">5 Multicollinearity</w:t>
      </w:r>
    </w:p>
    <w:p>
      <w:pPr>
        <w:pStyle w:val="FirstParagraph"/>
      </w:pPr>
      <w:r>
        <w:t xml:space="preserve">The VIF (Variance Inflation Factor) is calculated for each item in the WHOQOL scale.</w:t>
      </w:r>
      <w:r>
        <w:t xml:space="preserve"> </w:t>
      </w:r>
      <w:r>
        <w:t xml:space="preserve">Values greater than 5 indicate problematic multicollinearity, anticipating</w:t>
      </w:r>
      <w:r>
        <w:t xml:space="preserve"> </w:t>
      </w:r>
      <w:r>
        <w:t xml:space="preserve">convergence and interpretation problems in CFA</w:t>
      </w:r>
      <w:r>
        <w:t xml:space="preserve"> </w:t>
      </w:r>
      <w:r>
        <w:t xml:space="preserve">(Flora et al., 2012; Kline, 2023)</w:t>
      </w:r>
      <w:r>
        <w:t xml:space="preserve">.</w:t>
      </w:r>
    </w:p>
    <w:bookmarkStart w:id="75" w:name="vif-table"/>
    <w:p>
      <w:pPr>
        <w:pStyle w:val="TableCaption"/>
      </w:pPr>
      <w:r>
        <w:t xml:space="preserve">Variance Inflation Factor (VIF) per item — VIF &gt; 5 indicates</w:t>
      </w:r>
      <w:r>
        <w:t xml:space="preserve"> </w:t>
      </w:r>
      <w:r>
        <w:t xml:space="preserve">problematic multicollinearity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 Inflation Factor (VIF) per item — VIF &gt; 5 indicates problematic multicollinearit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7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6">
        <w:r>
          <w:rPr>
            <w:rStyle w:val="Hyperlink"/>
            <w:vertAlign w:val="subscript"/>
          </w:rPr>
          <w:t xml:space="preserve">Multicollinearity</w:t>
        </w:r>
      </w:hyperlink>
    </w:p>
    <w:bookmarkStart w:id="88" w:name="refs"/>
    <w:bookmarkStart w:id="78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7">
        <w:r>
          <w:rPr>
            <w:rStyle w:val="Hyperlink"/>
          </w:rPr>
          <w:t xml:space="preserve">https://doi.org/10.1177/10944281251334778</w:t>
        </w:r>
      </w:hyperlink>
    </w:p>
    <w:bookmarkEnd w:id="78"/>
    <w:bookmarkStart w:id="80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9">
        <w:r>
          <w:rPr>
            <w:rStyle w:val="Hyperlink"/>
          </w:rPr>
          <w:t xml:space="preserve">https://doi.org/10.1016/j.jesp.2015.07.006</w:t>
        </w:r>
      </w:hyperlink>
    </w:p>
    <w:bookmarkEnd w:id="80"/>
    <w:bookmarkStart w:id="82" w:name="ref-flora2012"/>
    <w:p>
      <w:pPr>
        <w:pStyle w:val="Bibliography"/>
      </w:pPr>
      <w:r>
        <w:t xml:space="preserve">Flora, D. B., LaBrish, C., &amp; Chalmers, R. P. (2012). Old and</w:t>
      </w:r>
      <w:r>
        <w:t xml:space="preserve"> </w:t>
      </w:r>
      <w:r>
        <w:t xml:space="preserve">New Ideas</w:t>
      </w:r>
      <w:r>
        <w:t xml:space="preserve"> </w:t>
      </w:r>
      <w:r>
        <w:t xml:space="preserve">for</w:t>
      </w:r>
      <w:r>
        <w:t xml:space="preserve"> </w:t>
      </w:r>
      <w:r>
        <w:t xml:space="preserve">Data Screening</w:t>
      </w:r>
      <w:r>
        <w:t xml:space="preserve"> </w:t>
      </w:r>
      <w:r>
        <w:t xml:space="preserve">and</w:t>
      </w:r>
      <w:r>
        <w:t xml:space="preserve"> </w:t>
      </w:r>
      <w:r>
        <w:t xml:space="preserve">Assumption Testing</w:t>
      </w:r>
      <w:r>
        <w:t xml:space="preserve"> </w:t>
      </w:r>
      <w:r>
        <w:t xml:space="preserve">for</w:t>
      </w:r>
      <w:r>
        <w:t xml:space="preserve"> </w:t>
      </w:r>
      <w:r>
        <w:t xml:space="preserve">Exploratory</w:t>
      </w:r>
      <w:r>
        <w:t xml:space="preserve"> </w:t>
      </w:r>
      <w:r>
        <w:t xml:space="preserve">and</w:t>
      </w:r>
      <w:r>
        <w:t xml:space="preserve"> </w:t>
      </w:r>
      <w:r>
        <w:t xml:space="preserve">Confirmatory Factor Analysis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(MAR), 55.</w:t>
      </w:r>
      <w:r>
        <w:t xml:space="preserve"> </w:t>
      </w:r>
      <w:hyperlink r:id="rId81">
        <w:r>
          <w:rPr>
            <w:rStyle w:val="Hyperlink"/>
          </w:rPr>
          <w:t xml:space="preserve">https://doi.org/10.3389/fpsyg.2012.00055</w:t>
        </w:r>
      </w:hyperlink>
    </w:p>
    <w:bookmarkEnd w:id="82"/>
    <w:bookmarkStart w:id="84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83">
        <w:r>
          <w:rPr>
            <w:rStyle w:val="Hyperlink"/>
          </w:rPr>
          <w:t xml:space="preserve">https://doi.org/10.1177/0013164419865316</w:t>
        </w:r>
      </w:hyperlink>
    </w:p>
    <w:bookmarkEnd w:id="84"/>
    <w:bookmarkStart w:id="86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85">
        <w:r>
          <w:rPr>
            <w:rStyle w:val="Hyperlink"/>
          </w:rPr>
          <w:t xml:space="preserve">https://doi.org/10.1177/01492063251330268</w:t>
        </w:r>
      </w:hyperlink>
    </w:p>
    <w:bookmarkEnd w:id="86"/>
    <w:bookmarkStart w:id="87" w:name="ref-kline2023"/>
    <w:p>
      <w:pPr>
        <w:pStyle w:val="Bibliography"/>
      </w:pPr>
      <w:r>
        <w:t xml:space="preserve">Kline, R. B. (2023).</w:t>
      </w:r>
      <w:r>
        <w:t xml:space="preserve"> </w:t>
      </w:r>
      <w:r>
        <w:rPr>
          <w:i/>
          <w:iCs/>
        </w:rPr>
        <w:t xml:space="preserve">Principles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Pratice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 </w:t>
      </w:r>
      <w:r>
        <w:t xml:space="preserve">(Fifth Edition). The Guilford Press.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2026-04-06T11:26:41Z</dcterms:created>
  <dcterms:modified xsi:type="dcterms:W3CDTF">2026-04-06T11:26:41Z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