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24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Careless/Insufficient Effort Responding (C/IER) Detection</w:t>
      </w:r>
    </w:p>
    <w:p>
      <w:pPr>
        <w:pStyle w:val="Author"/>
      </w:pPr>
      <w:r>
        <w:t xml:space="preserve">Pablo Rogers</w:t>
      </w:r>
    </w:p>
    <w:p>
      <w:pPr>
        <w:pStyle w:val="Date"/>
      </w:pPr>
      <w:r>
        <w:t xml:space="preserve">2026-04-03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notebook presents a tutorial on the detection of careless or insufficient effort responding (C/IER) in self-report questionnaires. We use real database from WHOQOL-Bref scale as an example (n = 1,546), and we apply the</w:t>
      </w:r>
      <w:r>
        <w:t xml:space="preserve"> </w:t>
      </w:r>
      <w:r>
        <w:t xml:space="preserve">‘careless’</w:t>
      </w:r>
      <w:r>
        <w:t xml:space="preserve"> </w:t>
      </w:r>
      <w:r>
        <w:t xml:space="preserve">package and Laz.R</w:t>
      </w:r>
      <w:r>
        <w:t xml:space="preserve"> </w:t>
      </w:r>
      <w:r>
        <w:t xml:space="preserve">(Biemann et al., 2025)</w:t>
      </w:r>
      <w:r>
        <w:t xml:space="preserve"> </w:t>
      </w:r>
      <w:r>
        <w:t xml:space="preserve">to detect C/IER (post hoc indicators). We also discuss the importance of procedural C/IER detection in the quality control of data obtained through self-report questionnaires.</w:t>
      </w:r>
    </w:p>
    <w:bookmarkStart w:id="9" w:name="contextualization"/>
    <w:p>
      <w:pPr>
        <w:pStyle w:val="Heading2"/>
      </w:pPr>
      <w:r>
        <w:t xml:space="preserve">1 Contextualization</w:t>
      </w:r>
    </w:p>
    <w:p>
      <w:pPr>
        <w:pStyle w:val="FirstParagraph"/>
      </w:pPr>
      <w:r>
        <w:t xml:space="preserve">The detection of Careless or Insufficient Effort Responding (C/IER) is an</w:t>
      </w:r>
      <w:r>
        <w:t xml:space="preserve"> </w:t>
      </w:r>
      <w:r>
        <w:t xml:space="preserve">essential step in the quality control of data obtained through self-report</w:t>
      </w:r>
      <w:r>
        <w:t xml:space="preserve"> </w:t>
      </w:r>
      <w:r>
        <w:t xml:space="preserve">questionnaires. C/IER occurs when respondents complete the instrument without</w:t>
      </w:r>
      <w:r>
        <w:t xml:space="preserve"> </w:t>
      </w:r>
      <w:r>
        <w:t xml:space="preserve">attention to the item content, compromising the validity of the psychometric</w:t>
      </w:r>
      <w:r>
        <w:t xml:space="preserve"> </w:t>
      </w:r>
      <w:r>
        <w:t xml:space="preserve">and substantive inferences derived from the data</w:t>
      </w:r>
      <w:r>
        <w:t xml:space="preserve"> </w:t>
      </w:r>
      <w:r>
        <w:t xml:space="preserve">(Curran, 2016; Huang et al., 2026)</w:t>
      </w:r>
      <w:r>
        <w:t xml:space="preserve">.</w:t>
      </w:r>
    </w:p>
    <w:p>
      <w:pPr>
        <w:pStyle w:val="BodyText"/>
      </w:pPr>
      <w:r>
        <w:t xml:space="preserve">The analytical flow of this document follows two sequential levels of detection: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Questionnaire:</w:t>
      </w:r>
      <w:r>
        <w:t xml:space="preserve"> </w:t>
      </w:r>
      <w:r>
        <w:t xml:space="preserve">procedural exclusions (a priori), including dropout,</w:t>
      </w:r>
      <w:r>
        <w:t xml:space="preserve"> </w:t>
      </w:r>
      <w:r>
        <w:t xml:space="preserve">response time, and quality control items.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WHOQOL Scale:</w:t>
      </w:r>
      <w:r>
        <w:t xml:space="preserve"> </w:t>
      </w:r>
      <w:r>
        <w:t xml:space="preserve">diagnostic post-hoc indicators (Laz.R, Longstring,</w:t>
      </w:r>
      <w:r>
        <w:t xml:space="preserve"> </w:t>
      </w:r>
      <w:r>
        <w:t xml:space="preserve">Mahalanobis Distance, and IRV) with cut-off points estimated via the</w:t>
      </w:r>
      <w:r>
        <w:t xml:space="preserve"> </w:t>
      </w:r>
      <w:r>
        <w:t xml:space="preserve">Kneedle algorithm</w:t>
      </w:r>
      <w:r>
        <w:t xml:space="preserve"> </w:t>
      </w:r>
      <w:r>
        <w:t xml:space="preserve">(Biemann et al., 2025)</w:t>
      </w:r>
      <w:r>
        <w:t xml:space="preserve">.</w:t>
      </w:r>
    </w:p>
    <w:bookmarkEnd w:id="9"/>
    <w:bookmarkStart w:id="11" w:name="data-reading-and-preparation"/>
    <w:p>
      <w:pPr>
        <w:pStyle w:val="Heading2"/>
      </w:pPr>
      <w:r>
        <w:t xml:space="preserve">2 Data reading and preparation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data.csv</w:t>
      </w:r>
      <w:r>
        <w:t xml:space="preserve"> </w:t>
      </w:r>
      <w:r>
        <w:t xml:space="preserve">file contains the raw survey responses (separator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  <w:r>
        <w:t xml:space="preserve"> </w:t>
      </w:r>
      <w:r>
        <w:t xml:space="preserve">In this step, dropout records are removed, variables for the analytical flow</w:t>
      </w:r>
      <w:r>
        <w:t xml:space="preserve"> </w:t>
      </w:r>
      <w:r>
        <w:t xml:space="preserve">are selected, and the total response time (</w:t>
      </w:r>
      <w:r>
        <w:rPr>
          <w:rStyle w:val="VerbatimChar"/>
        </w:rPr>
        <w:t xml:space="preserve">TIME</w:t>
      </w:r>
      <w:r>
        <w:t xml:space="preserve">) is derived.</w:t>
      </w:r>
    </w:p>
    <w:p>
      <w:pPr>
        <w:pStyle w:val="SourceCode"/>
      </w:pPr>
      <w:r>
        <w:rPr>
          <w:rStyle w:val="VerbatimChar"/>
        </w:rPr>
        <w:t xml:space="preserve">Rows: 1,326</w:t>
      </w:r>
      <w:r>
        <w:br/>
      </w:r>
      <w:r>
        <w:rPr>
          <w:rStyle w:val="VerbatimChar"/>
        </w:rPr>
        <w:t xml:space="preserve">Columns: 33</w:t>
      </w:r>
      <w:r>
        <w:br/>
      </w:r>
      <w:r>
        <w:rPr>
          <w:rStyle w:val="VerbatimChar"/>
        </w:rPr>
        <w:t xml:space="preserve">$ ID       &lt;dbl&gt; 10441016017, 10440981694, 10440601239, 10440562981, 104403585…</w:t>
      </w:r>
      <w:r>
        <w:br/>
      </w:r>
      <w:r>
        <w:rPr>
          <w:rStyle w:val="VerbatimChar"/>
        </w:rPr>
        <w:t xml:space="preserve">$ CREATED  &lt;chr&gt; "28/12/2018 12:00", "28/12/2018 11:25", "28/12/2018 03:23", "…</w:t>
      </w:r>
      <w:r>
        <w:br/>
      </w:r>
      <w:r>
        <w:rPr>
          <w:rStyle w:val="VerbatimChar"/>
        </w:rPr>
        <w:t xml:space="preserve">$ MODIFIED &lt;chr&gt; "28/12/2018 12:20", "28/12/2018 11:47", "28/12/2018 03:39", "…</w:t>
      </w:r>
      <w:r>
        <w:br/>
      </w:r>
      <w:r>
        <w:rPr>
          <w:rStyle w:val="VerbatimChar"/>
        </w:rPr>
        <w:t xml:space="preserve">$ CQ1      &lt;dbl&gt; 1, 1, 1, 1, 1, 1, 1, 1, NA, 1, 1, 1, 1, 1, 1, 1, 1, 1, 1, 1, …</w:t>
      </w:r>
      <w:r>
        <w:br/>
      </w:r>
      <w:r>
        <w:rPr>
          <w:rStyle w:val="VerbatimChar"/>
        </w:rPr>
        <w:t xml:space="preserve">$ CQ2      &lt;dbl&gt; 1, 1, 1, 1, 1, 1, 1, 1, NA, 1, 1, 1, 1, 1, 1, 1, 1, 1, 1, 1, …</w:t>
      </w:r>
      <w:r>
        <w:br/>
      </w:r>
      <w:r>
        <w:rPr>
          <w:rStyle w:val="VerbatimChar"/>
        </w:rPr>
        <w:t xml:space="preserve">$ CQ3      &lt;dbl&gt; 1, 1, 1, 1, 1, 1, 1, 1, NA, 1, 1, 1, 1, 1, 1, 1, 1, 1, 1, 1, …</w:t>
      </w:r>
      <w:r>
        <w:br/>
      </w:r>
      <w:r>
        <w:rPr>
          <w:rStyle w:val="VerbatimChar"/>
        </w:rPr>
        <w:t xml:space="preserve">$ Q1       &lt;dbl&gt; 5, 3, 1, 4, 3, 4, 3, 4, 2, 5, 4, 3, 4, 2, 4, 5, 4, 5, 4, 4, 4…</w:t>
      </w:r>
      <w:r>
        <w:br/>
      </w:r>
      <w:r>
        <w:rPr>
          <w:rStyle w:val="VerbatimChar"/>
        </w:rPr>
        <w:t xml:space="preserve">$ Q2       &lt;dbl&gt; 5, 4, 1, 4, 4, 4, 4, 4, 2, 5, 4, NA, 4, 1, 4, 5, 4, 4, 4, 4, …</w:t>
      </w:r>
      <w:r>
        <w:br/>
      </w:r>
      <w:r>
        <w:rPr>
          <w:rStyle w:val="VerbatimChar"/>
        </w:rPr>
        <w:t xml:space="preserve">$ Q3       &lt;dbl&gt; 1, 2, 3, 2, 1, 1, 1, 1, 4, 2, 3, 2, 2, 3, 3, 1, 2, 2, 2, 3, 1…</w:t>
      </w:r>
      <w:r>
        <w:br/>
      </w:r>
      <w:r>
        <w:rPr>
          <w:rStyle w:val="VerbatimChar"/>
        </w:rPr>
        <w:t xml:space="preserve">$ Q4       &lt;dbl&gt; 1, 2, 2, 1, 1, 1, 2, 1, 4, 1, 3, 2, 2, 2, 2, 2, 2, 1, 2, 1, 1…</w:t>
      </w:r>
      <w:r>
        <w:br/>
      </w:r>
      <w:r>
        <w:rPr>
          <w:rStyle w:val="VerbatimChar"/>
        </w:rPr>
        <w:t xml:space="preserve">$ Q5       &lt;dbl&gt; 3, 3, 1, 3, 3, 3, 3, 3, 1, 4, 3, 4, 4, 1, 3, 4, 3, 5, 3, 4, 3…</w:t>
      </w:r>
      <w:r>
        <w:br/>
      </w:r>
      <w:r>
        <w:rPr>
          <w:rStyle w:val="VerbatimChar"/>
        </w:rPr>
        <w:t xml:space="preserve">$ Q6       &lt;dbl&gt; 4, 4, 1, 3, 5, 4, 3, 4, 4, 4, 5, 3, 3, 4, 4, 5, 3, 5, 4, 4, 3…</w:t>
      </w:r>
      <w:r>
        <w:br/>
      </w:r>
      <w:r>
        <w:rPr>
          <w:rStyle w:val="VerbatimChar"/>
        </w:rPr>
        <w:t xml:space="preserve">$ Q7       &lt;dbl&gt; 4, 3, 1, 3, 5, 4, 2, 3, 2, 4, 3, 2, 4, 2, 3, 4, 3, 4, 2, 3, 4…</w:t>
      </w:r>
      <w:r>
        <w:br/>
      </w:r>
      <w:r>
        <w:rPr>
          <w:rStyle w:val="VerbatimChar"/>
        </w:rPr>
        <w:t xml:space="preserve">$ Q8       &lt;dbl&gt; 1, 2, 1, 2, 2, 4, 4, 4, 2, 3, 2, 3, 3, 3, 2, 2, 4, 3, 3, 3, 2…</w:t>
      </w:r>
      <w:r>
        <w:br/>
      </w:r>
      <w:r>
        <w:rPr>
          <w:rStyle w:val="VerbatimChar"/>
        </w:rPr>
        <w:t xml:space="preserve">$ Q9       &lt;dbl&gt; 5, 4, 1, 2, 3, 4, 3, 4, 3, 3, 3, 3, 4, 1, 2, 3, 4, 4, 2, 3, 2…</w:t>
      </w:r>
      <w:r>
        <w:br/>
      </w:r>
      <w:r>
        <w:rPr>
          <w:rStyle w:val="VerbatimChar"/>
        </w:rPr>
        <w:t xml:space="preserve">$ Q10      &lt;dbl&gt; 5, 3, 1, 3, 5, 4, 2, 4, 2, 4, 4, 2, 3, 2, 3, 5, 4, 5, 3, 4, 4…</w:t>
      </w:r>
      <w:r>
        <w:br/>
      </w:r>
      <w:r>
        <w:rPr>
          <w:rStyle w:val="VerbatimChar"/>
        </w:rPr>
        <w:t xml:space="preserve">$ Q11      &lt;dbl&gt; 3, 3, 2, 3, 3, 4, 2, 3, 3, 5, 4, 2, 4, 1, 3, 5, 3, 5, 3, 4, 4…</w:t>
      </w:r>
      <w:r>
        <w:br/>
      </w:r>
      <w:r>
        <w:rPr>
          <w:rStyle w:val="VerbatimChar"/>
        </w:rPr>
        <w:t xml:space="preserve">$ Q12      &lt;dbl&gt; 5, 3, 1, 3, 3, 3, 3, 3, 2, 5, 3, 3, 3, 3, 3, 4, 4, 4, 3, 4, 4…</w:t>
      </w:r>
      <w:r>
        <w:br/>
      </w:r>
      <w:r>
        <w:rPr>
          <w:rStyle w:val="VerbatimChar"/>
        </w:rPr>
        <w:t xml:space="preserve">$ Q13      &lt;dbl&gt; 5, 3, 2, 4, 3, 3, 4, 4, 3, 5, 3, 3, 4, 3, 3, 5, 3, 4, 2, 4, 3…</w:t>
      </w:r>
      <w:r>
        <w:br/>
      </w:r>
      <w:r>
        <w:rPr>
          <w:rStyle w:val="VerbatimChar"/>
        </w:rPr>
        <w:t xml:space="preserve">$ Q14      &lt;dbl&gt; 4, 3, 1, 4, 2, 3, 3, 5, 2, 4, 4, 4, 3, 4, 3, 5, 3, 3, 2, 4, 3…</w:t>
      </w:r>
      <w:r>
        <w:br/>
      </w:r>
      <w:r>
        <w:rPr>
          <w:rStyle w:val="VerbatimChar"/>
        </w:rPr>
        <w:t xml:space="preserve">$ Q15      &lt;dbl&gt; 5, 4, 1, 5, 5, 5, 5, 5, 1, 5, 5, 3, 4, 4, 3, 5, 4, 5, 4, 4, 4…</w:t>
      </w:r>
      <w:r>
        <w:br/>
      </w:r>
      <w:r>
        <w:rPr>
          <w:rStyle w:val="VerbatimChar"/>
        </w:rPr>
        <w:t xml:space="preserve">$ Q16      &lt;dbl&gt; 5, 3, 5, 5, 5, 4, 3, 3, 2, 5, 3, 2, 5, 2, 2, 5, 4, 3, 4, 4, 3…</w:t>
      </w:r>
      <w:r>
        <w:br/>
      </w:r>
      <w:r>
        <w:rPr>
          <w:rStyle w:val="VerbatimChar"/>
        </w:rPr>
        <w:t xml:space="preserve">$ Q17      &lt;dbl&gt; 4, 3, 5, 5, 5, 4, 4, 5, 2, 5, 4, 2, 4, 2, 3, 5, 4, 4, 4, 4, 4…</w:t>
      </w:r>
      <w:r>
        <w:br/>
      </w:r>
      <w:r>
        <w:rPr>
          <w:rStyle w:val="VerbatimChar"/>
        </w:rPr>
        <w:t xml:space="preserve">$ Q18      &lt;dbl&gt; 4, 3, 5, 5, 5, 4, 3, 4, 2, 5, 4, 2, 4, 2, 3, 5, 4, 5, 4, 4, 4…</w:t>
      </w:r>
      <w:r>
        <w:br/>
      </w:r>
      <w:r>
        <w:rPr>
          <w:rStyle w:val="VerbatimChar"/>
        </w:rPr>
        <w:t xml:space="preserve">$ Q19      &lt;dbl&gt; 4, 4, 5, 5, 5, 4, 2, 3, 3, 5, 4, 2, 4, 2, 3, 5, 3, 4, 5, 5, 3…</w:t>
      </w:r>
      <w:r>
        <w:br/>
      </w:r>
      <w:r>
        <w:rPr>
          <w:rStyle w:val="VerbatimChar"/>
        </w:rPr>
        <w:t xml:space="preserve">$ Q20      &lt;dbl&gt; 2, 3, 3, 5, 5, 4, 4, 4, 3, 4, 4, 3, 3, 3, 2, 5, 3, 4, 3, 5, 3…</w:t>
      </w:r>
      <w:r>
        <w:br/>
      </w:r>
      <w:r>
        <w:rPr>
          <w:rStyle w:val="VerbatimChar"/>
        </w:rPr>
        <w:t xml:space="preserve">$ Q21      &lt;dbl&gt; 2, 3, 2, 5, 5, 4, 2, 3, 2, 4, 2, 4, 4, 2, 2, 5, 3, 4, 4, 4, 4…</w:t>
      </w:r>
      <w:r>
        <w:br/>
      </w:r>
      <w:r>
        <w:rPr>
          <w:rStyle w:val="VerbatimChar"/>
        </w:rPr>
        <w:t xml:space="preserve">$ Q22      &lt;dbl&gt; 5, 3, 3, 5, 5, 4, 2, 3, 3, 4, 4, 3, 2, 3, 2, 4, 4, 4, 3, 5, 3…</w:t>
      </w:r>
      <w:r>
        <w:br/>
      </w:r>
      <w:r>
        <w:rPr>
          <w:rStyle w:val="VerbatimChar"/>
        </w:rPr>
        <w:t xml:space="preserve">$ Q23      &lt;dbl&gt; 5, 3, 3, 5, 2, 4, 2, 4, 3, 5, 5, 3, 4, 4, 4, 4, 4, 5, 4, 5, 4…</w:t>
      </w:r>
      <w:r>
        <w:br/>
      </w:r>
      <w:r>
        <w:rPr>
          <w:rStyle w:val="VerbatimChar"/>
        </w:rPr>
        <w:t xml:space="preserve">$ Q24      &lt;dbl&gt; 2, 2, 3, 4, 2, 4, 2, 5, 2, 4, 2, 3, 2, 4, 4, 5, 4, 3, 4, 4, 4…</w:t>
      </w:r>
      <w:r>
        <w:br/>
      </w:r>
      <w:r>
        <w:rPr>
          <w:rStyle w:val="VerbatimChar"/>
        </w:rPr>
        <w:t xml:space="preserve">$ Q25      &lt;dbl&gt; 2, 2, 3, 4, 3, 4, 2, 5, 3, 4, 3, 3, 3, 3, 2, 5, 4, 4, 4, 4, 3…</w:t>
      </w:r>
      <w:r>
        <w:br/>
      </w:r>
      <w:r>
        <w:rPr>
          <w:rStyle w:val="VerbatimChar"/>
        </w:rPr>
        <w:t xml:space="preserve">$ Q26      &lt;dbl&gt; 2, 2, 4, 1, 1, 2, 2, 3, 1, 2, 2, 3, 1, 2, 3, 2, 2, 2, 3, 1, 2…</w:t>
      </w:r>
      <w:r>
        <w:br/>
      </w:r>
      <w:r>
        <w:rPr>
          <w:rStyle w:val="VerbatimChar"/>
        </w:rPr>
        <w:t xml:space="preserve">$ TIME     &lt;dbl&gt; 1200, 1320, 960, 1260, 1140, 1140, 540, 1080, 1380, 660, 1620…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0">
        <w:r>
          <w:rPr>
            <w:rStyle w:val="Hyperlink"/>
            <w:vertAlign w:val="subscript"/>
          </w:rPr>
          <w:t xml:space="preserve">Procedural exclusions</w:t>
        </w:r>
      </w:hyperlink>
    </w:p>
    <w:bookmarkEnd w:id="11"/>
    <w:bookmarkStart w:id="14" w:name="procedural-exclusions"/>
    <w:p>
      <w:pPr>
        <w:pStyle w:val="Heading2"/>
      </w:pPr>
      <w:r>
        <w:t xml:space="preserve">3 Procedural exclusions</w:t>
      </w:r>
    </w:p>
    <w:p>
      <w:pPr>
        <w:pStyle w:val="FirstParagraph"/>
      </w:pPr>
      <w:r>
        <w:t xml:space="preserve">Level 1 applies three procedures prior to calculating post-hoc indicators:</w:t>
      </w:r>
      <w:r>
        <w:t xml:space="preserve"> </w:t>
      </w:r>
      <w:r>
        <w:t xml:space="preserve">dropout removal, exclusion for response time below 208 seconds</w:t>
      </w:r>
      <w:r>
        <w:t xml:space="preserve"> </w:t>
      </w:r>
      <w:r>
        <w:t xml:space="preserve">(104 items × 2 s/item)</w:t>
      </w:r>
      <w:r>
        <w:t xml:space="preserve"> </w:t>
      </w:r>
      <w:r>
        <w:t xml:space="preserve">(Huang et al., 2026)</w:t>
      </w:r>
      <w:r>
        <w:t xml:space="preserve">, and exclusion for two or more failures</w:t>
      </w:r>
      <w:r>
        <w:t xml:space="preserve"> </w:t>
      </w:r>
      <w:r>
        <w:t xml:space="preserve">on quality control items (</w:t>
      </w:r>
      <w:r>
        <w:rPr>
          <w:rStyle w:val="VerbatimChar"/>
        </w:rPr>
        <w:t xml:space="preserve">CQ1-CQ3</w:t>
      </w:r>
      <w:r>
        <w:t xml:space="preserve">)</w:t>
      </w:r>
      <w:r>
        <w:t xml:space="preserve"> </w:t>
      </w:r>
      <w:r>
        <w:t xml:space="preserve">(Curran, 2016)</w:t>
      </w:r>
      <w:r>
        <w:t xml:space="preserve">. Every exclusion is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exclusion_log.csv</w:t>
      </w:r>
      <w:r>
        <w:t xml:space="preserve"> </w:t>
      </w:r>
      <w:r>
        <w:t xml:space="preserve">with its reason and criterion.</w:t>
      </w:r>
    </w:p>
    <w:bookmarkStart w:id="12" w:name="level-1-summary"/>
    <w:p>
      <w:pPr>
        <w:pStyle w:val="TableCaption"/>
      </w:pPr>
      <w:r>
        <w:t xml:space="preserve">Procedural exclusions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cedural exclusions summary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Dropouts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time (&lt; 208 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QC (≥ 2 fails)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 by missings (&gt; 5 in Q1-Q26)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Eligible for Level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 NAs in Q1-Q26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</w:tr>
    </w:tbl>
    <w:bookmarkEnd w:id="12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13">
        <w:r>
          <w:rPr>
            <w:rStyle w:val="Hyperlink"/>
            <w:vertAlign w:val="subscript"/>
          </w:rPr>
          <w:t xml:space="preserve">Procedural exclusions</w:t>
        </w:r>
      </w:hyperlink>
    </w:p>
    <w:bookmarkEnd w:id="14"/>
    <w:bookmarkStart w:id="56" w:name="calculation-of-cier-indicators"/>
    <w:p>
      <w:pPr>
        <w:pStyle w:val="Heading2"/>
      </w:pPr>
      <w:r>
        <w:t xml:space="preserve">4 Calculation of C/IER indicators</w:t>
      </w:r>
    </w:p>
    <w:p>
      <w:pPr>
        <w:pStyle w:val="FirstParagraph"/>
      </w:pPr>
      <w:r>
        <w:t xml:space="preserve">Each indicator captures distinct manifestations of C/IER; their concurrent</w:t>
      </w:r>
      <w:r>
        <w:t xml:space="preserve"> </w:t>
      </w:r>
      <w:r>
        <w:t xml:space="preserve">presence offers stronger evidence than any single indicator alone</w:t>
      </w:r>
      <w:r>
        <w:t xml:space="preserve"> </w:t>
      </w:r>
      <w:r>
        <w:t xml:space="preserve">(Curran, 2016; Hong et al., 2020; Huang et al., 2026)</w:t>
      </w:r>
      <w:r>
        <w:t xml:space="preserve">.</w:t>
      </w:r>
    </w:p>
    <w:bookmarkStart w:id="27" w:name="univariate-visualization"/>
    <w:p>
      <w:pPr>
        <w:pStyle w:val="Heading3"/>
      </w:pPr>
      <w:r>
        <w:t xml:space="preserve">4.1 Univariate visualization</w:t>
      </w:r>
    </w:p>
    <w:p>
      <w:pPr>
        <w:pStyle w:val="FirstParagraph"/>
      </w:pPr>
      <w:r>
        <w:t xml:space="preserve">Each respondent receives the values of the four indicators in a consolidated</w:t>
      </w:r>
      <w:r>
        <w:t xml:space="preserve"> </w:t>
      </w:r>
      <w:r>
        <w:t xml:space="preserve">tibble, and the plots below show the univariate distribution of each one.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Output/DataAppendixOutput/Figures/viz-laz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Longstring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Output/DataAppendixOutput/Figures/viz-longst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Mahalanobis Distance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Output/DataAppendixOutput/Figures/viz-m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IRV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Output/DataAppendixOutput/Figures/viz-irv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cut-off-points-via-kneedle-algorithm"/>
    <w:p>
      <w:pPr>
        <w:pStyle w:val="Heading3"/>
      </w:pPr>
      <w:r>
        <w:t xml:space="preserve">4.2 Cut-off points via Kneedle algorithm</w:t>
      </w:r>
    </w:p>
    <w:p>
      <w:pPr>
        <w:pStyle w:val="FirstParagraph"/>
      </w:pPr>
      <w:r>
        <w:t xml:space="preserve">The Kneedle algorithm is applied to the sorted (descending) curve of each indicator.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Laz.R</w:t>
      </w:r>
      <w:r>
        <w:t xml:space="preserve">,</w:t>
      </w:r>
      <w:r>
        <w:t xml:space="preserve"> </w:t>
      </w:r>
      <w:r>
        <w:rPr>
          <w:b/>
          <w:bCs/>
        </w:rPr>
        <w:t xml:space="preserve">Longstring</w:t>
      </w:r>
      <w:r>
        <w:t xml:space="preserve">, and</w:t>
      </w:r>
      <w:r>
        <w:t xml:space="preserve"> </w:t>
      </w:r>
      <w:r>
        <w:rPr>
          <w:b/>
          <w:bCs/>
        </w:rPr>
        <w:t xml:space="preserve">MD</w:t>
      </w:r>
      <w:r>
        <w:t xml:space="preserve">, kneedle with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identifies</w:t>
      </w:r>
      <w:r>
        <w:t xml:space="preserve"> </w:t>
      </w:r>
      <w:r>
        <w:t xml:space="preserve">where extremely high values separate from the majority (right tail).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IRV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= -1</w:t>
      </w:r>
      <w:r>
        <w:t xml:space="preserve"> </w:t>
      </w:r>
      <w:r>
        <w:t xml:space="preserve">is used to detect excessively high IRV and</w:t>
      </w:r>
      <w:r>
        <w:t xml:space="preserve"> </w:t>
      </w:r>
      <w:r>
        <w:rPr>
          <w:rStyle w:val="VerbatimChar"/>
        </w:rPr>
        <w:t xml:space="preserve">sign = +1</w:t>
      </w:r>
      <w:r>
        <w:t xml:space="preserve"> </w:t>
      </w:r>
      <w:r>
        <w:t xml:space="preserve">for excessively low IRV, since both extremes can be considered suspicious.</w:t>
      </w:r>
    </w:p>
    <w:bookmarkStart w:id="28" w:name="kneedle-cutoffs"/>
    <w:p>
      <w:pPr>
        <w:pStyle w:val="TableCaption"/>
      </w:pPr>
      <w:r>
        <w:t xml:space="preserve">Cut-off points — Kneedle algorithm (Biemann et al., 2025)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t-off points — Kneedle algorithm (Biemann et al., 2025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Critical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Laz.R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(high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 (low end)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</w:tbl>
    <w:bookmarkEnd w:id="28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9">
        <w:r>
          <w:rPr>
            <w:rStyle w:val="Hyperlink"/>
            <w:vertAlign w:val="subscript"/>
          </w:rPr>
          <w:t xml:space="preserve">Post-hoc C/IER Indicators</w:t>
        </w:r>
      </w:hyperlink>
    </w:p>
    <w:bookmarkEnd w:id="30"/>
    <w:bookmarkStart w:id="43" w:name="plots-with-cut-off-points"/>
    <w:p>
      <w:pPr>
        <w:pStyle w:val="Heading3"/>
      </w:pPr>
      <w:r>
        <w:t xml:space="preserve">4.3 Plots with cut-off points</w:t>
      </w:r>
    </w:p>
    <w:p>
      <w:pPr>
        <w:pStyle w:val="Heading4"/>
      </w:pPr>
      <w:r>
        <w:t xml:space="preserve">Laz.R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Output/DataAppendixOutput/Figures/cum-lazr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Longstring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Output/DataAppendixOutput/Figures/cum-longst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Mahalanobis Distance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Output/DataAppendixOutput/Figures/cum-m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IRV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Output/DataAppendixOutput/Figures/cum-irv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55" w:name="cier-flags"/>
    <w:p>
      <w:pPr>
        <w:pStyle w:val="Heading3"/>
      </w:pPr>
      <w:r>
        <w:t xml:space="preserve">4.4 C/IER Flags</w:t>
      </w:r>
    </w:p>
    <w:p>
      <w:pPr>
        <w:pStyle w:val="FirstParagraph"/>
      </w:pPr>
      <w:r>
        <w:t xml:space="preserve">For each indicator, a</w:t>
      </w:r>
      <w:r>
        <w:t xml:space="preserve"> </w:t>
      </w:r>
      <w:r>
        <w:rPr>
          <w:rStyle w:val="VerbatimChar"/>
        </w:rPr>
        <w:t xml:space="preserve">_FLAG</w:t>
      </w:r>
      <w:r>
        <w:t xml:space="preserve"> </w:t>
      </w:r>
      <w:r>
        <w:t xml:space="preserve">variable is created (</w:t>
      </w:r>
      <w:r>
        <w:rPr>
          <w:rStyle w:val="VerbatimChar"/>
        </w:rPr>
        <w:t xml:space="preserve">1</w:t>
      </w:r>
      <w:r>
        <w:t xml:space="preserve"> </w:t>
      </w:r>
      <w:r>
        <w:t xml:space="preserve">= flagged,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not flagged) based on the Kneedle cut-off points.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Post-hoc indicators are</w:t>
      </w:r>
      <w:r>
        <w:t xml:space="preserve"> </w:t>
      </w:r>
      <w:r>
        <w:rPr>
          <w:b/>
          <w:bCs/>
        </w:rPr>
        <w:t xml:space="preserve">diagnostic</w:t>
      </w:r>
      <w:r>
        <w:t xml:space="preserve">, they do not trigger automatic</w:t>
      </w:r>
      <w:r>
        <w:t xml:space="preserve"> </w:t>
      </w:r>
      <w:r>
        <w:t xml:space="preserve">exclusion in this phase. The composite flag array will be used for inspection and</w:t>
      </w:r>
      <w:r>
        <w:t xml:space="preserve"> </w:t>
      </w:r>
      <w:r>
        <w:t xml:space="preserve">evaluation through the</w:t>
      </w:r>
      <w:r>
        <w:t xml:space="preserve"> </w:t>
      </w:r>
      <w:r>
        <w:rPr>
          <w:rStyle w:val="VerbatimChar"/>
        </w:rPr>
        <w:t xml:space="preserve">whoqol_screened.csv</w:t>
      </w:r>
      <w:r>
        <w:t xml:space="preserve"> </w:t>
      </w:r>
      <w:r>
        <w:t xml:space="preserve">file.</w:t>
      </w:r>
    </w:p>
    <w:bookmarkStart w:id="44" w:name="flags-overview"/>
    <w:p>
      <w:pPr>
        <w:pStyle w:val="TableCaption"/>
      </w:pPr>
      <w:r>
        <w:t xml:space="preserve">Summary of flagged C/IER respondents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flagged C/IER respondent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flagged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Longstr_FLAG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IRV_high_FLAG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IRV_low_FLAG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</w:tbl>
    <w:bookmarkEnd w:id="4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5">
        <w:r>
          <w:rPr>
            <w:rStyle w:val="Hyperlink"/>
            <w:vertAlign w:val="subscript"/>
          </w:rPr>
          <w:t xml:space="preserve">Post-hoc C/IER Indicators</w:t>
        </w:r>
      </w:hyperlink>
    </w:p>
    <w:bookmarkStart w:id="54" w:name="refs"/>
    <w:bookmarkStart w:id="47" w:name="ref-biemann2025"/>
    <w:p>
      <w:pPr>
        <w:pStyle w:val="Bibliography"/>
      </w:pPr>
      <w:r>
        <w:t xml:space="preserve">Biemann, T., Koch-Bayram, I. F., Meier-Barthold, M., &amp; Aguinis, H. (2025). Using</w:t>
      </w:r>
      <w:r>
        <w:t xml:space="preserve"> </w:t>
      </w:r>
      <w:r>
        <w:t xml:space="preserve">Markov Chains</w:t>
      </w:r>
      <w:r>
        <w:t xml:space="preserve"> </w:t>
      </w:r>
      <w:r>
        <w:t xml:space="preserve">to</w:t>
      </w:r>
      <w:r>
        <w:t xml:space="preserve"> </w:t>
      </w:r>
      <w:r>
        <w:t xml:space="preserve">Detect Careless Responding</w:t>
      </w:r>
      <w:r>
        <w:t xml:space="preserve"> </w:t>
      </w:r>
      <w:r>
        <w:t xml:space="preserve">in</w:t>
      </w:r>
      <w:r>
        <w:t xml:space="preserve"> </w:t>
      </w:r>
      <w:r>
        <w:t xml:space="preserve">Survey Research</w:t>
      </w:r>
      <w:r>
        <w:t xml:space="preserve">.</w:t>
      </w:r>
      <w:r>
        <w:t xml:space="preserve"> </w:t>
      </w:r>
      <w:r>
        <w:rPr>
          <w:i/>
          <w:iCs/>
        </w:rPr>
        <w:t xml:space="preserve">Organizational Research Methods</w:t>
      </w:r>
      <w:r>
        <w:t xml:space="preserve">,</w:t>
      </w:r>
      <w:r>
        <w:t xml:space="preserve"> </w:t>
      </w:r>
      <w:r>
        <w:rPr>
          <w:i/>
          <w:iCs/>
        </w:rPr>
        <w:t xml:space="preserve">28</w:t>
      </w:r>
      <w:r>
        <w:t xml:space="preserve">(4), 543–568.</w:t>
      </w:r>
      <w:r>
        <w:t xml:space="preserve"> </w:t>
      </w:r>
      <w:hyperlink r:id="rId46">
        <w:r>
          <w:rPr>
            <w:rStyle w:val="Hyperlink"/>
          </w:rPr>
          <w:t xml:space="preserve">https://doi.org/10.1177/10944281251334778</w:t>
        </w:r>
      </w:hyperlink>
    </w:p>
    <w:bookmarkEnd w:id="47"/>
    <w:bookmarkStart w:id="49" w:name="ref-curran2016"/>
    <w:p>
      <w:pPr>
        <w:pStyle w:val="Bibliography"/>
      </w:pPr>
      <w:r>
        <w:t xml:space="preserve">Curran, P. G. (2016). Methods for the detection of carelessly invalid responses in survey data.</w:t>
      </w:r>
      <w:r>
        <w:t xml:space="preserve"> </w:t>
      </w:r>
      <w:r>
        <w:rPr>
          <w:i/>
          <w:iCs/>
        </w:rPr>
        <w:t xml:space="preserve">Journal of Experimental Social Psychology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, 4–19.</w:t>
      </w:r>
      <w:r>
        <w:t xml:space="preserve"> </w:t>
      </w:r>
      <w:hyperlink r:id="rId48">
        <w:r>
          <w:rPr>
            <w:rStyle w:val="Hyperlink"/>
          </w:rPr>
          <w:t xml:space="preserve">https://doi.org/10.1016/j.jesp.2015.07.006</w:t>
        </w:r>
      </w:hyperlink>
    </w:p>
    <w:bookmarkEnd w:id="49"/>
    <w:bookmarkStart w:id="51" w:name="ref-hong2020"/>
    <w:p>
      <w:pPr>
        <w:pStyle w:val="Bibliography"/>
      </w:pPr>
      <w:r>
        <w:t xml:space="preserve">Hong, M., Steedle, J. T., &amp; Cheng, Y. (2020). Methods of</w:t>
      </w:r>
      <w:r>
        <w:t xml:space="preserve"> </w:t>
      </w:r>
      <w:r>
        <w:t xml:space="preserve">Detecting Insufficient Effort Responding</w:t>
      </w:r>
      <w:r>
        <w:t xml:space="preserve">:</w:t>
      </w:r>
      <w:r>
        <w:t xml:space="preserve"> </w:t>
      </w:r>
      <w:r>
        <w:t xml:space="preserve">Comparisons</w:t>
      </w:r>
      <w:r>
        <w:t xml:space="preserve"> </w:t>
      </w:r>
      <w:r>
        <w:t xml:space="preserve">and</w:t>
      </w:r>
      <w:r>
        <w:t xml:space="preserve"> </w:t>
      </w:r>
      <w:r>
        <w:t xml:space="preserve">Practical Recommendations</w:t>
      </w:r>
      <w:r>
        <w:t xml:space="preserve">.</w:t>
      </w:r>
      <w:r>
        <w:t xml:space="preserve"> </w:t>
      </w:r>
      <w:r>
        <w:rPr>
          <w:i/>
          <w:iCs/>
        </w:rPr>
        <w:t xml:space="preserve">Educ Psychol Meas</w:t>
      </w:r>
      <w:r>
        <w:t xml:space="preserve">,</w:t>
      </w:r>
      <w:r>
        <w:t xml:space="preserve"> </w:t>
      </w:r>
      <w:r>
        <w:rPr>
          <w:i/>
          <w:iCs/>
        </w:rPr>
        <w:t xml:space="preserve">80</w:t>
      </w:r>
      <w:r>
        <w:t xml:space="preserve">(2), 312–345.</w:t>
      </w:r>
      <w:r>
        <w:t xml:space="preserve"> </w:t>
      </w:r>
      <w:hyperlink r:id="rId50">
        <w:r>
          <w:rPr>
            <w:rStyle w:val="Hyperlink"/>
          </w:rPr>
          <w:t xml:space="preserve">https://doi.org/10.1177/0013164419865316</w:t>
        </w:r>
      </w:hyperlink>
    </w:p>
    <w:bookmarkEnd w:id="51"/>
    <w:bookmarkStart w:id="53" w:name="ref-huang2026"/>
    <w:p>
      <w:pPr>
        <w:pStyle w:val="Bibliography"/>
      </w:pPr>
      <w:r>
        <w:t xml:space="preserve">Huang, J. L., Wang, Z., Huang, R., Wu, D., &amp; Shi, H. (2026).</w:t>
      </w:r>
      <w:r>
        <w:t xml:space="preserve"> </w:t>
      </w:r>
      <w:r>
        <w:rPr>
          <w:i/>
          <w:iCs/>
        </w:rPr>
        <w:t xml:space="preserve">Insufficient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Effort Responding</w:t>
      </w:r>
      <w:r>
        <w:rPr>
          <w:i/>
          <w:iCs/>
        </w:rP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Research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 Critical Review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Future Directions</w:t>
      </w:r>
      <w:r>
        <w:t xml:space="preserve">.</w:t>
      </w:r>
      <w:r>
        <w:t xml:space="preserve"> </w:t>
      </w:r>
      <w:r>
        <w:rPr>
          <w:i/>
          <w:iCs/>
        </w:rPr>
        <w:t xml:space="preserve">52</w:t>
      </w:r>
      <w:r>
        <w:t xml:space="preserve">(1).</w:t>
      </w:r>
      <w:r>
        <w:t xml:space="preserve"> </w:t>
      </w:r>
      <w:hyperlink r:id="rId52">
        <w:r>
          <w:rPr>
            <w:rStyle w:val="Hyperlink"/>
          </w:rPr>
          <w:t xml:space="preserve">https://doi.org/10.1177/01492063251330268</w:t>
        </w:r>
      </w:hyperlink>
    </w:p>
    <w:bookmarkEnd w:id="53"/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24" Target="media/rId24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48" Target="https://doi.org/10.1016/j.jesp.2015.07.006" TargetMode="External" /><Relationship Type="http://schemas.openxmlformats.org/officeDocument/2006/relationships/hyperlink" Id="rId50" Target="https://doi.org/10.1177/0013164419865316" TargetMode="External" /><Relationship Type="http://schemas.openxmlformats.org/officeDocument/2006/relationships/hyperlink" Id="rId52" Target="https://doi.org/10.1177/01492063251330268" TargetMode="External" /><Relationship Type="http://schemas.openxmlformats.org/officeDocument/2006/relationships/hyperlink" Id="rId46" Target="https://doi.org/10.1177/10944281251334778" TargetMode="External" /><Relationship Type="http://schemas.openxmlformats.org/officeDocument/2006/relationships/hyperlink" Id="rId10" Target="https://phdpablo.github.io/cier/Scripts\ProcessingScripts\01_procedural-preview.html#cell-data-reading" TargetMode="External" /><Relationship Type="http://schemas.openxmlformats.org/officeDocument/2006/relationships/hyperlink" Id="rId13" Target="https://phdpablo.github.io/cier/Scripts\ProcessingScripts\01_procedural-preview.html#cell-level-1-summary" TargetMode="External" /><Relationship Type="http://schemas.openxmlformats.org/officeDocument/2006/relationships/hyperlink" Id="rId45" Target="https://phdpablo.github.io/cier/Scripts\ProcessingScripts\02_posthoc-preview.html#cell-flags-overview" TargetMode="External" /><Relationship Type="http://schemas.openxmlformats.org/officeDocument/2006/relationships/hyperlink" Id="rId29" Target="https://phdpablo.github.io/cier/Scripts\ProcessingScripts\02_posthoc-preview.html#cell-kneedle-cutof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doi.org/10.1016/j.jesp.2015.07.006" TargetMode="External" /><Relationship Type="http://schemas.openxmlformats.org/officeDocument/2006/relationships/hyperlink" Id="rId50" Target="https://doi.org/10.1177/0013164419865316" TargetMode="External" /><Relationship Type="http://schemas.openxmlformats.org/officeDocument/2006/relationships/hyperlink" Id="rId52" Target="https://doi.org/10.1177/01492063251330268" TargetMode="External" /><Relationship Type="http://schemas.openxmlformats.org/officeDocument/2006/relationships/hyperlink" Id="rId46" Target="https://doi.org/10.1177/10944281251334778" TargetMode="External" /><Relationship Type="http://schemas.openxmlformats.org/officeDocument/2006/relationships/hyperlink" Id="rId10" Target="https://phdpablo.github.io/cier/Scripts\ProcessingScripts\01_procedural-preview.html#cell-data-reading" TargetMode="External" /><Relationship Type="http://schemas.openxmlformats.org/officeDocument/2006/relationships/hyperlink" Id="rId13" Target="https://phdpablo.github.io/cier/Scripts\ProcessingScripts\01_procedural-preview.html#cell-level-1-summary" TargetMode="External" /><Relationship Type="http://schemas.openxmlformats.org/officeDocument/2006/relationships/hyperlink" Id="rId45" Target="https://phdpablo.github.io/cier/Scripts\ProcessingScripts\02_posthoc-preview.html#cell-flags-overview" TargetMode="External" /><Relationship Type="http://schemas.openxmlformats.org/officeDocument/2006/relationships/hyperlink" Id="rId29" Target="https://phdpablo.github.io/cier/Scripts\ProcessingScripts\02_posthoc-preview.html#cell-kneedle-cutof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Careless/Insufficient Effort Responding (C/IER) Detection</dc:title>
  <dc:creator>Pablo Rogers</dc:creator>
  <cp:keywords>Careless Responding, Insufficient Effort Responding, Laz.R, Longstring, Mahalanobis Distance, IRV</cp:keywords>
  <dcterms:created xsi:type="dcterms:W3CDTF">2026-08-27T14:23:58Z</dcterms:created>
  <dcterms:modified xsi:type="dcterms:W3CDTF">2026-08-27T14:23:58Z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notebook presents a tutorial on the detection of careless or insufficient effort responding (C/IER) in self-report questionnaires. We use real database from WHOQOL-Bref scale as an example (n = 1,546), and we apply the ‘careless’ package and Laz.R (Biemann et al., 2025) to detect C/IER (post hoc indicators). We also discuss the importance of procedural C/IER detection in the quality control of data obtained through self-report questionnaires.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apa7ed.csl</vt:lpwstr>
  </property>
  <property fmtid="{D5CDD505-2E9C-101B-9397-08002B2CF9AE}" pid="11" name="date">
    <vt:lpwstr>2026-04-03</vt:lpwstr>
  </property>
  <property fmtid="{D5CDD505-2E9C-101B-9397-08002B2CF9AE}" pid="12" name="editor">
    <vt:lpwstr>source</vt:lpwstr>
  </property>
  <property fmtid="{D5CDD505-2E9C-101B-9397-08002B2CF9AE}" pid="13" name="engines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