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4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Detecção de Careless/Insufficient Effort Responding (C/IER)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This… (abstract text here)</w:t>
      </w:r>
    </w:p>
    <w:bookmarkStart w:id="20" w:name="contextualização"/>
    <w:p>
      <w:pPr>
        <w:pStyle w:val="Heading2"/>
      </w:pPr>
      <w:r>
        <w:t xml:space="preserve">1 Contextualização</w:t>
      </w:r>
    </w:p>
    <w:p>
      <w:pPr>
        <w:pStyle w:val="FirstParagraph"/>
      </w:pPr>
      <w:r>
        <w:t xml:space="preserve">A detecção de Careless ou Insufficient Effort Responding (C/IER) é uma etapa</w:t>
      </w:r>
      <w:r>
        <w:t xml:space="preserve"> </w:t>
      </w:r>
      <w:r>
        <w:t xml:space="preserve">essencial no controle de qualidade de dados obtidos por questionários de</w:t>
      </w:r>
      <w:r>
        <w:t xml:space="preserve"> </w:t>
      </w:r>
      <w:r>
        <w:t xml:space="preserve">autorrelato. O C/IER se manifesta quando respondentes preenchem o instrumento</w:t>
      </w:r>
      <w:r>
        <w:t xml:space="preserve"> </w:t>
      </w:r>
      <w:r>
        <w:t xml:space="preserve">sem atenção ao conteúdo dos itens, comprometendo a validade das inferências</w:t>
      </w:r>
      <w:r>
        <w:t xml:space="preserve"> </w:t>
      </w:r>
      <w:r>
        <w:t xml:space="preserve">psicométricas e substantivas derivadas dos dados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O fluxo analítico deste documento segue três níveis sequenciais de detecção: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Questionário:</w:t>
      </w:r>
      <w:r>
        <w:t xml:space="preserve"> </w:t>
      </w:r>
      <w:r>
        <w:t xml:space="preserve">exclusões procedimentais (a priori), incluindo</w:t>
      </w:r>
      <w:r>
        <w:t xml:space="preserve"> </w:t>
      </w:r>
      <w:r>
        <w:t xml:space="preserve">abandono, tempo de resposta e itens de controle de qualidade.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Escala WHOQOL:</w:t>
      </w:r>
      <w:r>
        <w:t xml:space="preserve"> </w:t>
      </w:r>
      <w:r>
        <w:t xml:space="preserve">indicadores post hoc diagnósticos (Laz.R,</w:t>
      </w:r>
      <w:r>
        <w:t xml:space="preserve"> </w:t>
      </w:r>
      <w:r>
        <w:t xml:space="preserve">Longstring, Mahalanobis Distance e IRV) com pontos de corte estimados via</w:t>
      </w:r>
      <w:r>
        <w:t xml:space="preserve"> </w:t>
      </w:r>
      <w:r>
        <w:t xml:space="preserve">algoritmo Kneedle</w:t>
      </w:r>
      <w:r>
        <w:t xml:space="preserve"> </w:t>
      </w:r>
      <w:r>
        <w:t xml:space="preserve">(Biemann et al., 2025)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Itens:</w:t>
      </w:r>
      <w:r>
        <w:t xml:space="preserve"> </w:t>
      </w:r>
      <w:r>
        <w:t xml:space="preserve">diagnóstico de multicolinearidade via VIF para</w:t>
      </w:r>
      <w:r>
        <w:t xml:space="preserve"> </w:t>
      </w:r>
      <w:r>
        <w:t xml:space="preserve">antecipar problemas de convergência na AFC.</w:t>
      </w:r>
    </w:p>
    <w:bookmarkEnd w:id="20"/>
    <w:bookmarkStart w:id="22" w:name="leitura-e-preparação-dos-dados"/>
    <w:p>
      <w:pPr>
        <w:pStyle w:val="Heading2"/>
      </w:pPr>
      <w:r>
        <w:t xml:space="preserve">2 Leitura e preparação dos dados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contém as respostas brutas do questionário (separador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Nesta etapa, removem-se registros de abandono, selecionam-se as variáveis do</w:t>
      </w:r>
      <w:r>
        <w:t xml:space="preserve"> </w:t>
      </w:r>
      <w:r>
        <w:t xml:space="preserve">fluxo analítico e deriva-se o tempo total de resposta (</w:t>
      </w:r>
      <w:r>
        <w:rPr>
          <w:rStyle w:val="VerbatimChar"/>
        </w:rPr>
        <w:t xml:space="preserve">TIME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Exclusões procedimentais</w:t>
        </w:r>
      </w:hyperlink>
    </w:p>
    <w:bookmarkEnd w:id="22"/>
    <w:bookmarkStart w:id="25" w:name="exclusões-procedimentais"/>
    <w:p>
      <w:pPr>
        <w:pStyle w:val="Heading2"/>
      </w:pPr>
      <w:r>
        <w:t xml:space="preserve">3 Exclusões procedimentais</w:t>
      </w:r>
    </w:p>
    <w:p>
      <w:pPr>
        <w:pStyle w:val="FirstParagraph"/>
      </w:pPr>
      <w:r>
        <w:t xml:space="preserve">O Nível 1 aplica três procedimentos prévios ao cálculo dos indicadores post hoc:</w:t>
      </w:r>
      <w:r>
        <w:t xml:space="preserve"> </w:t>
      </w:r>
      <w:r>
        <w:t xml:space="preserve">remoção de abandono, exclusão por tempo de resposta inferior a 208 segundos</w:t>
      </w:r>
      <w:r>
        <w:t xml:space="preserve"> </w:t>
      </w:r>
      <w:r>
        <w:t xml:space="preserve">(104 itens × 2 s/item)</w:t>
      </w:r>
      <w:r>
        <w:t xml:space="preserve"> </w:t>
      </w:r>
      <w:r>
        <w:t xml:space="preserve">(Huang et al., 2026)</w:t>
      </w:r>
      <w:r>
        <w:t xml:space="preserve"> </w:t>
      </w:r>
      <w:r>
        <w:t xml:space="preserve">e exclusão por duas ou mais falhas nos itens</w:t>
      </w:r>
      <w:r>
        <w:t xml:space="preserve"> </w:t>
      </w:r>
      <w:r>
        <w:t xml:space="preserve">de controle de qualidade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Toda exclusão é registrada no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com motivo e critério.</w:t>
      </w:r>
    </w:p>
    <w:bookmarkStart w:id="23" w:name="sumario-nivel-1"/>
    <w:p>
      <w:pPr>
        <w:pStyle w:val="TableCaption"/>
      </w:pPr>
      <w:r>
        <w:t xml:space="preserve">Resumo das exclusões procedimentais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o das exclusões procedimentai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brutos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Abandono removido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Excluídos por tempo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Excluídos por CQ (≥ 2 falhas)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Excluídos por missings (&gt; 5 em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Elegíveis para Nível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 restantes na escala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Exclusões procedimentais</w:t>
        </w:r>
      </w:hyperlink>
    </w:p>
    <w:bookmarkEnd w:id="25"/>
    <w:bookmarkStart w:id="74" w:name="cálculo-dos-indicadores-cier"/>
    <w:p>
      <w:pPr>
        <w:pStyle w:val="Heading2"/>
      </w:pPr>
      <w:r>
        <w:t xml:space="preserve">4 Cálculo dos indicadores C/IER</w:t>
      </w:r>
    </w:p>
    <w:p>
      <w:pPr>
        <w:pStyle w:val="FirstParagraph"/>
      </w:pPr>
      <w:r>
        <w:t xml:space="preserve">Cada indicador captura manifestações distintas de C/IER; a presença concomitante</w:t>
      </w:r>
      <w:r>
        <w:t xml:space="preserve"> </w:t>
      </w:r>
      <w:r>
        <w:t xml:space="preserve">oferece evidência mais robusta do que qualquer indicador isolado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46" w:name="visualização-univariada"/>
    <w:p>
      <w:pPr>
        <w:pStyle w:val="Heading3"/>
      </w:pPr>
      <w:r>
        <w:t xml:space="preserve">4.1 Visualização univariada</w:t>
      </w:r>
    </w:p>
    <w:p>
      <w:pPr>
        <w:pStyle w:val="FirstParagraph"/>
      </w:pPr>
      <w:r>
        <w:t xml:space="preserve">Cada respondente recebe os valores dos quatro indicadores em um tibble</w:t>
      </w:r>
      <w:r>
        <w:t xml:space="preserve"> </w:t>
      </w:r>
      <w:r>
        <w:t xml:space="preserve">consolidado, e os gráficos abaixo mostram a distribuição univariada de cada um.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29" w:name="viz-lazr"/>
      <w:r>
        <w:drawing>
          <wp:inline>
            <wp:extent cx="5334000" cy="381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Indicadores post hoc C/IER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4" w:name="viz-longstr"/>
      <w:r>
        <w:drawing>
          <wp:inline>
            <wp:extent cx="5334000" cy="3810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Indicadores post hoc C/IER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39" w:name="viz-md"/>
      <w:r>
        <w:drawing>
          <wp:inline>
            <wp:extent cx="5334000" cy="381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Indicadores post hoc C/IER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4" w:name="viz-irv"/>
      <w:r>
        <w:drawing>
          <wp:inline>
            <wp:extent cx="5334000" cy="381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Indicadores post hoc C/IER</w:t>
        </w:r>
      </w:hyperlink>
    </w:p>
    <w:bookmarkEnd w:id="46"/>
    <w:bookmarkStart w:id="49" w:name="pontos-de-corte-via-algoritmo-kneedle"/>
    <w:p>
      <w:pPr>
        <w:pStyle w:val="Heading3"/>
      </w:pPr>
      <w:r>
        <w:t xml:space="preserve">4.2 Pontos de corte via algoritmo Kneedle</w:t>
      </w:r>
    </w:p>
    <w:p>
      <w:pPr>
        <w:pStyle w:val="FirstParagraph"/>
      </w:pPr>
      <w:r>
        <w:t xml:space="preserve">O Kneedle é aplicado à curva ordenada (decrescente) de cada indicador.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MD</w:t>
      </w:r>
      <w:r>
        <w:t xml:space="preserve">, o kneedle com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identifica</w:t>
      </w:r>
      <w:r>
        <w:t xml:space="preserve"> </w:t>
      </w:r>
      <w:r>
        <w:t xml:space="preserve">onde os valores extremamente altos se separam da maioria (cauda direita).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IRV</w:t>
      </w:r>
      <w:r>
        <w:t xml:space="preserve">, usa-se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para detectar IRV alto demais e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para IRV baixo demais, pois ambos extremos podem ser considerados como suspeitos.</w:t>
      </w:r>
    </w:p>
    <w:bookmarkStart w:id="47" w:name="kneedle-cutoffs"/>
    <w:p>
      <w:pPr>
        <w:pStyle w:val="TableCaption"/>
      </w:pPr>
      <w:r>
        <w:t xml:space="preserve">Pontos de corte — Algoritmo Kneedle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ntos de corte — Algoritmo Kneedle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crítico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suspeitos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47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Indicadores post hoc C/IER</w:t>
        </w:r>
      </w:hyperlink>
    </w:p>
    <w:bookmarkEnd w:id="49"/>
    <w:bookmarkStart w:id="70" w:name="gráficos-com-pontos-de-corte"/>
    <w:p>
      <w:pPr>
        <w:pStyle w:val="Heading3"/>
      </w:pPr>
      <w:r>
        <w:t xml:space="preserve">4.3 Gráficos com pontos de corte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53" w:name="cum-lazr"/>
      <w:r>
        <w:drawing>
          <wp:inline>
            <wp:extent cx="5334000" cy="381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Indicadores post hoc C/IER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58" w:name="cum-longstr"/>
      <w:r>
        <w:drawing>
          <wp:inline>
            <wp:extent cx="5334000" cy="3810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Indicadores post hoc C/IER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63" w:name="cum-md"/>
      <w:r>
        <w:drawing>
          <wp:inline>
            <wp:extent cx="5334000" cy="3810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Indicadores post hoc C/IER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68" w:name="cum-irv"/>
      <w:r>
        <w:drawing>
          <wp:inline>
            <wp:extent cx="5334000" cy="3810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9">
        <w:r>
          <w:rPr>
            <w:rStyle w:val="Hyperlink"/>
            <w:vertAlign w:val="subscript"/>
          </w:rPr>
          <w:t xml:space="preserve">Indicadores post hoc C/IER</w:t>
        </w:r>
      </w:hyperlink>
    </w:p>
    <w:bookmarkEnd w:id="70"/>
    <w:bookmarkStart w:id="73" w:name="flags-de-cier"/>
    <w:p>
      <w:pPr>
        <w:pStyle w:val="Heading3"/>
      </w:pPr>
      <w:r>
        <w:t xml:space="preserve">4.4 Flags de C/IER</w:t>
      </w:r>
    </w:p>
    <w:p>
      <w:pPr>
        <w:pStyle w:val="FirstParagraph"/>
      </w:pPr>
      <w:r>
        <w:t xml:space="preserve">Para cada indicador, cria-se uma variável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 </w:t>
      </w:r>
      <w:r>
        <w:t xml:space="preserve">= suspeito,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não suspeito) com base nos pontos de corte Kneedle.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Indicadores post hoc são</w:t>
      </w:r>
      <w:r>
        <w:t xml:space="preserve"> </w:t>
      </w:r>
      <w:r>
        <w:rPr>
          <w:b/>
          <w:bCs/>
        </w:rPr>
        <w:t xml:space="preserve">diagnósticos</w:t>
      </w:r>
      <w:r>
        <w:t xml:space="preserve">, não geram exclusão</w:t>
      </w:r>
      <w:r>
        <w:t xml:space="preserve"> </w:t>
      </w:r>
      <w:r>
        <w:t xml:space="preserve">automática nesta fase. A flag composta será usada para inspeção e avaliação</w:t>
      </w:r>
      <w:r>
        <w:t xml:space="preserve"> </w:t>
      </w:r>
      <w:r>
        <w:t xml:space="preserve">através do arquivo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.</w:t>
      </w:r>
    </w:p>
    <w:bookmarkStart w:id="71" w:name="resumo-flags"/>
    <w:p>
      <w:pPr>
        <w:pStyle w:val="TableCaption"/>
      </w:pPr>
      <w:r>
        <w:t xml:space="preserve">Resumo de respondentes sinalizados como C/IER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o de respondentes sinalizados como C/I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suspeitos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suspeitos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71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2">
        <w:r>
          <w:rPr>
            <w:rStyle w:val="Hyperlink"/>
            <w:vertAlign w:val="subscript"/>
          </w:rPr>
          <w:t xml:space="preserve">Indicadores post hoc C/IER</w:t>
        </w:r>
      </w:hyperlink>
    </w:p>
    <w:bookmarkEnd w:id="73"/>
    <w:bookmarkEnd w:id="74"/>
    <w:bookmarkStart w:id="89" w:name="multicolinearidade"/>
    <w:p>
      <w:pPr>
        <w:pStyle w:val="Heading2"/>
      </w:pPr>
      <w:r>
        <w:t xml:space="preserve">5 Multicolinearidade</w:t>
      </w:r>
    </w:p>
    <w:p>
      <w:pPr>
        <w:pStyle w:val="FirstParagraph"/>
      </w:pPr>
      <w:r>
        <w:t xml:space="preserve">O VIF (Variance Inflation Factor) é calculado para cada item da escala WHOQOL.</w:t>
      </w:r>
      <w:r>
        <w:t xml:space="preserve"> </w:t>
      </w:r>
      <w:r>
        <w:t xml:space="preserve">Valores superiores a 5 indicam multicolinearidade problemática, antecipando</w:t>
      </w:r>
      <w:r>
        <w:t xml:space="preserve"> </w:t>
      </w:r>
      <w:r>
        <w:t xml:space="preserve">problemas de convergência e interpretação na AFC</w:t>
      </w:r>
      <w:r>
        <w:t xml:space="preserve"> </w:t>
      </w:r>
      <w:r>
        <w:t xml:space="preserve">(Flora et al., 2012; Kline, 2023)</w:t>
      </w:r>
      <w:r>
        <w:t xml:space="preserve">.</w:t>
      </w:r>
    </w:p>
    <w:bookmarkStart w:id="75" w:name="vif-tabela"/>
    <w:p>
      <w:pPr>
        <w:pStyle w:val="TableCaption"/>
      </w:pPr>
      <w:r>
        <w:t xml:space="preserve">Variance Inflation Factor (VIF) por item — VIF &gt; 5 indica</w:t>
      </w:r>
      <w:r>
        <w:t xml:space="preserve"> </w:t>
      </w:r>
      <w:r>
        <w:t xml:space="preserve">multicolinearidade problemática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nce Inflation Factor (VIF) por item — VIF &gt; 5 indica multicolinearidade problemátic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</w:tbl>
    <w:bookmarkEnd w:id="7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6">
        <w:r>
          <w:rPr>
            <w:rStyle w:val="Hyperlink"/>
            <w:vertAlign w:val="subscript"/>
          </w:rPr>
          <w:t xml:space="preserve">Multicolinearidade</w:t>
        </w:r>
      </w:hyperlink>
    </w:p>
    <w:bookmarkStart w:id="88" w:name="refs"/>
    <w:bookmarkStart w:id="78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7">
        <w:r>
          <w:rPr>
            <w:rStyle w:val="Hyperlink"/>
          </w:rPr>
          <w:t xml:space="preserve">https://doi.org/10.1177/10944281251334778</w:t>
        </w:r>
      </w:hyperlink>
    </w:p>
    <w:bookmarkEnd w:id="78"/>
    <w:bookmarkStart w:id="80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9">
        <w:r>
          <w:rPr>
            <w:rStyle w:val="Hyperlink"/>
          </w:rPr>
          <w:t xml:space="preserve">https://doi.org/10.1016/j.jesp.2015.07.006</w:t>
        </w:r>
      </w:hyperlink>
    </w:p>
    <w:bookmarkEnd w:id="80"/>
    <w:bookmarkStart w:id="82" w:name="ref-flora2012"/>
    <w:p>
      <w:pPr>
        <w:pStyle w:val="Bibliography"/>
      </w:pPr>
      <w:r>
        <w:t xml:space="preserve">Flora, D. B., LaBrish, C., &amp; Chalmers, R. P. (2012). Old and</w:t>
      </w:r>
      <w:r>
        <w:t xml:space="preserve"> </w:t>
      </w:r>
      <w:r>
        <w:t xml:space="preserve">New Ideas</w:t>
      </w:r>
      <w:r>
        <w:t xml:space="preserve"> </w:t>
      </w:r>
      <w:r>
        <w:t xml:space="preserve">for</w:t>
      </w:r>
      <w:r>
        <w:t xml:space="preserve"> </w:t>
      </w:r>
      <w:r>
        <w:t xml:space="preserve">Data Screening</w:t>
      </w:r>
      <w:r>
        <w:t xml:space="preserve"> </w:t>
      </w:r>
      <w:r>
        <w:t xml:space="preserve">and</w:t>
      </w:r>
      <w:r>
        <w:t xml:space="preserve"> </w:t>
      </w:r>
      <w:r>
        <w:t xml:space="preserve">Assumption Testing</w:t>
      </w:r>
      <w:r>
        <w:t xml:space="preserve"> </w:t>
      </w:r>
      <w:r>
        <w:t xml:space="preserve">for</w:t>
      </w:r>
      <w:r>
        <w:t xml:space="preserve"> </w:t>
      </w:r>
      <w:r>
        <w:t xml:space="preserve">Exploratory</w:t>
      </w:r>
      <w:r>
        <w:t xml:space="preserve"> </w:t>
      </w:r>
      <w:r>
        <w:t xml:space="preserve">and</w:t>
      </w:r>
      <w:r>
        <w:t xml:space="preserve"> </w:t>
      </w:r>
      <w:r>
        <w:t xml:space="preserve">Confirmatory Factor Analysis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(MAR), 55.</w:t>
      </w:r>
      <w:r>
        <w:t xml:space="preserve"> </w:t>
      </w:r>
      <w:hyperlink r:id="rId81">
        <w:r>
          <w:rPr>
            <w:rStyle w:val="Hyperlink"/>
          </w:rPr>
          <w:t xml:space="preserve">https://doi.org/10.3389/fpsyg.2012.00055</w:t>
        </w:r>
      </w:hyperlink>
    </w:p>
    <w:bookmarkEnd w:id="82"/>
    <w:bookmarkStart w:id="84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83">
        <w:r>
          <w:rPr>
            <w:rStyle w:val="Hyperlink"/>
          </w:rPr>
          <w:t xml:space="preserve">https://doi.org/10.1177/0013164419865316</w:t>
        </w:r>
      </w:hyperlink>
    </w:p>
    <w:bookmarkEnd w:id="84"/>
    <w:bookmarkStart w:id="86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85">
        <w:r>
          <w:rPr>
            <w:rStyle w:val="Hyperlink"/>
          </w:rPr>
          <w:t xml:space="preserve">https://doi.org/10.1177/01492063251330268</w:t>
        </w:r>
      </w:hyperlink>
    </w:p>
    <w:bookmarkEnd w:id="86"/>
    <w:bookmarkStart w:id="87" w:name="ref-kline2023"/>
    <w:p>
      <w:pPr>
        <w:pStyle w:val="Bibliography"/>
      </w:pPr>
      <w:r>
        <w:t xml:space="preserve">Kline, R. B. (2023).</w:t>
      </w:r>
      <w:r>
        <w:t xml:space="preserve"> </w:t>
      </w:r>
      <w:r>
        <w:rPr>
          <w:i/>
          <w:iCs/>
        </w:rPr>
        <w:t xml:space="preserve">Principles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Pratice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 </w:t>
      </w:r>
      <w:r>
        <w:t xml:space="preserve">(Fifth Edition). The Guilford Press.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79" Target="https://doi.org/10.1016/j.jesp.2015.07.006" TargetMode="External" /><Relationship Type="http://schemas.openxmlformats.org/officeDocument/2006/relationships/hyperlink" Id="rId83" Target="https://doi.org/10.1177/0013164419865316" TargetMode="External" /><Relationship Type="http://schemas.openxmlformats.org/officeDocument/2006/relationships/hyperlink" Id="rId85" Target="https://doi.org/10.1177/01492063251330268" TargetMode="External" /><Relationship Type="http://schemas.openxmlformats.org/officeDocument/2006/relationships/hyperlink" Id="rId77" Target="https://doi.org/10.1177/10944281251334778" TargetMode="External" /><Relationship Type="http://schemas.openxmlformats.org/officeDocument/2006/relationships/hyperlink" Id="rId81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leitura-dados" TargetMode="External" /><Relationship Type="http://schemas.openxmlformats.org/officeDocument/2006/relationships/hyperlink" Id="rId24" Target="https://phdpablo.github.io/cier/Scripts\ProcessingScripts\01_procedural-preview.html#cell-sumario-nivel-1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72" Target="https://phdpablo.github.io/cier/Scripts\ProcessingScripts\02_posthoc-preview.html#cell-resumo-flag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Relationship Type="http://schemas.openxmlformats.org/officeDocument/2006/relationships/hyperlink" Id="rId76" Target="https://phdpablo.github.io/cier/Scripts\ProcessingScripts\03_vif-preview.html#cell-vif-tabe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s://doi.org/10.1016/j.jesp.2015.07.006" TargetMode="External" /><Relationship Type="http://schemas.openxmlformats.org/officeDocument/2006/relationships/hyperlink" Id="rId83" Target="https://doi.org/10.1177/0013164419865316" TargetMode="External" /><Relationship Type="http://schemas.openxmlformats.org/officeDocument/2006/relationships/hyperlink" Id="rId85" Target="https://doi.org/10.1177/01492063251330268" TargetMode="External" /><Relationship Type="http://schemas.openxmlformats.org/officeDocument/2006/relationships/hyperlink" Id="rId77" Target="https://doi.org/10.1177/10944281251334778" TargetMode="External" /><Relationship Type="http://schemas.openxmlformats.org/officeDocument/2006/relationships/hyperlink" Id="rId81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leitura-dados" TargetMode="External" /><Relationship Type="http://schemas.openxmlformats.org/officeDocument/2006/relationships/hyperlink" Id="rId24" Target="https://phdpablo.github.io/cier/Scripts\ProcessingScripts\01_procedural-preview.html#cell-sumario-nivel-1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72" Target="https://phdpablo.github.io/cier/Scripts\ProcessingScripts\02_posthoc-preview.html#cell-resumo-flag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Relationship Type="http://schemas.openxmlformats.org/officeDocument/2006/relationships/hyperlink" Id="rId76" Target="https://phdpablo.github.io/cier/Scripts\ProcessingScripts\03_vif-preview.html#cell-vif-tabe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Detecção de Careless/Insufficient Effort Responding (C/IER)</dc:title>
  <dc:creator>Pablo Rogers</dc:creator>
  <cp:keywords>Careless Responding, Insufficient Effort Responding, Laz.R, Longstring, Mahalanobis Distance, IRV</cp:keywords>
  <dcterms:created xsi:type="dcterms:W3CDTF">2026-04-06T10:17:25Z</dcterms:created>
  <dcterms:modified xsi:type="dcterms:W3CDTF">2026-04-06T10:17:25Z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This… (abstract text here)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