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43.png" ContentType="image/png"/>
  <Override PartName="/word/media/rId28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Detecção de Careless/Insufficient Effort Responding (C/IER)</w:t>
      </w:r>
    </w:p>
    <w:p>
      <w:pPr>
        <w:pStyle w:val="Author"/>
      </w:pPr>
      <w:r>
        <w:t xml:space="preserve">Pablo Rogers</w:t>
      </w:r>
    </w:p>
    <w:p>
      <w:pPr>
        <w:pStyle w:val="Date"/>
      </w:pPr>
      <w:r>
        <w:t xml:space="preserve">2026-04-03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This… (abstract text here)</w:t>
      </w:r>
    </w:p>
    <w:bookmarkStart w:id="20" w:name="contextualização"/>
    <w:p>
      <w:pPr>
        <w:pStyle w:val="Heading2"/>
      </w:pPr>
      <w:r>
        <w:t xml:space="preserve">1 Contextualização</w:t>
      </w:r>
    </w:p>
    <w:p>
      <w:pPr>
        <w:pStyle w:val="FirstParagraph"/>
      </w:pPr>
      <w:r>
        <w:t xml:space="preserve">A detecção de Careless ou Insufficient Effort Responding (C/IER) é uma etapa</w:t>
      </w:r>
      <w:r>
        <w:t xml:space="preserve"> </w:t>
      </w:r>
      <w:r>
        <w:t xml:space="preserve">essencial no controle de qualidade de dados obtidos por questionários de</w:t>
      </w:r>
      <w:r>
        <w:t xml:space="preserve"> </w:t>
      </w:r>
      <w:r>
        <w:t xml:space="preserve">autorrelato. O C/IER se manifesta quando respondentes preenchem o instrumento</w:t>
      </w:r>
      <w:r>
        <w:t xml:space="preserve"> </w:t>
      </w:r>
      <w:r>
        <w:t xml:space="preserve">sem atenção ao conteúdo dos itens, comprometendo a validade das inferências</w:t>
      </w:r>
      <w:r>
        <w:t xml:space="preserve"> </w:t>
      </w:r>
      <w:r>
        <w:t xml:space="preserve">psicométricas e substantivas derivadas dos dados</w:t>
      </w:r>
      <w:r>
        <w:t xml:space="preserve"> </w:t>
      </w:r>
      <w:r>
        <w:t xml:space="preserve">(Curran, 2016; Huang et al., 2026)</w:t>
      </w:r>
      <w:r>
        <w:t xml:space="preserve">.</w:t>
      </w:r>
    </w:p>
    <w:p>
      <w:pPr>
        <w:pStyle w:val="BodyText"/>
      </w:pPr>
      <w:r>
        <w:t xml:space="preserve">O fluxo analítico deste documento segue três níveis sequenciais de detecção: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Nível 1 — Questionário:</w:t>
      </w:r>
      <w:r>
        <w:t xml:space="preserve"> </w:t>
      </w:r>
      <w:r>
        <w:t xml:space="preserve">exclusões procedimentais (a priori), incluindo</w:t>
      </w:r>
      <w:r>
        <w:t xml:space="preserve"> </w:t>
      </w:r>
      <w:r>
        <w:t xml:space="preserve">abandono, tempo de resposta e itens de controle de qualidade.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Nível 2 — Escala WHOQOL:</w:t>
      </w:r>
      <w:r>
        <w:t xml:space="preserve"> </w:t>
      </w:r>
      <w:r>
        <w:t xml:space="preserve">indicadores post hoc diagnósticos (Laz.R,</w:t>
      </w:r>
      <w:r>
        <w:t xml:space="preserve"> </w:t>
      </w:r>
      <w:r>
        <w:t xml:space="preserve">Longstring, Mahalanobis Distance e IRV) com pontos de corte estimados via</w:t>
      </w:r>
      <w:r>
        <w:t xml:space="preserve"> </w:t>
      </w:r>
      <w:r>
        <w:t xml:space="preserve">algoritmo Kneedle</w:t>
      </w:r>
      <w:r>
        <w:t xml:space="preserve"> </w:t>
      </w:r>
      <w:r>
        <w:t xml:space="preserve">(Satopää et al., 2011)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Nível 3 — Itens:</w:t>
      </w:r>
      <w:r>
        <w:t xml:space="preserve"> </w:t>
      </w:r>
      <w:r>
        <w:t xml:space="preserve">diagnóstico de multicolinearidade via VIF para</w:t>
      </w:r>
      <w:r>
        <w:t xml:space="preserve"> </w:t>
      </w:r>
      <w:r>
        <w:t xml:space="preserve">antecipar problemas de convergência na AFC.</w:t>
      </w:r>
    </w:p>
    <w:bookmarkEnd w:id="20"/>
    <w:bookmarkStart w:id="22" w:name="leitura-e-preparação-dos-dados"/>
    <w:p>
      <w:pPr>
        <w:pStyle w:val="Heading2"/>
      </w:pPr>
      <w:r>
        <w:t xml:space="preserve">2 Leitura e preparação dos dados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data.csv</w:t>
      </w:r>
      <w:r>
        <w:t xml:space="preserve"> </w:t>
      </w:r>
      <w:r>
        <w:t xml:space="preserve">contém as respostas brutas do questionário (separador</w:t>
      </w:r>
      <w:r>
        <w:t xml:space="preserve"> </w:t>
      </w:r>
      <w:r>
        <w:rPr>
          <w:rStyle w:val="VerbatimChar"/>
        </w:rPr>
        <w:t xml:space="preserve">;</w:t>
      </w:r>
      <w:r>
        <w:t xml:space="preserve">).</w:t>
      </w:r>
      <w:r>
        <w:t xml:space="preserve"> </w:t>
      </w:r>
      <w:r>
        <w:t xml:space="preserve">Nesta etapa, removem-se registros de abandono, selecionam-se as variáveis do</w:t>
      </w:r>
      <w:r>
        <w:t xml:space="preserve"> </w:t>
      </w:r>
      <w:r>
        <w:t xml:space="preserve">fluxo analítico e deriva-se o tempo total de resposta (</w:t>
      </w:r>
      <w:r>
        <w:rPr>
          <w:rStyle w:val="VerbatimChar"/>
        </w:rPr>
        <w:t xml:space="preserve">TIME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Rows: 1,326</w:t>
      </w:r>
      <w:r>
        <w:br/>
      </w:r>
      <w:r>
        <w:rPr>
          <w:rStyle w:val="VerbatimChar"/>
        </w:rPr>
        <w:t xml:space="preserve">Columns: 33</w:t>
      </w:r>
      <w:r>
        <w:br/>
      </w:r>
      <w:r>
        <w:rPr>
          <w:rStyle w:val="VerbatimChar"/>
        </w:rPr>
        <w:t xml:space="preserve">$ ID       &lt;dbl&gt; 10441016017, 10440981694, 10440601239, 10440562981, 104403585…</w:t>
      </w:r>
      <w:r>
        <w:br/>
      </w:r>
      <w:r>
        <w:rPr>
          <w:rStyle w:val="VerbatimChar"/>
        </w:rPr>
        <w:t xml:space="preserve">$ CREATED  &lt;chr&gt; "28/12/2018 12:00", "28/12/2018 11:25", "28/12/2018 03:23", "…</w:t>
      </w:r>
      <w:r>
        <w:br/>
      </w:r>
      <w:r>
        <w:rPr>
          <w:rStyle w:val="VerbatimChar"/>
        </w:rPr>
        <w:t xml:space="preserve">$ MODIFIED &lt;chr&gt; "28/12/2018 12:20", "28/12/2018 11:47", "28/12/2018 03:39", "…</w:t>
      </w:r>
      <w:r>
        <w:br/>
      </w:r>
      <w:r>
        <w:rPr>
          <w:rStyle w:val="VerbatimChar"/>
        </w:rPr>
        <w:t xml:space="preserve">$ CQ1      &lt;dbl&gt; 1, 1, 1, 1, 1, 1, 1, 1, NA, 1, 1, 1, 1, 1, 1, 1, 1, 1, 1, 1, …</w:t>
      </w:r>
      <w:r>
        <w:br/>
      </w:r>
      <w:r>
        <w:rPr>
          <w:rStyle w:val="VerbatimChar"/>
        </w:rPr>
        <w:t xml:space="preserve">$ CQ2      &lt;dbl&gt; 1, 1, 1, 1, 1, 1, 1, 1, NA, 1, 1, 1, 1, 1, 1, 1, 1, 1, 1, 1, …</w:t>
      </w:r>
      <w:r>
        <w:br/>
      </w:r>
      <w:r>
        <w:rPr>
          <w:rStyle w:val="VerbatimChar"/>
        </w:rPr>
        <w:t xml:space="preserve">$ CQ3      &lt;dbl&gt; 1, 1, 1, 1, 1, 1, 1, 1, NA, 1, 1, 1, 1, 1, 1, 1, 1, 1, 1, 1, …</w:t>
      </w:r>
      <w:r>
        <w:br/>
      </w:r>
      <w:r>
        <w:rPr>
          <w:rStyle w:val="VerbatimChar"/>
        </w:rPr>
        <w:t xml:space="preserve">$ Q1       &lt;dbl&gt; 5, 3, 1, 4, 3, 4, 3, 4, 2, 5, 4, 3, 4, 2, 4, 5, 4, 5, 4, 4, 4…</w:t>
      </w:r>
      <w:r>
        <w:br/>
      </w:r>
      <w:r>
        <w:rPr>
          <w:rStyle w:val="VerbatimChar"/>
        </w:rPr>
        <w:t xml:space="preserve">$ Q2       &lt;dbl&gt; 5, 4, 1, 4, 4, 4, 4, 4, 2, 5, 4, NA, 4, 1, 4, 5, 4, 4, 4, 4, …</w:t>
      </w:r>
      <w:r>
        <w:br/>
      </w:r>
      <w:r>
        <w:rPr>
          <w:rStyle w:val="VerbatimChar"/>
        </w:rPr>
        <w:t xml:space="preserve">$ Q3       &lt;dbl&gt; 1, 2, 3, 2, 1, 1, 1, 1, 4, 2, 3, 2, 2, 3, 3, 1, 2, 2, 2, 3, 1…</w:t>
      </w:r>
      <w:r>
        <w:br/>
      </w:r>
      <w:r>
        <w:rPr>
          <w:rStyle w:val="VerbatimChar"/>
        </w:rPr>
        <w:t xml:space="preserve">$ Q4       &lt;dbl&gt; 1, 2, 2, 1, 1, 1, 2, 1, 4, 1, 3, 2, 2, 2, 2, 2, 2, 1, 2, 1, 1…</w:t>
      </w:r>
      <w:r>
        <w:br/>
      </w:r>
      <w:r>
        <w:rPr>
          <w:rStyle w:val="VerbatimChar"/>
        </w:rPr>
        <w:t xml:space="preserve">$ Q5       &lt;dbl&gt; 3, 3, 1, 3, 3, 3, 3, 3, 1, 4, 3, 4, 4, 1, 3, 4, 3, 5, 3, 4, 3…</w:t>
      </w:r>
      <w:r>
        <w:br/>
      </w:r>
      <w:r>
        <w:rPr>
          <w:rStyle w:val="VerbatimChar"/>
        </w:rPr>
        <w:t xml:space="preserve">$ Q6       &lt;dbl&gt; 4, 4, 1, 3, 5, 4, 3, 4, 4, 4, 5, 3, 3, 4, 4, 5, 3, 5, 4, 4, 3…</w:t>
      </w:r>
      <w:r>
        <w:br/>
      </w:r>
      <w:r>
        <w:rPr>
          <w:rStyle w:val="VerbatimChar"/>
        </w:rPr>
        <w:t xml:space="preserve">$ Q7       &lt;dbl&gt; 4, 3, 1, 3, 5, 4, 2, 3, 2, 4, 3, 2, 4, 2, 3, 4, 3, 4, 2, 3, 4…</w:t>
      </w:r>
      <w:r>
        <w:br/>
      </w:r>
      <w:r>
        <w:rPr>
          <w:rStyle w:val="VerbatimChar"/>
        </w:rPr>
        <w:t xml:space="preserve">$ Q8       &lt;dbl&gt; 1, 2, 1, 2, 2, 4, 4, 4, 2, 3, 2, 3, 3, 3, 2, 2, 4, 3, 3, 3, 2…</w:t>
      </w:r>
      <w:r>
        <w:br/>
      </w:r>
      <w:r>
        <w:rPr>
          <w:rStyle w:val="VerbatimChar"/>
        </w:rPr>
        <w:t xml:space="preserve">$ Q9       &lt;dbl&gt; 5, 4, 1, 2, 3, 4, 3, 4, 3, 3, 3, 3, 4, 1, 2, 3, 4, 4, 2, 3, 2…</w:t>
      </w:r>
      <w:r>
        <w:br/>
      </w:r>
      <w:r>
        <w:rPr>
          <w:rStyle w:val="VerbatimChar"/>
        </w:rPr>
        <w:t xml:space="preserve">$ Q10      &lt;dbl&gt; 5, 3, 1, 3, 5, 4, 2, 4, 2, 4, 4, 2, 3, 2, 3, 5, 4, 5, 3, 4, 4…</w:t>
      </w:r>
      <w:r>
        <w:br/>
      </w:r>
      <w:r>
        <w:rPr>
          <w:rStyle w:val="VerbatimChar"/>
        </w:rPr>
        <w:t xml:space="preserve">$ Q11      &lt;dbl&gt; 3, 3, 2, 3, 3, 4, 2, 3, 3, 5, 4, 2, 4, 1, 3, 5, 3, 5, 3, 4, 4…</w:t>
      </w:r>
      <w:r>
        <w:br/>
      </w:r>
      <w:r>
        <w:rPr>
          <w:rStyle w:val="VerbatimChar"/>
        </w:rPr>
        <w:t xml:space="preserve">$ Q12      &lt;dbl&gt; 5, 3, 1, 3, 3, 3, 3, 3, 2, 5, 3, 3, 3, 3, 3, 4, 4, 4, 3, 4, 4…</w:t>
      </w:r>
      <w:r>
        <w:br/>
      </w:r>
      <w:r>
        <w:rPr>
          <w:rStyle w:val="VerbatimChar"/>
        </w:rPr>
        <w:t xml:space="preserve">$ Q13      &lt;dbl&gt; 5, 3, 2, 4, 3, 3, 4, 4, 3, 5, 3, 3, 4, 3, 3, 5, 3, 4, 2, 4, 3…</w:t>
      </w:r>
      <w:r>
        <w:br/>
      </w:r>
      <w:r>
        <w:rPr>
          <w:rStyle w:val="VerbatimChar"/>
        </w:rPr>
        <w:t xml:space="preserve">$ Q14      &lt;dbl&gt; 4, 3, 1, 4, 2, 3, 3, 5, 2, 4, 4, 4, 3, 4, 3, 5, 3, 3, 2, 4, 3…</w:t>
      </w:r>
      <w:r>
        <w:br/>
      </w:r>
      <w:r>
        <w:rPr>
          <w:rStyle w:val="VerbatimChar"/>
        </w:rPr>
        <w:t xml:space="preserve">$ Q15      &lt;dbl&gt; 5, 4, 1, 5, 5, 5, 5, 5, 1, 5, 5, 3, 4, 4, 3, 5, 4, 5, 4, 4, 4…</w:t>
      </w:r>
      <w:r>
        <w:br/>
      </w:r>
      <w:r>
        <w:rPr>
          <w:rStyle w:val="VerbatimChar"/>
        </w:rPr>
        <w:t xml:space="preserve">$ Q16      &lt;dbl&gt; 5, 3, 5, 5, 5, 4, 3, 3, 2, 5, 3, 2, 5, 2, 2, 5, 4, 3, 4, 4, 3…</w:t>
      </w:r>
      <w:r>
        <w:br/>
      </w:r>
      <w:r>
        <w:rPr>
          <w:rStyle w:val="VerbatimChar"/>
        </w:rPr>
        <w:t xml:space="preserve">$ Q17      &lt;dbl&gt; 4, 3, 5, 5, 5, 4, 4, 5, 2, 5, 4, 2, 4, 2, 3, 5, 4, 4, 4, 4, 4…</w:t>
      </w:r>
      <w:r>
        <w:br/>
      </w:r>
      <w:r>
        <w:rPr>
          <w:rStyle w:val="VerbatimChar"/>
        </w:rPr>
        <w:t xml:space="preserve">$ Q18      &lt;dbl&gt; 4, 3, 5, 5, 5, 4, 3, 4, 2, 5, 4, 2, 4, 2, 3, 5, 4, 5, 4, 4, 4…</w:t>
      </w:r>
      <w:r>
        <w:br/>
      </w:r>
      <w:r>
        <w:rPr>
          <w:rStyle w:val="VerbatimChar"/>
        </w:rPr>
        <w:t xml:space="preserve">$ Q19      &lt;dbl&gt; 4, 4, 5, 5, 5, 4, 2, 3, 3, 5, 4, 2, 4, 2, 3, 5, 3, 4, 5, 5, 3…</w:t>
      </w:r>
      <w:r>
        <w:br/>
      </w:r>
      <w:r>
        <w:rPr>
          <w:rStyle w:val="VerbatimChar"/>
        </w:rPr>
        <w:t xml:space="preserve">$ Q20      &lt;dbl&gt; 2, 3, 3, 5, 5, 4, 4, 4, 3, 4, 4, 3, 3, 3, 2, 5, 3, 4, 3, 5, 3…</w:t>
      </w:r>
      <w:r>
        <w:br/>
      </w:r>
      <w:r>
        <w:rPr>
          <w:rStyle w:val="VerbatimChar"/>
        </w:rPr>
        <w:t xml:space="preserve">$ Q21      &lt;dbl&gt; 2, 3, 2, 5, 5, 4, 2, 3, 2, 4, 2, 4, 4, 2, 2, 5, 3, 4, 4, 4, 4…</w:t>
      </w:r>
      <w:r>
        <w:br/>
      </w:r>
      <w:r>
        <w:rPr>
          <w:rStyle w:val="VerbatimChar"/>
        </w:rPr>
        <w:t xml:space="preserve">$ Q22      &lt;dbl&gt; 5, 3, 3, 5, 5, 4, 2, 3, 3, 4, 4, 3, 2, 3, 2, 4, 4, 4, 3, 5, 3…</w:t>
      </w:r>
      <w:r>
        <w:br/>
      </w:r>
      <w:r>
        <w:rPr>
          <w:rStyle w:val="VerbatimChar"/>
        </w:rPr>
        <w:t xml:space="preserve">$ Q23      &lt;dbl&gt; 5, 3, 3, 5, 2, 4, 2, 4, 3, 5, 5, 3, 4, 4, 4, 4, 4, 5, 4, 5, 4…</w:t>
      </w:r>
      <w:r>
        <w:br/>
      </w:r>
      <w:r>
        <w:rPr>
          <w:rStyle w:val="VerbatimChar"/>
        </w:rPr>
        <w:t xml:space="preserve">$ Q24      &lt;dbl&gt; 2, 2, 3, 4, 2, 4, 2, 5, 2, 4, 2, 3, 2, 4, 4, 5, 4, 3, 4, 4, 4…</w:t>
      </w:r>
      <w:r>
        <w:br/>
      </w:r>
      <w:r>
        <w:rPr>
          <w:rStyle w:val="VerbatimChar"/>
        </w:rPr>
        <w:t xml:space="preserve">$ Q25      &lt;dbl&gt; 2, 2, 3, 4, 3, 4, 2, 5, 3, 4, 3, 3, 3, 3, 2, 5, 4, 4, 4, 4, 3…</w:t>
      </w:r>
      <w:r>
        <w:br/>
      </w:r>
      <w:r>
        <w:rPr>
          <w:rStyle w:val="VerbatimChar"/>
        </w:rPr>
        <w:t xml:space="preserve">$ Q26      &lt;dbl&gt; 2, 2, 4, 1, 1, 2, 2, 3, 1, 2, 2, 3, 1, 2, 3, 2, 2, 2, 3, 1, 2…</w:t>
      </w:r>
      <w:r>
        <w:br/>
      </w:r>
      <w:r>
        <w:rPr>
          <w:rStyle w:val="VerbatimChar"/>
        </w:rPr>
        <w:t xml:space="preserve">$ TIME     &lt;dbl&gt; 1200, 1320, 960, 1260, 1140, 1140, 540, 1080, 1380, 660, 1620…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1">
        <w:r>
          <w:rPr>
            <w:rStyle w:val="Hyperlink"/>
            <w:vertAlign w:val="subscript"/>
          </w:rPr>
          <w:t xml:space="preserve">Nível 1 — Exclusões procedimentais</w:t>
        </w:r>
      </w:hyperlink>
    </w:p>
    <w:bookmarkEnd w:id="22"/>
    <w:bookmarkStart w:id="25" w:name="exclusões-procedimentais-nível-1"/>
    <w:p>
      <w:pPr>
        <w:pStyle w:val="Heading2"/>
      </w:pPr>
      <w:r>
        <w:t xml:space="preserve">3 Exclusões procedimentais (Nível 1)</w:t>
      </w:r>
    </w:p>
    <w:p>
      <w:pPr>
        <w:pStyle w:val="FirstParagraph"/>
      </w:pPr>
      <w:r>
        <w:t xml:space="preserve">O Nível 1 aplica três procedimentos prévios ao cálculo dos indicadores post hoc:</w:t>
      </w:r>
      <w:r>
        <w:t xml:space="preserve"> </w:t>
      </w:r>
      <w:r>
        <w:t xml:space="preserve">remoção de abandono, exclusão por tempo de resposta inferior a 208 segundos</w:t>
      </w:r>
      <w:r>
        <w:t xml:space="preserve"> </w:t>
      </w:r>
      <w:r>
        <w:t xml:space="preserve">(104 itens × 2 s/item)</w:t>
      </w:r>
      <w:r>
        <w:t xml:space="preserve"> </w:t>
      </w:r>
      <w:r>
        <w:t xml:space="preserve">(Huang et al., 2026)</w:t>
      </w:r>
      <w:r>
        <w:t xml:space="preserve"> </w:t>
      </w:r>
      <w:r>
        <w:t xml:space="preserve">e exclusão por duas ou mais falhas nos itens</w:t>
      </w:r>
      <w:r>
        <w:t xml:space="preserve"> </w:t>
      </w:r>
      <w:r>
        <w:t xml:space="preserve">de controle de qualidade (</w:t>
      </w:r>
      <w:r>
        <w:rPr>
          <w:rStyle w:val="VerbatimChar"/>
        </w:rPr>
        <w:t xml:space="preserve">CQ1-CQ3</w:t>
      </w:r>
      <w:r>
        <w:t xml:space="preserve">)</w:t>
      </w:r>
      <w:r>
        <w:t xml:space="preserve"> </w:t>
      </w:r>
      <w:r>
        <w:t xml:space="preserve">(Curran, 2016)</w:t>
      </w:r>
      <w:r>
        <w:t xml:space="preserve">. Toda exclusão é registrada no</w:t>
      </w:r>
      <w:r>
        <w:t xml:space="preserve"> </w:t>
      </w:r>
      <w:r>
        <w:rPr>
          <w:rStyle w:val="VerbatimChar"/>
        </w:rPr>
        <w:t xml:space="preserve">exclusion_log.csv</w:t>
      </w:r>
      <w:r>
        <w:t xml:space="preserve"> </w:t>
      </w:r>
      <w:r>
        <w:t xml:space="preserve">com motivo e critério.</w:t>
      </w:r>
    </w:p>
    <w:bookmarkStart w:id="23" w:name="sumario-nivel-1"/>
    <w:p>
      <w:pPr>
        <w:pStyle w:val="TableCaption"/>
      </w:pPr>
      <w:r>
        <w:t xml:space="preserve">Resumo das exclusões procedimentais — Nível 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o das exclusões procedimentais — Nível 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brutos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Abandono removido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Excluídos por tempo (&lt; 208 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Excluídos por CQ (≥ 2 falhas)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Excluídos por missings (&gt; 5 em Q1-Q26)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Elegíveis para Nível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 restantes na escala Q1-Q26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</w:tbl>
    <w:bookmarkEnd w:id="23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4">
        <w:r>
          <w:rPr>
            <w:rStyle w:val="Hyperlink"/>
            <w:vertAlign w:val="subscript"/>
          </w:rPr>
          <w:t xml:space="preserve">Nível 1 — Exclusões procedimentais</w:t>
        </w:r>
      </w:hyperlink>
    </w:p>
    <w:bookmarkEnd w:id="25"/>
    <w:bookmarkStart w:id="76" w:name="cálculo-dos-indicadores-cier-nível-2"/>
    <w:p>
      <w:pPr>
        <w:pStyle w:val="Heading2"/>
      </w:pPr>
      <w:r>
        <w:t xml:space="preserve">4 Cálculo dos indicadores C/IER (Nível 2)</w:t>
      </w:r>
    </w:p>
    <w:p>
      <w:pPr>
        <w:pStyle w:val="FirstParagraph"/>
      </w:pPr>
      <w:r>
        <w:t xml:space="preserve">Cada indicador captura manifestações distintas de C/IER; a presença concomitante</w:t>
      </w:r>
      <w:r>
        <w:t xml:space="preserve"> </w:t>
      </w:r>
      <w:r>
        <w:t xml:space="preserve">oferece evidência mais robusta do que qualquer indicador isolado</w:t>
      </w:r>
      <w:r>
        <w:t xml:space="preserve"> </w:t>
      </w:r>
      <w:r>
        <w:t xml:space="preserve">(Curran, 2016; Hong et al., 2020; Huang et al., 2026)</w:t>
      </w:r>
      <w:r>
        <w:t xml:space="preserve">.</w:t>
      </w:r>
    </w:p>
    <w:bookmarkStart w:id="27" w:name="variáveis-individuais"/>
    <w:p>
      <w:pPr>
        <w:pStyle w:val="Heading3"/>
      </w:pPr>
      <w:r>
        <w:t xml:space="preserve">4.1 Variáveis individuais</w:t>
      </w:r>
    </w:p>
    <w:p>
      <w:pPr>
        <w:pStyle w:val="FirstParagraph"/>
      </w:pPr>
      <w:r>
        <w:t xml:space="preserve">Cada respondente recebe os valores dos quatro indicadores em um tibble</w:t>
      </w:r>
      <w:r>
        <w:t xml:space="preserve"> </w:t>
      </w:r>
      <w:r>
        <w:t xml:space="preserve">consolidado.</w:t>
      </w:r>
    </w:p>
    <w:p>
      <w:pPr>
        <w:pStyle w:val="SourceCode"/>
      </w:pPr>
      <w:r>
        <w:rPr>
          <w:rStyle w:val="VerbatimChar"/>
        </w:rPr>
        <w:t xml:space="preserve"># A tibble: 1,298 × 5</w:t>
      </w:r>
      <w:r>
        <w:br/>
      </w:r>
      <w:r>
        <w:rPr>
          <w:rStyle w:val="VerbatimChar"/>
        </w:rPr>
        <w:t xml:space="preserve">            ID  LazR Longstr    MD   IRV</w:t>
      </w:r>
      <w:r>
        <w:br/>
      </w:r>
      <w:r>
        <w:rPr>
          <w:rStyle w:val="VerbatimChar"/>
        </w:rPr>
        <w:t xml:space="preserve">         &lt;dbl&gt; &lt;dbl&gt;   &lt;int&gt; &lt;dbl&gt; &lt;dbl&gt;</w:t>
      </w:r>
      <w:r>
        <w:br/>
      </w:r>
      <w:r>
        <w:rPr>
          <w:rStyle w:val="VerbatimChar"/>
        </w:rPr>
        <w:t xml:space="preserve"> 1 10441016017 0.388       3 49.5  1.47 </w:t>
      </w:r>
      <w:r>
        <w:br/>
      </w:r>
      <w:r>
        <w:rPr>
          <w:rStyle w:val="VerbatimChar"/>
        </w:rPr>
        <w:t xml:space="preserve"> 2 10440981694 0.493       5 13.5  0.662</w:t>
      </w:r>
      <w:r>
        <w:br/>
      </w:r>
      <w:r>
        <w:rPr>
          <w:rStyle w:val="VerbatimChar"/>
        </w:rPr>
        <w:t xml:space="preserve"> 3 10440601239 0.493       6 79.1  1.47 </w:t>
      </w:r>
      <w:r>
        <w:br/>
      </w:r>
      <w:r>
        <w:rPr>
          <w:rStyle w:val="VerbatimChar"/>
        </w:rPr>
        <w:t xml:space="preserve"> 4 10440562981 0.569       9 27.4  1.29 </w:t>
      </w:r>
      <w:r>
        <w:br/>
      </w:r>
      <w:r>
        <w:rPr>
          <w:rStyle w:val="VerbatimChar"/>
        </w:rPr>
        <w:t xml:space="preserve"> 5 10440358563 0.454       8 32.3  1.48 </w:t>
      </w:r>
      <w:r>
        <w:br/>
      </w:r>
      <w:r>
        <w:rPr>
          <w:rStyle w:val="VerbatimChar"/>
        </w:rPr>
        <w:t xml:space="preserve"> 6 10440199369 0.647      10  6.94 0.945</w:t>
      </w:r>
      <w:r>
        <w:br/>
      </w:r>
      <w:r>
        <w:rPr>
          <w:rStyle w:val="VerbatimChar"/>
        </w:rPr>
        <w:t xml:space="preserve"> 7 10438952564 0.444       6 39.9  0.951</w:t>
      </w:r>
      <w:r>
        <w:br/>
      </w:r>
      <w:r>
        <w:rPr>
          <w:rStyle w:val="VerbatimChar"/>
        </w:rPr>
        <w:t xml:space="preserve"> 8 10438951127 0.382       3 24.2  1.06 </w:t>
      </w:r>
      <w:r>
        <w:br/>
      </w:r>
      <w:r>
        <w:rPr>
          <w:rStyle w:val="VerbatimChar"/>
        </w:rPr>
        <w:t xml:space="preserve"> 9 10438633244 0.41        3 41.7  0.857</w:t>
      </w:r>
      <w:r>
        <w:br/>
      </w:r>
      <w:r>
        <w:rPr>
          <w:rStyle w:val="VerbatimChar"/>
        </w:rPr>
        <w:t xml:space="preserve">10 10438605204 0.479       5 12.2  1.09 </w:t>
      </w:r>
      <w:r>
        <w:br/>
      </w:r>
      <w:r>
        <w:rPr>
          <w:rStyle w:val="VerbatimChar"/>
        </w:rPr>
        <w:t xml:space="preserve"># ℹ 1,288 more rows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6">
        <w:r>
          <w:rPr>
            <w:rStyle w:val="Hyperlink"/>
            <w:vertAlign w:val="subscript"/>
          </w:rPr>
          <w:t xml:space="preserve">Nível 2 — Indicadores post hoc C/IER</w:t>
        </w:r>
      </w:hyperlink>
    </w:p>
    <w:bookmarkEnd w:id="27"/>
    <w:bookmarkStart w:id="48" w:name="visualização-univariada"/>
    <w:p>
      <w:pPr>
        <w:pStyle w:val="Heading3"/>
      </w:pPr>
      <w:r>
        <w:t xml:space="preserve">4.2 Visualização univariada</w:t>
      </w:r>
    </w:p>
    <w:p>
      <w:pPr>
        <w:pStyle w:val="Heading4"/>
      </w:pPr>
      <w:r>
        <w:t xml:space="preserve">Laz.R</w:t>
      </w:r>
    </w:p>
    <w:p>
      <w:pPr>
        <w:pStyle w:val="FirstParagraph"/>
      </w:pPr>
      <w:bookmarkStart w:id="31" w:name="viz-lazr"/>
      <w:r>
        <w:drawing>
          <wp:inline>
            <wp:extent cx="5334000" cy="381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viz-lazr-outpu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2">
        <w:r>
          <w:rPr>
            <w:rStyle w:val="Hyperlink"/>
            <w:vertAlign w:val="subscript"/>
          </w:rPr>
          <w:t xml:space="preserve">Nível 2 — Indicadores post hoc C/IER</w:t>
        </w:r>
      </w:hyperlink>
    </w:p>
    <w:p>
      <w:pPr>
        <w:pStyle w:val="Heading4"/>
      </w:pPr>
      <w:r>
        <w:t xml:space="preserve">Longstring</w:t>
      </w:r>
    </w:p>
    <w:p>
      <w:pPr>
        <w:pStyle w:val="FirstParagraph"/>
      </w:pPr>
      <w:bookmarkStart w:id="36" w:name="viz-longstr"/>
      <w:r>
        <w:drawing>
          <wp:inline>
            <wp:extent cx="5334000" cy="3810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viz-longstr-outpu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7">
        <w:r>
          <w:rPr>
            <w:rStyle w:val="Hyperlink"/>
            <w:vertAlign w:val="subscript"/>
          </w:rPr>
          <w:t xml:space="preserve">Nível 2 — Indicadores post hoc C/IER</w:t>
        </w:r>
      </w:hyperlink>
    </w:p>
    <w:p>
      <w:pPr>
        <w:pStyle w:val="Heading4"/>
      </w:pPr>
      <w:r>
        <w:t xml:space="preserve">Mahalanobis Distance</w:t>
      </w:r>
    </w:p>
    <w:p>
      <w:pPr>
        <w:pStyle w:val="FirstParagraph"/>
      </w:pPr>
      <w:bookmarkStart w:id="41" w:name="viz-md"/>
      <w:r>
        <w:drawing>
          <wp:inline>
            <wp:extent cx="5334000" cy="3810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viz-md-outpu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2">
        <w:r>
          <w:rPr>
            <w:rStyle w:val="Hyperlink"/>
            <w:vertAlign w:val="subscript"/>
          </w:rPr>
          <w:t xml:space="preserve">Nível 2 — Indicadores post hoc C/IER</w:t>
        </w:r>
      </w:hyperlink>
    </w:p>
    <w:p>
      <w:pPr>
        <w:pStyle w:val="Heading4"/>
      </w:pPr>
      <w:r>
        <w:t xml:space="preserve">IRV</w:t>
      </w:r>
    </w:p>
    <w:p>
      <w:pPr>
        <w:pStyle w:val="FirstParagraph"/>
      </w:pPr>
      <w:bookmarkStart w:id="46" w:name="viz-irv"/>
      <w:r>
        <w:drawing>
          <wp:inline>
            <wp:extent cx="5334000" cy="3810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viz-irv-output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7">
        <w:r>
          <w:rPr>
            <w:rStyle w:val="Hyperlink"/>
            <w:vertAlign w:val="subscript"/>
          </w:rPr>
          <w:t xml:space="preserve">Nível 2 — Indicadores post hoc C/IER</w:t>
        </w:r>
      </w:hyperlink>
    </w:p>
    <w:bookmarkEnd w:id="48"/>
    <w:bookmarkStart w:id="51" w:name="pontos-de-corte-via-algoritmo-kneedle"/>
    <w:p>
      <w:pPr>
        <w:pStyle w:val="Heading3"/>
      </w:pPr>
      <w:r>
        <w:t xml:space="preserve">4.3 Pontos de corte via algoritmo Kneedle</w:t>
      </w:r>
    </w:p>
    <w:p>
      <w:pPr>
        <w:pStyle w:val="FirstParagraph"/>
      </w:pPr>
      <w:r>
        <w:t xml:space="preserve">O Kneedle é aplicado à curva ordenada (decrescente) de cada indicador.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Laz.R</w:t>
      </w:r>
      <w:r>
        <w:t xml:space="preserve">,</w:t>
      </w:r>
      <w:r>
        <w:t xml:space="preserve"> </w:t>
      </w:r>
      <w:r>
        <w:rPr>
          <w:b/>
          <w:bCs/>
        </w:rPr>
        <w:t xml:space="preserve">Longstring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MD</w:t>
      </w:r>
      <w:r>
        <w:t xml:space="preserve">, o kneedle com</w:t>
      </w:r>
      <w:r>
        <w:t xml:space="preserve"> </w:t>
      </w:r>
      <w:r>
        <w:rPr>
          <w:rStyle w:val="VerbatimChar"/>
        </w:rPr>
        <w:t xml:space="preserve">sign = -1</w:t>
      </w:r>
      <w:r>
        <w:t xml:space="preserve"> </w:t>
      </w:r>
      <w:r>
        <w:t xml:space="preserve">identifica</w:t>
      </w:r>
      <w:r>
        <w:t xml:space="preserve"> </w:t>
      </w:r>
      <w:r>
        <w:t xml:space="preserve">onde os valores extremamente altos se separam da maioria (cauda direita).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IRV</w:t>
      </w:r>
      <w:r>
        <w:t xml:space="preserve">, usa-se</w:t>
      </w:r>
      <w:r>
        <w:t xml:space="preserve"> </w:t>
      </w:r>
      <w:r>
        <w:rPr>
          <w:rStyle w:val="VerbatimChar"/>
        </w:rPr>
        <w:t xml:space="preserve">sign = -1</w:t>
      </w:r>
      <w:r>
        <w:t xml:space="preserve"> </w:t>
      </w:r>
      <w:r>
        <w:t xml:space="preserve">para detectar IRV alto demais e</w:t>
      </w:r>
      <w:r>
        <w:t xml:space="preserve"> </w:t>
      </w:r>
      <w:r>
        <w:rPr>
          <w:rStyle w:val="VerbatimChar"/>
        </w:rPr>
        <w:t xml:space="preserve">sign = +1</w:t>
      </w:r>
      <w:r>
        <w:t xml:space="preserve"> </w:t>
      </w:r>
      <w:r>
        <w:t xml:space="preserve">para IRV baixo demais, pois ambos extremos são suspeitos.</w:t>
      </w:r>
    </w:p>
    <w:bookmarkStart w:id="49" w:name="kneedle-cutoffs"/>
    <w:p>
      <w:pPr>
        <w:pStyle w:val="TableCaption"/>
      </w:pPr>
      <w:r>
        <w:t xml:space="preserve">Pontos de corte — Algoritmo Kneedle (Biemann et al., 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ntos de corte — Algoritmo Kneedle (Biemann et al., 2025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crítico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suspeitos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IRV (high end)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IRV (low end)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</w:tbl>
    <w:bookmarkEnd w:id="49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0">
        <w:r>
          <w:rPr>
            <w:rStyle w:val="Hyperlink"/>
            <w:vertAlign w:val="subscript"/>
          </w:rPr>
          <w:t xml:space="preserve">Nível 2 — Indicadores post hoc C/IER</w:t>
        </w:r>
      </w:hyperlink>
    </w:p>
    <w:bookmarkEnd w:id="51"/>
    <w:bookmarkStart w:id="72" w:name="gráficos-com-pontos-de-corte"/>
    <w:p>
      <w:pPr>
        <w:pStyle w:val="Heading3"/>
      </w:pPr>
      <w:r>
        <w:t xml:space="preserve">4.4 Gráficos com pontos de corte</w:t>
      </w:r>
    </w:p>
    <w:p>
      <w:pPr>
        <w:pStyle w:val="Heading4"/>
      </w:pPr>
      <w:r>
        <w:t xml:space="preserve">Laz.R</w:t>
      </w:r>
    </w:p>
    <w:p>
      <w:pPr>
        <w:pStyle w:val="FirstParagraph"/>
      </w:pPr>
      <w:bookmarkStart w:id="55" w:name="cum-lazr"/>
      <w:r>
        <w:drawing>
          <wp:inline>
            <wp:extent cx="5334000" cy="3810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cum-lazr-outp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6">
        <w:r>
          <w:rPr>
            <w:rStyle w:val="Hyperlink"/>
            <w:vertAlign w:val="subscript"/>
          </w:rPr>
          <w:t xml:space="preserve">Nível 2 — Indicadores post hoc C/IER</w:t>
        </w:r>
      </w:hyperlink>
    </w:p>
    <w:p>
      <w:pPr>
        <w:pStyle w:val="Heading4"/>
      </w:pPr>
      <w:r>
        <w:t xml:space="preserve">Longstring</w:t>
      </w:r>
    </w:p>
    <w:p>
      <w:pPr>
        <w:pStyle w:val="FirstParagraph"/>
      </w:pPr>
      <w:bookmarkStart w:id="60" w:name="cum-longstr"/>
      <w:r>
        <w:drawing>
          <wp:inline>
            <wp:extent cx="5334000" cy="3810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cum-longstr-output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1">
        <w:r>
          <w:rPr>
            <w:rStyle w:val="Hyperlink"/>
            <w:vertAlign w:val="subscript"/>
          </w:rPr>
          <w:t xml:space="preserve">Nível 2 — Indicadores post hoc C/IER</w:t>
        </w:r>
      </w:hyperlink>
    </w:p>
    <w:p>
      <w:pPr>
        <w:pStyle w:val="Heading4"/>
      </w:pPr>
      <w:r>
        <w:t xml:space="preserve">Mahalanobis Distance</w:t>
      </w:r>
    </w:p>
    <w:p>
      <w:pPr>
        <w:pStyle w:val="FirstParagraph"/>
      </w:pPr>
      <w:bookmarkStart w:id="65" w:name="cum-md"/>
      <w:r>
        <w:drawing>
          <wp:inline>
            <wp:extent cx="5334000" cy="3810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cum-md-output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6">
        <w:r>
          <w:rPr>
            <w:rStyle w:val="Hyperlink"/>
            <w:vertAlign w:val="subscript"/>
          </w:rPr>
          <w:t xml:space="preserve">Nível 2 — Indicadores post hoc C/IER</w:t>
        </w:r>
      </w:hyperlink>
    </w:p>
    <w:p>
      <w:pPr>
        <w:pStyle w:val="Heading4"/>
      </w:pPr>
      <w:r>
        <w:t xml:space="preserve">IRV</w:t>
      </w:r>
    </w:p>
    <w:p>
      <w:pPr>
        <w:pStyle w:val="FirstParagraph"/>
      </w:pPr>
      <w:bookmarkStart w:id="70" w:name="cum-irv"/>
      <w:r>
        <w:drawing>
          <wp:inline>
            <wp:extent cx="5334000" cy="3810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ndex_files/figure-docx/Scripts-ProcessingScripts-02_posthoc-cum-irv-outpu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1">
        <w:r>
          <w:rPr>
            <w:rStyle w:val="Hyperlink"/>
            <w:vertAlign w:val="subscript"/>
          </w:rPr>
          <w:t xml:space="preserve">Nível 2 — Indicadores post hoc C/IER</w:t>
        </w:r>
      </w:hyperlink>
    </w:p>
    <w:bookmarkEnd w:id="72"/>
    <w:bookmarkStart w:id="75" w:name="flags-de-cier"/>
    <w:p>
      <w:pPr>
        <w:pStyle w:val="Heading3"/>
      </w:pPr>
      <w:r>
        <w:t xml:space="preserve">4.5 Flags de C/IER</w:t>
      </w:r>
    </w:p>
    <w:p>
      <w:pPr>
        <w:pStyle w:val="FirstParagraph"/>
      </w:pPr>
      <w:r>
        <w:t xml:space="preserve">Para cada indicador, cria-se uma variável</w:t>
      </w:r>
      <w:r>
        <w:t xml:space="preserve"> </w:t>
      </w:r>
      <w:r>
        <w:rPr>
          <w:rStyle w:val="VerbatimChar"/>
        </w:rPr>
        <w:t xml:space="preserve">_FLAG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 </w:t>
      </w:r>
      <w:r>
        <w:t xml:space="preserve">= suspeito,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não suspeito) com base nos pontos de corte Kneedle.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Indicadores post hoc são</w:t>
      </w:r>
      <w:r>
        <w:t xml:space="preserve"> </w:t>
      </w:r>
      <w:r>
        <w:rPr>
          <w:b/>
          <w:bCs/>
        </w:rPr>
        <w:t xml:space="preserve">diagnósticos</w:t>
      </w:r>
      <w:r>
        <w:t xml:space="preserve">, não geram exclusão</w:t>
      </w:r>
      <w:r>
        <w:t xml:space="preserve"> </w:t>
      </w:r>
      <w:r>
        <w:t xml:space="preserve">automática nesta fase. A flag composta será usada para inspeção visual e</w:t>
      </w:r>
      <w:r>
        <w:t xml:space="preserve"> </w:t>
      </w:r>
      <w:r>
        <w:t xml:space="preserve">decisão informada.</w:t>
      </w:r>
    </w:p>
    <w:bookmarkStart w:id="73" w:name="resumo-flags"/>
    <w:p>
      <w:pPr>
        <w:pStyle w:val="TableCaption"/>
      </w:pPr>
      <w:r>
        <w:t xml:space="preserve">Resumo de respondentes sinalizados como C/IER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o de respondentes sinalizados como C/I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suspeitos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suspeitos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LazR_FLAG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Longstr_FLAG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IRV_high_FLAG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IRV_low_FLAG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</w:tbl>
    <w:bookmarkEnd w:id="73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4">
        <w:r>
          <w:rPr>
            <w:rStyle w:val="Hyperlink"/>
            <w:vertAlign w:val="subscript"/>
          </w:rPr>
          <w:t xml:space="preserve">Nível 2 — Indicadores post hoc C/IER</w:t>
        </w:r>
      </w:hyperlink>
    </w:p>
    <w:bookmarkEnd w:id="75"/>
    <w:bookmarkEnd w:id="76"/>
    <w:bookmarkStart w:id="91" w:name="multicolinearidade-nível-3"/>
    <w:p>
      <w:pPr>
        <w:pStyle w:val="Heading2"/>
      </w:pPr>
      <w:r>
        <w:t xml:space="preserve">5 Multicolinearidade (Nível 3)</w:t>
      </w:r>
    </w:p>
    <w:p>
      <w:pPr>
        <w:pStyle w:val="FirstParagraph"/>
      </w:pPr>
      <w:r>
        <w:t xml:space="preserve">O VIF (Variance Inflation Factor) é calculado para cada item da escala WHOQOL.</w:t>
      </w:r>
      <w:r>
        <w:t xml:space="preserve"> </w:t>
      </w:r>
      <w:r>
        <w:t xml:space="preserve">Valores superiores a 10 indicam multicolinearidade problemática, antecipando</w:t>
      </w:r>
      <w:r>
        <w:t xml:space="preserve"> </w:t>
      </w:r>
      <w:r>
        <w:t xml:space="preserve">problemas de convergência e interpretação na AFC</w:t>
      </w:r>
      <w:r>
        <w:t xml:space="preserve"> </w:t>
      </w:r>
      <w:r>
        <w:t xml:space="preserve">(Flora et al., 2012; Kline, 2023)</w:t>
      </w:r>
      <w:r>
        <w:t xml:space="preserve">.</w:t>
      </w:r>
    </w:p>
    <w:bookmarkStart w:id="77" w:name="vif-tabela"/>
    <w:p>
      <w:pPr>
        <w:pStyle w:val="TableCaption"/>
      </w:pPr>
      <w:r>
        <w:t xml:space="preserve">Variance Inflation Factor (VIF) por item — VIF &gt; 10 indica</w:t>
      </w:r>
      <w:r>
        <w:t xml:space="preserve"> </w:t>
      </w:r>
      <w:r>
        <w:t xml:space="preserve">multicolinearidade problemática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nce Inflation Factor (VIF) por item — VIF &gt; 10 indica multicolinearidade problemática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bookmarkEnd w:id="77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8">
        <w:r>
          <w:rPr>
            <w:rStyle w:val="Hyperlink"/>
            <w:vertAlign w:val="subscript"/>
          </w:rPr>
          <w:t xml:space="preserve">Nível 3 — Multicolinearidade VIF</w:t>
        </w:r>
      </w:hyperlink>
    </w:p>
    <w:bookmarkStart w:id="90" w:name="refs"/>
    <w:bookmarkStart w:id="80" w:name="ref-curran2016"/>
    <w:p>
      <w:pPr>
        <w:pStyle w:val="Bibliography"/>
      </w:pPr>
      <w:r>
        <w:t xml:space="preserve">Curran, P. G. (2016). Methods for the detection of carelessly invalid responses in survey data.</w:t>
      </w:r>
      <w:r>
        <w:t xml:space="preserve"> </w:t>
      </w:r>
      <w:r>
        <w:rPr>
          <w:i/>
          <w:iCs/>
        </w:rPr>
        <w:t xml:space="preserve">Journal of Experimental Social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66</w:t>
      </w:r>
      <w:r>
        <w:t xml:space="preserve">, 4–19.</w:t>
      </w:r>
      <w:r>
        <w:t xml:space="preserve"> </w:t>
      </w:r>
      <w:hyperlink r:id="rId79">
        <w:r>
          <w:rPr>
            <w:rStyle w:val="Hyperlink"/>
          </w:rPr>
          <w:t xml:space="preserve">https://doi.org/10.1016/j.jesp.2015.07.006</w:t>
        </w:r>
      </w:hyperlink>
    </w:p>
    <w:bookmarkEnd w:id="80"/>
    <w:bookmarkStart w:id="82" w:name="ref-flora2012"/>
    <w:p>
      <w:pPr>
        <w:pStyle w:val="Bibliography"/>
      </w:pPr>
      <w:r>
        <w:t xml:space="preserve">Flora, D. B., LaBrish, C., &amp; Chalmers, R. P. (2012). Old and new ideas for data screening and assumption testing for exploratory and confirmatory factor analysis.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, 55.</w:t>
      </w:r>
      <w:r>
        <w:t xml:space="preserve"> </w:t>
      </w:r>
      <w:hyperlink r:id="rId81">
        <w:r>
          <w:rPr>
            <w:rStyle w:val="Hyperlink"/>
          </w:rPr>
          <w:t xml:space="preserve">https://doi.org/10.3389/fpsyg.2012.00055</w:t>
        </w:r>
      </w:hyperlink>
    </w:p>
    <w:bookmarkEnd w:id="82"/>
    <w:bookmarkStart w:id="84" w:name="ref-hong2020"/>
    <w:p>
      <w:pPr>
        <w:pStyle w:val="Bibliography"/>
      </w:pPr>
      <w:r>
        <w:t xml:space="preserve">Hong, M., Steedle, J. T., &amp; Cheng, Y. (2020). Methods of</w:t>
      </w:r>
      <w:r>
        <w:t xml:space="preserve"> </w:t>
      </w:r>
      <w:r>
        <w:t xml:space="preserve">Detecting Insufficient Effort Responding</w:t>
      </w:r>
      <w:r>
        <w:t xml:space="preserve">:</w:t>
      </w:r>
      <w:r>
        <w:t xml:space="preserve"> </w:t>
      </w:r>
      <w:r>
        <w:t xml:space="preserve">Comparisons</w:t>
      </w:r>
      <w:r>
        <w:t xml:space="preserve"> </w:t>
      </w:r>
      <w:r>
        <w:t xml:space="preserve">and</w:t>
      </w:r>
      <w:r>
        <w:t xml:space="preserve"> </w:t>
      </w:r>
      <w:r>
        <w:t xml:space="preserve">Practical Recommendations</w:t>
      </w:r>
      <w:r>
        <w:t xml:space="preserve">.</w:t>
      </w:r>
      <w:r>
        <w:t xml:space="preserve"> </w:t>
      </w:r>
      <w:r>
        <w:rPr>
          <w:i/>
          <w:iCs/>
        </w:rPr>
        <w:t xml:space="preserve">Educ Psychol Meas</w:t>
      </w:r>
      <w:r>
        <w:t xml:space="preserve">,</w:t>
      </w:r>
      <w:r>
        <w:t xml:space="preserve"> </w:t>
      </w:r>
      <w:r>
        <w:rPr>
          <w:i/>
          <w:iCs/>
        </w:rPr>
        <w:t xml:space="preserve">80</w:t>
      </w:r>
      <w:r>
        <w:t xml:space="preserve">(2), 312–345.</w:t>
      </w:r>
      <w:r>
        <w:t xml:space="preserve"> </w:t>
      </w:r>
      <w:hyperlink r:id="rId83">
        <w:r>
          <w:rPr>
            <w:rStyle w:val="Hyperlink"/>
          </w:rPr>
          <w:t xml:space="preserve">https://doi.org/10.1177/0013164419865316</w:t>
        </w:r>
      </w:hyperlink>
    </w:p>
    <w:bookmarkEnd w:id="84"/>
    <w:bookmarkStart w:id="86" w:name="ref-huang2026"/>
    <w:p>
      <w:pPr>
        <w:pStyle w:val="Bibliography"/>
      </w:pPr>
      <w:r>
        <w:t xml:space="preserve">Huang, J. L., Wang, Z., Huang, R., Wu, D., &amp; Shi, H. (2026).</w:t>
      </w:r>
      <w:r>
        <w:t xml:space="preserve"> </w:t>
      </w:r>
      <w:r>
        <w:rPr>
          <w:i/>
          <w:iCs/>
        </w:rPr>
        <w:t xml:space="preserve">Insufficient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Effort Responding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Research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 Critical Review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Future Directions</w:t>
      </w:r>
      <w:r>
        <w:t xml:space="preserve">.</w:t>
      </w:r>
      <w:r>
        <w:t xml:space="preserve"> </w:t>
      </w:r>
      <w:r>
        <w:rPr>
          <w:i/>
          <w:iCs/>
        </w:rPr>
        <w:t xml:space="preserve">52</w:t>
      </w:r>
      <w:r>
        <w:t xml:space="preserve">(1).</w:t>
      </w:r>
      <w:r>
        <w:t xml:space="preserve"> </w:t>
      </w:r>
      <w:hyperlink r:id="rId85">
        <w:r>
          <w:rPr>
            <w:rStyle w:val="Hyperlink"/>
          </w:rPr>
          <w:t xml:space="preserve">https://doi.org/10.1177/01492063251330268</w:t>
        </w:r>
      </w:hyperlink>
    </w:p>
    <w:bookmarkEnd w:id="86"/>
    <w:bookmarkStart w:id="87" w:name="ref-kline2023"/>
    <w:p>
      <w:pPr>
        <w:pStyle w:val="Bibliography"/>
      </w:pPr>
      <w:r>
        <w:t xml:space="preserve">Kline, R. B. (2023).</w:t>
      </w:r>
      <w:r>
        <w:t xml:space="preserve"> </w:t>
      </w:r>
      <w:r>
        <w:rPr>
          <w:i/>
          <w:iCs/>
        </w:rPr>
        <w:t xml:space="preserve">Principles and practice of structural equation modeling</w:t>
      </w:r>
      <w:r>
        <w:t xml:space="preserve"> </w:t>
      </w:r>
      <w:r>
        <w:t xml:space="preserve">(5th ed.). The Guilford Press.</w:t>
      </w:r>
    </w:p>
    <w:bookmarkEnd w:id="87"/>
    <w:bookmarkStart w:id="89" w:name="ref-satopaa2011"/>
    <w:p>
      <w:pPr>
        <w:pStyle w:val="Bibliography"/>
      </w:pPr>
      <w:r>
        <w:t xml:space="preserve">Satopää, V., Albrecht, J., Irwin, D., &amp; Raghavan, B. (2011). Finding a</w:t>
      </w:r>
      <w:r>
        <w:t xml:space="preserve"> </w:t>
      </w:r>
      <w:r>
        <w:t xml:space="preserve">“</w:t>
      </w:r>
      <w:r>
        <w:t xml:space="preserve">Kneedle</w:t>
      </w:r>
      <w:r>
        <w:t xml:space="preserve">”</w:t>
      </w:r>
      <w:r>
        <w:t xml:space="preserve"> </w:t>
      </w:r>
      <w:r>
        <w:t xml:space="preserve">in a haystack:</w:t>
      </w:r>
      <w:r>
        <w:t xml:space="preserve"> </w:t>
      </w:r>
      <w:r>
        <w:t xml:space="preserve">Detecting</w:t>
      </w:r>
      <w:r>
        <w:t xml:space="preserve"> </w:t>
      </w:r>
      <w:r>
        <w:t xml:space="preserve">knee points in system behavior.</w:t>
      </w:r>
      <w:r>
        <w:t xml:space="preserve"> </w:t>
      </w:r>
      <w:r>
        <w:rPr>
          <w:i/>
          <w:iCs/>
        </w:rPr>
        <w:t xml:space="preserve">2011 31st International Conference on Distributed Computing Systems Workshops</w:t>
      </w:r>
      <w:r>
        <w:t xml:space="preserve">, 166–171.</w:t>
      </w:r>
      <w:r>
        <w:t xml:space="preserve"> </w:t>
      </w:r>
      <w:hyperlink r:id="rId88">
        <w:r>
          <w:rPr>
            <w:rStyle w:val="Hyperlink"/>
          </w:rPr>
          <w:t xml:space="preserve">https://doi.org/10.1109/ICDCSW.2011.20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7" Target="media/rId6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43" Target="media/rId4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hyperlink" Id="rId79" Target="https://doi.org/10.1016/j.jesp.2015.07.006" TargetMode="External" /><Relationship Type="http://schemas.openxmlformats.org/officeDocument/2006/relationships/hyperlink" Id="rId88" Target="https://doi.org/10.1109/ICDCSW.2011.20" TargetMode="External" /><Relationship Type="http://schemas.openxmlformats.org/officeDocument/2006/relationships/hyperlink" Id="rId83" Target="https://doi.org/10.1177/0013164419865316" TargetMode="External" /><Relationship Type="http://schemas.openxmlformats.org/officeDocument/2006/relationships/hyperlink" Id="rId85" Target="https://doi.org/10.1177/01492063251330268" TargetMode="External" /><Relationship Type="http://schemas.openxmlformats.org/officeDocument/2006/relationships/hyperlink" Id="rId81" Target="https://doi.org/10.3389/fpsyg.2012.00055" TargetMode="External" /><Relationship Type="http://schemas.openxmlformats.org/officeDocument/2006/relationships/hyperlink" Id="rId21" Target="https://phdpablo.github.io/cier/Scripts\ProcessingScripts\01_procedural-preview.html#cell-leitura-dados" TargetMode="External" /><Relationship Type="http://schemas.openxmlformats.org/officeDocument/2006/relationships/hyperlink" Id="rId24" Target="https://phdpablo.github.io/cier/Scripts\ProcessingScripts\01_procedural-preview.html#cell-sumario-nivel-1" TargetMode="External" /><Relationship Type="http://schemas.openxmlformats.org/officeDocument/2006/relationships/hyperlink" Id="rId71" Target="https://phdpablo.github.io/cier/Scripts\ProcessingScripts\02_posthoc-preview.html#cell-cum-irv" TargetMode="External" /><Relationship Type="http://schemas.openxmlformats.org/officeDocument/2006/relationships/hyperlink" Id="rId56" Target="https://phdpablo.github.io/cier/Scripts\ProcessingScripts\02_posthoc-preview.html#cell-cum-lazr" TargetMode="External" /><Relationship Type="http://schemas.openxmlformats.org/officeDocument/2006/relationships/hyperlink" Id="rId61" Target="https://phdpablo.github.io/cier/Scripts\ProcessingScripts\02_posthoc-preview.html#cell-cum-longstr" TargetMode="External" /><Relationship Type="http://schemas.openxmlformats.org/officeDocument/2006/relationships/hyperlink" Id="rId66" Target="https://phdpablo.github.io/cier/Scripts\ProcessingScripts\02_posthoc-preview.html#cell-cum-md" TargetMode="External" /><Relationship Type="http://schemas.openxmlformats.org/officeDocument/2006/relationships/hyperlink" Id="rId50" Target="https://phdpablo.github.io/cier/Scripts\ProcessingScripts\02_posthoc-preview.html#cell-kneedle-cutoffs" TargetMode="External" /><Relationship Type="http://schemas.openxmlformats.org/officeDocument/2006/relationships/hyperlink" Id="rId74" Target="https://phdpablo.github.io/cier/Scripts\ProcessingScripts\02_posthoc-preview.html#cell-resumo-flags" TargetMode="External" /><Relationship Type="http://schemas.openxmlformats.org/officeDocument/2006/relationships/hyperlink" Id="rId26" Target="https://phdpablo.github.io/cier/Scripts\ProcessingScripts\02_posthoc-preview.html#cell-tibble-indicadores" TargetMode="External" /><Relationship Type="http://schemas.openxmlformats.org/officeDocument/2006/relationships/hyperlink" Id="rId47" Target="https://phdpablo.github.io/cier/Scripts\ProcessingScripts\02_posthoc-preview.html#cell-viz-irv" TargetMode="External" /><Relationship Type="http://schemas.openxmlformats.org/officeDocument/2006/relationships/hyperlink" Id="rId32" Target="https://phdpablo.github.io/cier/Scripts\ProcessingScripts\02_posthoc-preview.html#cell-viz-lazr" TargetMode="External" /><Relationship Type="http://schemas.openxmlformats.org/officeDocument/2006/relationships/hyperlink" Id="rId37" Target="https://phdpablo.github.io/cier/Scripts\ProcessingScripts\02_posthoc-preview.html#cell-viz-longstr" TargetMode="External" /><Relationship Type="http://schemas.openxmlformats.org/officeDocument/2006/relationships/hyperlink" Id="rId42" Target="https://phdpablo.github.io/cier/Scripts\ProcessingScripts\02_posthoc-preview.html#cell-viz-md" TargetMode="External" /><Relationship Type="http://schemas.openxmlformats.org/officeDocument/2006/relationships/hyperlink" Id="rId78" Target="https://phdpablo.github.io/cier/Scripts\ProcessingScripts\03_vif-preview.html#cell-vif-tabe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doi.org/10.1016/j.jesp.2015.07.006" TargetMode="External" /><Relationship Type="http://schemas.openxmlformats.org/officeDocument/2006/relationships/hyperlink" Id="rId88" Target="https://doi.org/10.1109/ICDCSW.2011.20" TargetMode="External" /><Relationship Type="http://schemas.openxmlformats.org/officeDocument/2006/relationships/hyperlink" Id="rId83" Target="https://doi.org/10.1177/0013164419865316" TargetMode="External" /><Relationship Type="http://schemas.openxmlformats.org/officeDocument/2006/relationships/hyperlink" Id="rId85" Target="https://doi.org/10.1177/01492063251330268" TargetMode="External" /><Relationship Type="http://schemas.openxmlformats.org/officeDocument/2006/relationships/hyperlink" Id="rId81" Target="https://doi.org/10.3389/fpsyg.2012.00055" TargetMode="External" /><Relationship Type="http://schemas.openxmlformats.org/officeDocument/2006/relationships/hyperlink" Id="rId21" Target="https://phdpablo.github.io/cier/Scripts\ProcessingScripts\01_procedural-preview.html#cell-leitura-dados" TargetMode="External" /><Relationship Type="http://schemas.openxmlformats.org/officeDocument/2006/relationships/hyperlink" Id="rId24" Target="https://phdpablo.github.io/cier/Scripts\ProcessingScripts\01_procedural-preview.html#cell-sumario-nivel-1" TargetMode="External" /><Relationship Type="http://schemas.openxmlformats.org/officeDocument/2006/relationships/hyperlink" Id="rId71" Target="https://phdpablo.github.io/cier/Scripts\ProcessingScripts\02_posthoc-preview.html#cell-cum-irv" TargetMode="External" /><Relationship Type="http://schemas.openxmlformats.org/officeDocument/2006/relationships/hyperlink" Id="rId56" Target="https://phdpablo.github.io/cier/Scripts\ProcessingScripts\02_posthoc-preview.html#cell-cum-lazr" TargetMode="External" /><Relationship Type="http://schemas.openxmlformats.org/officeDocument/2006/relationships/hyperlink" Id="rId61" Target="https://phdpablo.github.io/cier/Scripts\ProcessingScripts\02_posthoc-preview.html#cell-cum-longstr" TargetMode="External" /><Relationship Type="http://schemas.openxmlformats.org/officeDocument/2006/relationships/hyperlink" Id="rId66" Target="https://phdpablo.github.io/cier/Scripts\ProcessingScripts\02_posthoc-preview.html#cell-cum-md" TargetMode="External" /><Relationship Type="http://schemas.openxmlformats.org/officeDocument/2006/relationships/hyperlink" Id="rId50" Target="https://phdpablo.github.io/cier/Scripts\ProcessingScripts\02_posthoc-preview.html#cell-kneedle-cutoffs" TargetMode="External" /><Relationship Type="http://schemas.openxmlformats.org/officeDocument/2006/relationships/hyperlink" Id="rId74" Target="https://phdpablo.github.io/cier/Scripts\ProcessingScripts\02_posthoc-preview.html#cell-resumo-flags" TargetMode="External" /><Relationship Type="http://schemas.openxmlformats.org/officeDocument/2006/relationships/hyperlink" Id="rId26" Target="https://phdpablo.github.io/cier/Scripts\ProcessingScripts\02_posthoc-preview.html#cell-tibble-indicadores" TargetMode="External" /><Relationship Type="http://schemas.openxmlformats.org/officeDocument/2006/relationships/hyperlink" Id="rId47" Target="https://phdpablo.github.io/cier/Scripts\ProcessingScripts\02_posthoc-preview.html#cell-viz-irv" TargetMode="External" /><Relationship Type="http://schemas.openxmlformats.org/officeDocument/2006/relationships/hyperlink" Id="rId32" Target="https://phdpablo.github.io/cier/Scripts\ProcessingScripts\02_posthoc-preview.html#cell-viz-lazr" TargetMode="External" /><Relationship Type="http://schemas.openxmlformats.org/officeDocument/2006/relationships/hyperlink" Id="rId37" Target="https://phdpablo.github.io/cier/Scripts\ProcessingScripts\02_posthoc-preview.html#cell-viz-longstr" TargetMode="External" /><Relationship Type="http://schemas.openxmlformats.org/officeDocument/2006/relationships/hyperlink" Id="rId42" Target="https://phdpablo.github.io/cier/Scripts\ProcessingScripts\02_posthoc-preview.html#cell-viz-md" TargetMode="External" /><Relationship Type="http://schemas.openxmlformats.org/officeDocument/2006/relationships/hyperlink" Id="rId78" Target="https://phdpablo.github.io/cier/Scripts\ProcessingScripts\03_vif-preview.html#cell-vif-tabe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Detecção de Careless/Insufficient Effort Responding (C/IER)</dc:title>
  <dc:creator>Pablo Rogers</dc:creator>
  <cp:keywords>Careless Responding, Insufficient Effort Responding, Laz.R, Longstring, Mahalanobis Distance, IRV</cp:keywords>
  <dcterms:created xsi:type="dcterms:W3CDTF">2026-04-04T02:08:30Z</dcterms:created>
  <dcterms:modified xsi:type="dcterms:W3CDTF">2026-04-04T02:08:30Z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This… (abstract text here)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csl">
    <vt:lpwstr>apa7ed.csl</vt:lpwstr>
  </property>
  <property fmtid="{D5CDD505-2E9C-101B-9397-08002B2CF9AE}" pid="11" name="date">
    <vt:lpwstr>2026-04-03</vt:lpwstr>
  </property>
  <property fmtid="{D5CDD505-2E9C-101B-9397-08002B2CF9AE}" pid="12" name="editor">
    <vt:lpwstr>source</vt:lpwstr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quarto-internal">
    <vt:lpwstr/>
  </property>
  <property fmtid="{D5CDD505-2E9C-101B-9397-08002B2CF9AE}" pid="22" name="remove-hidden">
    <vt:lpwstr>all</vt:lpwstr>
  </property>
  <property fmtid="{D5CDD505-2E9C-101B-9397-08002B2CF9AE}" pid="23" name="template-partials">
    <vt:lpwstr/>
  </property>
  <property fmtid="{D5CDD505-2E9C-101B-9397-08002B2CF9AE}" pid="24" name="theme">
    <vt:lpwstr>cosmo</vt:lpwstr>
  </property>
  <property fmtid="{D5CDD505-2E9C-101B-9397-08002B2CF9AE}" pid="25" name="title-block-style">
    <vt:lpwstr>manuscript</vt:lpwstr>
  </property>
  <property fmtid="{D5CDD505-2E9C-101B-9397-08002B2CF9AE}" pid="26" name="toc-title">
    <vt:lpwstr>Table of contents</vt:lpwstr>
  </property>
  <property fmtid="{D5CDD505-2E9C-101B-9397-08002B2CF9AE}" pid="27" name="unroll-markdown-cells">
    <vt:lpwstr>True</vt:lpwstr>
  </property>
</Properties>
</file>