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is the hackathon's required evaluation deliverable for the FEMA Evidence &amp; Oversight Graph. The four sections match the deliverable spec: testing methodology, performance metrics, security considerations, lessons learned and recommendations.</w:t>
      </w:r>
    </w:p>
    <w:p>
      <w:pPr>
        <w:spacing w:before="200" w:after="80"/>
      </w:pPr>
      <w:r>
        <w:rPr>
          <w:b/>
          <w:color w:val="1483C8"/>
          <w:sz w:val="28"/>
        </w:rPr>
        <w:t>1. Testing methodology</w:t>
      </w:r>
    </w:p>
    <w:p>
      <w:r>
        <w:t>The server has two layers, tested separately.</w:t>
      </w:r>
    </w:p>
    <w:p>
      <w:r>
        <w:t>Detection layer (three Unity Catalog functions: get_cost_share_anomalies, find_repeated_worksheets, detect_category_outliers). Each is called with normal, boundary, and malformed inputs. For every normal case the expected set is computed independently with a direct SQL query against the same funded_projects_details table, then compared to the tool's output. Boundary and malformed cases verify that validation rejects bad input before any query runs and that empty sets return cleanly.</w:t>
      </w:r>
    </w:p>
    <w:p>
      <w:r>
        <w:t>Explainability layer (explain_risk_indicator, generate_evidence_brief). Checked for correct methodology cards and for evidence briefs that carry source records, rationale, limitations, and the not-a-finding status. Explainability output is validated for completeness and for never asserting a conclusion the data does not support.</w:t>
      </w:r>
    </w:p>
    <w:p>
      <w:r>
        <w:t>Genie layer. Natural-language questions drawn from genie/genie_space_config.md, checked for grounding in the table, use of federalShareObligated as the default funding measure, and correct order of magnitude against control queries.</w:t>
      </w:r>
    </w:p>
    <w:p>
      <w:r>
        <w:t>Latency is wall-clock from tool call to structured response, median of three runs per tool, on a serverless SQL warehouse. Full case grid: eval_test_matrix.md.</w:t>
      </w:r>
    </w:p>
    <w:p>
      <w:pPr>
        <w:spacing w:before="200" w:after="80"/>
      </w:pPr>
      <w:r>
        <w:rPr>
          <w:b/>
          <w:color w:val="1483C8"/>
          <w:sz w:val="28"/>
        </w:rPr>
        <w:t>2. Performance metrics (evaluation targets)</w:t>
      </w:r>
    </w:p>
    <w:p>
      <w:r>
        <w:t>Table under test: workspace.default.funded_projects_details, filtered to declarations on or after 2021-01-01, 77,883 rows.</w:t>
      </w:r>
    </w:p>
    <w:p>
      <w:r>
        <w:t>These are the acceptance targets for the OIG-audit-emulation evaluation. Replace with measured results from your run against the five tools before submission; do not present them as measured until the run is complete.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color w:val="0C1B2E"/>
                <w:sz w:val="19"/>
              </w:rPr>
              <w:t>Measure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0C1B2E"/>
                <w:sz w:val="19"/>
              </w:rPr>
              <w:t>Target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Retrieval accuracy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95%+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Citation coverage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100%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Unsupported claims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Tool-selection accuracy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95%+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Hallucination rate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&lt;2%</w:t>
            </w:r>
          </w:p>
        </w:tc>
      </w:tr>
    </w:tbl>
    <w:p/>
    <w:p>
      <w:r>
        <w:t>Before/after (illustrative, replace with your run): retrieval accuracy rises from ~82% with a general LLM + raw SQL to the 95%+ target with the purpose-built FEMA tools.</w:t>
      </w:r>
    </w:p>
    <w:p>
      <w:pPr>
        <w:spacing w:before="200" w:after="80"/>
      </w:pPr>
      <w:r>
        <w:rPr>
          <w:b/>
          <w:color w:val="0C1B2E"/>
          <w:sz w:val="24"/>
        </w:rPr>
        <w:t>Early validation already performed (real)</w:t>
      </w:r>
    </w:p>
    <w:p>
      <w:r>
        <w:t>An earlier predecessor build of this server exposed three plain query tools (jurisdiction funding summary, disaster category breakdown, largest-projects ranking). Against the same 77,883-row table, eight functional cases returned values that matched independently computed control SQL exactly (e.g., TX statewide 3,716 projects / $1,300,521,413.20 federal share; disaster 4673 broke into 8 categories), and seven boundary/malformed cases were all rejected or returned empty sets cleanly. That exercise validated the data load, the control-matching methodology, and the input-validation approach now carried into the five-tool suite. The current five tools still require their own run to populate the table above; the predecessor numbers are not claimed for them.</w:t>
      </w:r>
    </w:p>
    <w:p>
      <w:pPr>
        <w:spacing w:before="200" w:after="80"/>
      </w:pPr>
      <w:r>
        <w:rPr>
          <w:b/>
          <w:color w:val="1483C8"/>
          <w:sz w:val="28"/>
        </w:rPr>
        <w:t>3. Security considerations</w:t>
      </w:r>
    </w:p>
    <w:p>
      <w:pPr>
        <w:pStyle w:val="ListBullet"/>
      </w:pPr>
      <w:r>
        <w:t>Public FEMA open data; no PII in the obligated-projects table.</w:t>
      </w:r>
    </w:p>
    <w:p>
      <w:pPr>
        <w:pStyle w:val="ListBullet"/>
      </w:pPr>
      <w:r>
        <w:t>Deterministic tool selection: the agent chooses from approved tools only; it cannot author arbitrary SQL.</w:t>
      </w:r>
    </w:p>
    <w:p>
      <w:pPr>
        <w:pStyle w:val="ListBullet"/>
      </w:pPr>
      <w:r>
        <w:t>Read-only SELECT functions; no write path, so no injection-to-mutation risk.</w:t>
      </w:r>
    </w:p>
    <w:p>
      <w:pPr>
        <w:pStyle w:val="ListBullet"/>
      </w:pPr>
      <w:r>
        <w:t>Unity Catalog governs access to the Genie Space and functions via OAuth scope per endpoint; every call is auditable in the workspace.</w:t>
      </w:r>
    </w:p>
    <w:p>
      <w:pPr>
        <w:pStyle w:val="ListBullet"/>
      </w:pPr>
      <w:r>
        <w:t>Pydantic + SQL constraints reject malformed state codes, negative disaster numbers, out-of-range limits, and inverted bands before any query runs.</w:t>
      </w:r>
    </w:p>
    <w:p>
      <w:pPr>
        <w:pStyle w:val="ListBullet"/>
      </w:pPr>
      <w:r>
        <w:t>Human review required: no automated investigations; a person makes every finding.</w:t>
      </w:r>
    </w:p>
    <w:p>
      <w:pPr>
        <w:pStyle w:val="ListBullet"/>
      </w:pPr>
      <w:r>
        <w:t>Every output carries a five-field provenance block and a not-a-finding caveat the agent must relay.</w:t>
      </w:r>
    </w:p>
    <w:p>
      <w:pPr>
        <w:spacing w:before="200" w:after="80"/>
      </w:pPr>
      <w:r>
        <w:rPr>
          <w:b/>
          <w:color w:val="1483C8"/>
          <w:sz w:val="28"/>
        </w:rPr>
        <w:t>4. Lessons learned and recommendations</w:t>
      </w:r>
    </w:p>
    <w:p>
      <w:pPr>
        <w:pStyle w:val="ListBullet"/>
      </w:pPr>
      <w:r>
        <w:t>Genie answered aggregate questions reliably only once the Space instructions told it to default to federalShareObligated for funding questions; without that line it sometimes summed projectAmount.</w:t>
      </w:r>
    </w:p>
    <w:p>
      <w:pPr>
        <w:pStyle w:val="ListBullet"/>
      </w:pPr>
      <w:r>
        <w:t>Encoding FEMA program nuance (the 75% norm and its 90%/100% exceptions, category-specific baselines, the Section 406 15% rule) measurably reduced ambiguous answers versus a generic query tool, and let the agent explain a signal rather than assert it.</w:t>
      </w:r>
    </w:p>
    <w:p>
      <w:pPr>
        <w:pStyle w:val="ListBullet"/>
      </w:pPr>
      <w:r>
        <w:t>Filtering the table to recent years kept the live demo responsive.</w:t>
      </w:r>
    </w:p>
    <w:p>
      <w:pPr>
        <w:pStyle w:val="ListBullet"/>
      </w:pPr>
      <w:r>
        <w:t>The evidence-brief and explain tools were the difference between "search" and "oversight": a flag with its methodology and limitations attached is reviewable; a bare flag is not.</w:t>
      </w:r>
    </w:p>
    <w:p>
      <w:pPr>
        <w:pStyle w:val="ListBullet"/>
      </w:pPr>
      <w:r>
        <w:t>Recommendation: add the OpenFEMA Public Assistance Applicants dataset for applicant joins, extend to disaster-level time series, and capture per-query latency and rows-scanned once a dedicated warehouse with query profiling is available.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