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FEMA Evidence and Oversight Judge Brief</w:t>
      </w:r>
    </w:p>
    <w:p>
      <w:r>
        <w:t>Phebe Arouni | Dataset Access track | October 29, 2026</w:t>
      </w:r>
    </w:p>
    <w:p>
      <w:pPr>
        <w:pStyle w:val="Heading1"/>
      </w:pPr>
      <w:r>
        <w:t>The Problem</w:t>
      </w:r>
    </w:p>
    <w:p>
      <w:r>
        <w:t>Public disaster-assistance data can show where money was obligated. An analyst also needs to know what deserves a second look, which records support the question, and what the data cannot prove. An unexplained score or ungrounded search response is difficult to review.</w:t>
      </w:r>
    </w:p>
    <w:p>
      <w:pPr>
        <w:pStyle w:val="Heading1"/>
      </w:pPr>
      <w:r>
        <w:t>The Contribution</w:t>
      </w:r>
    </w:p>
    <w:p>
      <w:r>
        <w:t>Five MCP actions screen cost-share ratios, find repeated worksheet groups, identify category cost outliers, explain the method and package a project's evidence. The workflow ties an indicator to its source and limits, with a person responsible for the outcome.</w:t>
      </w:r>
    </w:p>
    <w:p>
      <w:r>
        <w:t>The domain value is in the contract: disaster-aware identity, same-disaster grouping, category baselines, cost-share caveats and an evidence packet that does not turn a flag into a finding. These are bounded analytical tasks, not an API endpoint renamed as a tool.</w:t>
      </w:r>
    </w:p>
    <w:p>
      <w:pPr>
        <w:pStyle w:val="Heading1"/>
      </w:pPr>
      <w:r>
        <w:t>What Works Today</w:t>
      </w:r>
    </w:p>
    <w:p>
      <w:r>
        <w:t>FastMCP runs on an authenticated Databricks App. A saved serverless job executes registered tools, compares detection sets against independent SQLite calculations on identical inputs, and archives real model/tool traces in the workspace and MLflow.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  <w:shd w:fill="E8EEF1"/>
          </w:tcPr>
          <w:p>
            <w:pPr>
              <w:spacing w:after="80"/>
            </w:pPr>
            <w:r>
              <w:rPr>
                <w:b/>
                <w:sz w:val="19"/>
              </w:rPr>
              <w:t>Evidence</w:t>
            </w:r>
          </w:p>
        </w:tc>
        <w:tc>
          <w:tcPr>
            <w:tcW w:type="dxa" w:w="5112"/>
            <w:shd w:fill="E8EEF1"/>
          </w:tcPr>
          <w:p>
            <w:pPr>
              <w:spacing w:after="80"/>
            </w:pPr>
            <w:r>
              <w:rPr>
                <w:b/>
                <w:sz w:val="19"/>
              </w:rPr>
              <w:t>Reference-run result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sz w:val="19"/>
              </w:rPr>
              <w:t>Automated tests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19"/>
              </w:rPr>
              <w:t>64 passed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sz w:val="19"/>
              </w:rPr>
              <w:t>Code lint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sz w:val="19"/>
              </w:rPr>
              <w:t>Detection/control sets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19"/>
              </w:rPr>
              <w:t>3/3 exact matches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sz w:val="19"/>
              </w:rPr>
              <w:t>Expected first tool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19"/>
              </w:rPr>
              <w:t>15/15 questions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sz w:val="19"/>
              </w:rPr>
              <w:t>Agent workflows completed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19"/>
              </w:rPr>
              <w:t>3/3</w:t>
            </w:r>
          </w:p>
        </w:tc>
      </w:tr>
      <w:tr>
        <w:tc>
          <w:tcPr>
            <w:tcW w:type="dxa" w:w="5112"/>
          </w:tcPr>
          <w:p>
            <w:pPr>
              <w:spacing w:after="80"/>
            </w:pPr>
            <w:r>
              <w:rPr>
                <w:sz w:val="19"/>
              </w:rPr>
              <w:t>Median detection calls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rPr>
                <w:sz w:val="19"/>
              </w:rPr>
              <w:t>0.339 / 0.380 / 0.340 seconds</w:t>
            </w:r>
          </w:p>
        </w:tc>
      </w:tr>
    </w:tbl>
    <w:p/>
    <w:p>
      <w:r>
        <w:t>These are prototype-scale results, not universal accuracy. Timing includes live source retrieval but excludes remote MCP transport and model time.</w:t>
      </w:r>
    </w:p>
    <w:p>
      <w:pPr>
        <w:pStyle w:val="Heading1"/>
      </w:pPr>
      <w:r>
        <w:t>A Real Example</w:t>
      </w:r>
    </w:p>
    <w:p>
      <w:r>
        <w:t>The Florida disaster 4673 Category C test used 179 records and returned three outliers. The independent SQL control returned the same identities. An analyst can inspect the amount, mean, sigma, source and limits. This is a reason to ask a question, not a conclusion about the project.</w:t>
      </w:r>
    </w:p>
    <w:p>
      <w:r>
        <w:t>The repeat test returned zero groups from 3,962 records. That zero is preserved rather than replaced with an invented positive example.</w:t>
      </w:r>
    </w:p>
    <w:p>
      <w:pPr>
        <w:pStyle w:val="Heading1"/>
      </w:pPr>
      <w:r>
        <w:t>What We Learned</w:t>
      </w:r>
    </w:p>
    <w:p>
      <w:r>
        <w:t>Correct tools do not guarantee correct prose. One recorded answer added unsupported legal citations and a ratio-band error. The raw trace is retained. The displayed browser summary now uses structured evidence rather than model prose; three real review workflows passed targeted checks. Model-selected filters still require review. Source caps and unverified declaration authorizations also limit operational use.</w:t>
      </w:r>
    </w:p>
    <w:p>
      <w:r>
        <w:t>The reusable contribution is an evidence-first interface: constrained retrieval, explicit calculations, auditable inputs and a clear boundary between an indicator and a decision. Other grant-program integrations and audit savings are proposed, not measured.</w:t>
      </w:r>
    </w:p>
    <w:p>
      <w:r>
        <w:t>Start with SUBMISSION.md; reproduce the run using docs/REVIEWER_WALKTHROUGH.md; inspect eval/results/20261029T111811Z/.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FEMA Evidence and Oversight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FEMA Evidence and Oversight Judge Brief</dc:title>
  <dc:subject/>
  <dc:creator>Phebe Arouni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