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D9FA" w14:textId="1A46AB3C" w:rsidR="00B87B30" w:rsidRDefault="005D6F34" w:rsidP="005D6F34">
      <w:pPr>
        <w:jc w:val="center"/>
        <w:rPr>
          <w:b/>
          <w:bCs/>
          <w:sz w:val="24"/>
          <w:szCs w:val="24"/>
          <w:lang w:val="en-US"/>
        </w:rPr>
      </w:pPr>
      <w:r w:rsidRPr="005D6F34">
        <w:rPr>
          <w:b/>
          <w:bCs/>
          <w:sz w:val="24"/>
          <w:szCs w:val="24"/>
          <w:lang w:val="en-US"/>
        </w:rPr>
        <w:t>Logistic Regression and Confusion Matrix</w:t>
      </w:r>
    </w:p>
    <w:p w14:paraId="2423EB06" w14:textId="10FC10EF" w:rsidR="005D6F34" w:rsidRDefault="005D6F34" w:rsidP="005D6F34">
      <w:pPr>
        <w:jc w:val="center"/>
        <w:rPr>
          <w:b/>
          <w:bCs/>
          <w:sz w:val="24"/>
          <w:szCs w:val="24"/>
          <w:lang w:val="en-US"/>
        </w:rPr>
      </w:pPr>
    </w:p>
    <w:p w14:paraId="1CEC5297" w14:textId="718A9604" w:rsidR="005D6F34" w:rsidRDefault="005D6F34" w:rsidP="005D6F34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Introduction:</w:t>
      </w:r>
    </w:p>
    <w:p w14:paraId="0F92167D" w14:textId="08B1762A" w:rsidR="001724F3" w:rsidRDefault="00640DDC" w:rsidP="005D6F34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Logistic regression</w:t>
      </w:r>
      <w:r w:rsidRPr="00640DDC">
        <w:rPr>
          <w:rFonts w:cstheme="minorHAnsi"/>
          <w:color w:val="000000"/>
          <w:shd w:val="clear" w:color="auto" w:fill="FFFFFF"/>
        </w:rPr>
        <w:t xml:space="preserve"> is one of the fundamental algorithms in classification Machine Learning</w:t>
      </w:r>
      <w:r w:rsidR="001724F3">
        <w:rPr>
          <w:rFonts w:cstheme="minorHAnsi"/>
          <w:color w:val="000000"/>
          <w:shd w:val="clear" w:color="auto" w:fill="FFFFFF"/>
        </w:rPr>
        <w:t xml:space="preserve"> algorithms</w:t>
      </w:r>
      <w:r w:rsidRPr="00640DDC">
        <w:rPr>
          <w:rFonts w:cstheme="minorHAnsi"/>
          <w:color w:val="000000"/>
          <w:shd w:val="clear" w:color="auto" w:fill="FFFFFF"/>
        </w:rPr>
        <w:t xml:space="preserve">. It is important to understand how logistic algorithm works and </w:t>
      </w:r>
      <w:r w:rsidR="006B307D">
        <w:rPr>
          <w:rFonts w:cstheme="minorHAnsi"/>
          <w:color w:val="000000"/>
          <w:shd w:val="clear" w:color="auto" w:fill="FFFFFF"/>
        </w:rPr>
        <w:t>what are</w:t>
      </w:r>
      <w:r w:rsidRPr="00640DDC">
        <w:rPr>
          <w:rFonts w:cstheme="minorHAnsi"/>
          <w:color w:val="000000"/>
          <w:shd w:val="clear" w:color="auto" w:fill="FFFFFF"/>
        </w:rPr>
        <w:t xml:space="preserve"> </w:t>
      </w:r>
      <w:r w:rsidR="001724F3">
        <w:rPr>
          <w:rFonts w:cstheme="minorHAnsi"/>
          <w:color w:val="000000"/>
          <w:shd w:val="clear" w:color="auto" w:fill="FFFFFF"/>
        </w:rPr>
        <w:t xml:space="preserve">the </w:t>
      </w:r>
      <w:r w:rsidRPr="00640DDC">
        <w:rPr>
          <w:rFonts w:cstheme="minorHAnsi"/>
          <w:color w:val="000000"/>
          <w:shd w:val="clear" w:color="auto" w:fill="FFFFFF"/>
        </w:rPr>
        <w:t>loss function</w:t>
      </w:r>
      <w:r w:rsidR="006B307D">
        <w:rPr>
          <w:rFonts w:cstheme="minorHAnsi"/>
          <w:color w:val="000000"/>
          <w:shd w:val="clear" w:color="auto" w:fill="FFFFFF"/>
        </w:rPr>
        <w:t>s</w:t>
      </w:r>
      <w:r w:rsidRPr="00640DDC">
        <w:rPr>
          <w:rFonts w:cstheme="minorHAnsi"/>
          <w:color w:val="000000"/>
          <w:shd w:val="clear" w:color="auto" w:fill="FFFFFF"/>
        </w:rPr>
        <w:t xml:space="preserve"> used to build the best model for classification.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1724F3">
        <w:rPr>
          <w:rFonts w:cstheme="minorHAnsi"/>
          <w:color w:val="000000"/>
          <w:shd w:val="clear" w:color="auto" w:fill="FFFFFF"/>
        </w:rPr>
        <w:t>These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1724F3">
        <w:rPr>
          <w:rFonts w:cstheme="minorHAnsi"/>
          <w:color w:val="000000"/>
          <w:shd w:val="clear" w:color="auto" w:fill="FFFFFF"/>
        </w:rPr>
        <w:t>concepts play important role in</w:t>
      </w:r>
      <w:r>
        <w:rPr>
          <w:rFonts w:cstheme="minorHAnsi"/>
          <w:color w:val="000000"/>
          <w:shd w:val="clear" w:color="auto" w:fill="FFFFFF"/>
        </w:rPr>
        <w:t xml:space="preserve"> understand</w:t>
      </w:r>
      <w:r w:rsidR="001724F3">
        <w:rPr>
          <w:rFonts w:cstheme="minorHAnsi"/>
          <w:color w:val="000000"/>
          <w:shd w:val="clear" w:color="auto" w:fill="FFFFFF"/>
        </w:rPr>
        <w:t>ing</w:t>
      </w:r>
      <w:r>
        <w:rPr>
          <w:rFonts w:cstheme="minorHAnsi"/>
          <w:color w:val="000000"/>
          <w:shd w:val="clear" w:color="auto" w:fill="FFFFFF"/>
        </w:rPr>
        <w:t xml:space="preserve"> the other classification algorithms in machine learning.</w:t>
      </w:r>
    </w:p>
    <w:p w14:paraId="2079F423" w14:textId="77777777" w:rsidR="001724F3" w:rsidRDefault="001724F3" w:rsidP="005D6F34">
      <w:pPr>
        <w:jc w:val="both"/>
        <w:rPr>
          <w:rFonts w:cstheme="minorHAnsi"/>
          <w:color w:val="000000"/>
          <w:shd w:val="clear" w:color="auto" w:fill="FFFFFF"/>
        </w:rPr>
      </w:pPr>
    </w:p>
    <w:p w14:paraId="115308F6" w14:textId="1D30D630" w:rsidR="001724F3" w:rsidRDefault="001724F3" w:rsidP="001724F3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Why logistic a</w:t>
      </w:r>
      <w:r w:rsidRPr="005D6F34">
        <w:rPr>
          <w:b/>
          <w:bCs/>
          <w:u w:val="single"/>
          <w:lang w:val="en-US"/>
        </w:rPr>
        <w:t>lgorithm</w:t>
      </w:r>
      <w:r>
        <w:rPr>
          <w:b/>
          <w:bCs/>
          <w:u w:val="single"/>
          <w:lang w:val="en-US"/>
        </w:rPr>
        <w:t xml:space="preserve"> is </w:t>
      </w:r>
      <w:proofErr w:type="gramStart"/>
      <w:r>
        <w:rPr>
          <w:b/>
          <w:bCs/>
          <w:u w:val="single"/>
          <w:lang w:val="en-US"/>
        </w:rPr>
        <w:t>linear?:</w:t>
      </w:r>
      <w:proofErr w:type="gramEnd"/>
      <w:r>
        <w:rPr>
          <w:b/>
          <w:bCs/>
          <w:u w:val="single"/>
          <w:lang w:val="en-US"/>
        </w:rPr>
        <w:t xml:space="preserve">  </w:t>
      </w:r>
    </w:p>
    <w:p w14:paraId="0C4D3F1D" w14:textId="77777777" w:rsidR="003761CC" w:rsidRDefault="00DA7332" w:rsidP="001724F3">
      <w:pPr>
        <w:jc w:val="both"/>
        <w:rPr>
          <w:lang w:val="en-US"/>
        </w:rPr>
      </w:pPr>
      <w:r>
        <w:rPr>
          <w:lang w:val="en-US"/>
        </w:rPr>
        <w:t xml:space="preserve">In classification problem, usually the output of an algorithm is probability of a data point belonging to a certain class. This can be achieved using a </w:t>
      </w:r>
      <w:r w:rsidR="003761CC">
        <w:rPr>
          <w:lang w:val="en-US"/>
        </w:rPr>
        <w:t>sigmoidal function, which is given below:</w:t>
      </w:r>
    </w:p>
    <w:p w14:paraId="28138491" w14:textId="77777777" w:rsidR="003761CC" w:rsidRDefault="003761CC" w:rsidP="001724F3">
      <w:pPr>
        <w:jc w:val="both"/>
        <w:rPr>
          <w:lang w:val="en-US"/>
        </w:rPr>
      </w:pPr>
    </w:p>
    <w:p w14:paraId="1EC10DA1" w14:textId="0502EA53" w:rsidR="001724F3" w:rsidRPr="001724F3" w:rsidRDefault="003761CC" w:rsidP="001724F3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ax+b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ax+b</m:t>
                </m:r>
              </m:sup>
            </m:sSup>
          </m:den>
        </m:f>
      </m:oMath>
      <w:r w:rsidR="00DA7332">
        <w:rPr>
          <w:lang w:val="en-US"/>
        </w:rPr>
        <w:t xml:space="preserve"> </w:t>
      </w:r>
      <w:r w:rsidR="00724891">
        <w:rPr>
          <w:lang w:val="en-US"/>
        </w:rPr>
        <w:tab/>
      </w:r>
      <w:r w:rsidR="00724891">
        <w:rPr>
          <w:lang w:val="en-US"/>
        </w:rPr>
        <w:tab/>
      </w:r>
      <w:r w:rsidR="00724891">
        <w:rPr>
          <w:lang w:val="en-US"/>
        </w:rPr>
        <w:tab/>
      </w:r>
      <w:r w:rsidR="00724891">
        <w:rPr>
          <w:lang w:val="en-US"/>
        </w:rPr>
        <w:tab/>
        <w:t>Eq. 1</w:t>
      </w:r>
    </w:p>
    <w:p w14:paraId="70844EEB" w14:textId="139A3DF5" w:rsidR="001724F3" w:rsidRDefault="001724F3" w:rsidP="001724F3">
      <w:pPr>
        <w:jc w:val="both"/>
        <w:rPr>
          <w:b/>
          <w:bCs/>
          <w:u w:val="single"/>
          <w:lang w:val="en-US"/>
        </w:rPr>
      </w:pPr>
    </w:p>
    <w:p w14:paraId="21BF1051" w14:textId="7A8FAD5F" w:rsidR="00CA0686" w:rsidRDefault="003761CC" w:rsidP="001724F3">
      <w:pPr>
        <w:jc w:val="both"/>
        <w:rPr>
          <w:lang w:val="en-US"/>
        </w:rPr>
      </w:pPr>
      <w:r>
        <w:rPr>
          <w:lang w:val="en-US"/>
        </w:rPr>
        <w:t xml:space="preserve">In logistic regression sigmoidal function is used and it gives the probability as continuous value which is between 0 and 1. </w:t>
      </w:r>
      <w:r w:rsidR="00724891">
        <w:rPr>
          <w:lang w:val="en-US"/>
        </w:rPr>
        <w:t xml:space="preserve">In </w:t>
      </w:r>
      <w:r w:rsidR="00724891" w:rsidRPr="00CA0686">
        <w:rPr>
          <w:i/>
          <w:iCs/>
          <w:lang w:val="en-US"/>
        </w:rPr>
        <w:t>Eq. 1</w:t>
      </w:r>
      <w:r w:rsidR="00724891">
        <w:rPr>
          <w:lang w:val="en-US"/>
        </w:rPr>
        <w:t xml:space="preserve">, term </w:t>
      </w:r>
      <w:proofErr w:type="spellStart"/>
      <w:r w:rsidR="00724891" w:rsidRPr="00CA0686">
        <w:rPr>
          <w:i/>
          <w:iCs/>
          <w:lang w:val="en-US"/>
        </w:rPr>
        <w:t>ax+b</w:t>
      </w:r>
      <w:proofErr w:type="spellEnd"/>
      <w:r w:rsidR="00724891" w:rsidRPr="00CA0686">
        <w:rPr>
          <w:i/>
          <w:iCs/>
          <w:lang w:val="en-US"/>
        </w:rPr>
        <w:t xml:space="preserve"> </w:t>
      </w:r>
      <w:r w:rsidR="00CA0686">
        <w:rPr>
          <w:lang w:val="en-US"/>
        </w:rPr>
        <w:t>is a linear term and it is the same equation</w:t>
      </w:r>
      <w:r w:rsidR="006B307D">
        <w:rPr>
          <w:lang w:val="en-US"/>
        </w:rPr>
        <w:t xml:space="preserve"> the </w:t>
      </w:r>
      <w:r w:rsidR="00CA0686">
        <w:rPr>
          <w:lang w:val="en-US"/>
        </w:rPr>
        <w:t xml:space="preserve">one used in linear regression to build the relation between dependent and independent variables. By applying few mathematical operations to </w:t>
      </w:r>
      <w:r w:rsidR="00CA0686" w:rsidRPr="00CA0686">
        <w:rPr>
          <w:i/>
          <w:iCs/>
          <w:lang w:val="en-US"/>
        </w:rPr>
        <w:t>Eq. 1</w:t>
      </w:r>
      <w:r w:rsidR="00CA0686">
        <w:rPr>
          <w:lang w:val="en-US"/>
        </w:rPr>
        <w:t>, one can show that</w:t>
      </w:r>
      <w:r w:rsidR="006B307D">
        <w:rPr>
          <w:lang w:val="en-US"/>
        </w:rPr>
        <w:t>:</w:t>
      </w:r>
      <w:r w:rsidR="00CA0686">
        <w:rPr>
          <w:lang w:val="en-US"/>
        </w:rPr>
        <w:t xml:space="preserve"> </w:t>
      </w:r>
    </w:p>
    <w:p w14:paraId="229E68A4" w14:textId="77777777" w:rsidR="00CA0686" w:rsidRDefault="00CA0686" w:rsidP="001724F3">
      <w:pPr>
        <w:jc w:val="both"/>
        <w:rPr>
          <w:lang w:val="en-US"/>
        </w:rPr>
      </w:pPr>
    </w:p>
    <w:p w14:paraId="1CCCEA99" w14:textId="74FB0574" w:rsidR="003761CC" w:rsidRPr="00CA0686" w:rsidRDefault="00CA0686" w:rsidP="00CA068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ax+b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ax+b</m:t>
            </m:r>
          </m:sup>
        </m:sSup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Eq. 2</w:t>
      </w:r>
      <w:r>
        <w:rPr>
          <w:rFonts w:eastAsiaTheme="minorEastAsia"/>
          <w:lang w:val="en-US"/>
        </w:rPr>
        <w:tab/>
      </w:r>
    </w:p>
    <w:p w14:paraId="41B7A326" w14:textId="5ADFB219" w:rsidR="00CA0686" w:rsidRPr="00CA0686" w:rsidRDefault="00CA0686" w:rsidP="001724F3">
      <w:pPr>
        <w:jc w:val="both"/>
        <w:rPr>
          <w:rFonts w:ascii="Cambria Math" w:hAnsi="Cambria Math"/>
          <w:iCs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ax+b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ax+b</m:t>
            </m:r>
          </m:sup>
        </m:sSup>
      </m:oMath>
      <w:r>
        <w:rPr>
          <w:rFonts w:ascii="Cambria Math" w:eastAsiaTheme="minorEastAsia" w:hAnsi="Cambria Math"/>
          <w:i/>
          <w:lang w:val="en-US"/>
        </w:rPr>
        <w:tab/>
      </w:r>
      <w:r>
        <w:rPr>
          <w:rFonts w:ascii="Cambria Math" w:eastAsiaTheme="minorEastAsia" w:hAnsi="Cambria Math"/>
          <w:i/>
          <w:lang w:val="en-US"/>
        </w:rPr>
        <w:tab/>
      </w:r>
      <w:r w:rsidRPr="00CA0686">
        <w:rPr>
          <w:lang w:val="en-US"/>
        </w:rPr>
        <w:t>Eq. 3</w:t>
      </w:r>
    </w:p>
    <w:p w14:paraId="45521475" w14:textId="52C057D3" w:rsidR="00CA0686" w:rsidRPr="00EE3403" w:rsidRDefault="00EE3403" w:rsidP="001724F3">
      <w:pPr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ax+b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(1-p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Eq. 4</w:t>
      </w:r>
    </w:p>
    <w:p w14:paraId="065B55F5" w14:textId="50095008" w:rsidR="00EE3403" w:rsidRPr="00EE3403" w:rsidRDefault="005C5D7B" w:rsidP="001724F3">
      <w:pPr>
        <w:jc w:val="both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p(x)</m:t>
            </m:r>
          </m:num>
          <m:den>
            <m:r>
              <w:rPr>
                <w:rFonts w:ascii="Cambria Math" w:hAnsi="Cambria Math"/>
                <w:lang w:val="en-US"/>
              </w:rPr>
              <m:t>1-p(x)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ax+b</m:t>
            </m:r>
          </m:sup>
        </m:sSup>
      </m:oMath>
      <w:r w:rsidR="00EE3403">
        <w:rPr>
          <w:rFonts w:eastAsiaTheme="minorEastAsia"/>
          <w:lang w:val="en-US"/>
        </w:rPr>
        <w:tab/>
      </w:r>
      <w:r w:rsidR="00EE3403">
        <w:rPr>
          <w:rFonts w:eastAsiaTheme="minorEastAsia"/>
          <w:lang w:val="en-US"/>
        </w:rPr>
        <w:tab/>
      </w:r>
      <w:r w:rsidR="00EE3403">
        <w:rPr>
          <w:rFonts w:eastAsiaTheme="minorEastAsia"/>
          <w:lang w:val="en-US"/>
        </w:rPr>
        <w:tab/>
      </w:r>
      <w:r w:rsidR="00EE3403">
        <w:rPr>
          <w:rFonts w:eastAsiaTheme="minorEastAsia"/>
          <w:lang w:val="en-US"/>
        </w:rPr>
        <w:tab/>
        <w:t>Eq.5</w:t>
      </w:r>
    </w:p>
    <w:p w14:paraId="70DA7418" w14:textId="10502657" w:rsidR="00EE3403" w:rsidRDefault="00EE3403" w:rsidP="001724F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log at both sides:</w:t>
      </w:r>
    </w:p>
    <w:p w14:paraId="6E569B72" w14:textId="376EB0EA" w:rsidR="003761CC" w:rsidRPr="00EE3403" w:rsidRDefault="005C5D7B" w:rsidP="001724F3">
      <w:pPr>
        <w:jc w:val="both"/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=ax+b</m:t>
        </m:r>
      </m:oMath>
      <w:r w:rsidR="00EE3403">
        <w:rPr>
          <w:rFonts w:eastAsiaTheme="minorEastAsia"/>
          <w:lang w:val="en-US"/>
        </w:rPr>
        <w:tab/>
      </w:r>
      <w:r w:rsidR="00EE3403">
        <w:rPr>
          <w:rFonts w:eastAsiaTheme="minorEastAsia"/>
          <w:lang w:val="en-US"/>
        </w:rPr>
        <w:tab/>
      </w:r>
      <w:r w:rsidR="00EE3403">
        <w:rPr>
          <w:rFonts w:eastAsiaTheme="minorEastAsia"/>
          <w:lang w:val="en-US"/>
        </w:rPr>
        <w:tab/>
        <w:t>Eq. 6</w:t>
      </w:r>
    </w:p>
    <w:p w14:paraId="5EF3E950" w14:textId="4E4A96E0" w:rsidR="00EE3403" w:rsidRDefault="00EE3403" w:rsidP="001724F3">
      <w:pPr>
        <w:jc w:val="both"/>
        <w:rPr>
          <w:lang w:val="en-US"/>
        </w:rPr>
      </w:pPr>
    </w:p>
    <w:p w14:paraId="5A40EB03" w14:textId="1AB02D32" w:rsidR="009932C3" w:rsidRDefault="00EE3403" w:rsidP="001724F3">
      <w:pPr>
        <w:jc w:val="both"/>
        <w:rPr>
          <w:lang w:val="en-US"/>
        </w:rPr>
      </w:pPr>
      <w:r>
        <w:rPr>
          <w:lang w:val="en-US"/>
        </w:rPr>
        <w:t>Left hand side of the Eq.6 is log</w:t>
      </w:r>
      <w:r w:rsidR="0035581F">
        <w:rPr>
          <w:lang w:val="en-US"/>
        </w:rPr>
        <w:t>(</w:t>
      </w:r>
      <w:r>
        <w:rPr>
          <w:lang w:val="en-US"/>
        </w:rPr>
        <w:t>odds</w:t>
      </w:r>
      <w:r w:rsidR="0035581F">
        <w:rPr>
          <w:lang w:val="en-US"/>
        </w:rPr>
        <w:t>)</w:t>
      </w:r>
      <w:r>
        <w:rPr>
          <w:lang w:val="en-US"/>
        </w:rPr>
        <w:t xml:space="preserve">. </w:t>
      </w:r>
      <w:r w:rsidR="005C5D7B">
        <w:rPr>
          <w:lang w:val="en-US"/>
        </w:rPr>
        <w:t>O</w:t>
      </w:r>
      <w:r>
        <w:rPr>
          <w:lang w:val="en-US"/>
        </w:rPr>
        <w:t xml:space="preserve">dds is the ratio of probability of an event occurring to probability of opposing event occurring. In logistic regression, event is classification. </w:t>
      </w:r>
      <w:r w:rsidR="00377DB8">
        <w:rPr>
          <w:lang w:val="en-US"/>
        </w:rPr>
        <w:t>It is clear from Eq.</w:t>
      </w:r>
      <w:r w:rsidR="0035581F">
        <w:rPr>
          <w:lang w:val="en-US"/>
        </w:rPr>
        <w:t>6</w:t>
      </w:r>
      <w:r w:rsidR="00377DB8">
        <w:rPr>
          <w:lang w:val="en-US"/>
        </w:rPr>
        <w:t xml:space="preserve"> that the log(odds) has linear relation with the independent variable, which is similar </w:t>
      </w:r>
      <w:r w:rsidR="0035581F">
        <w:rPr>
          <w:lang w:val="en-US"/>
        </w:rPr>
        <w:t xml:space="preserve">to </w:t>
      </w:r>
      <w:r w:rsidR="00377DB8">
        <w:rPr>
          <w:lang w:val="en-US"/>
        </w:rPr>
        <w:t>linear regression model.</w:t>
      </w:r>
      <w:r w:rsidR="002D7665">
        <w:rPr>
          <w:lang w:val="en-US"/>
        </w:rPr>
        <w:t xml:space="preserve"> </w:t>
      </w:r>
      <w:r w:rsidR="009932C3">
        <w:rPr>
          <w:lang w:val="en-US"/>
        </w:rPr>
        <w:t xml:space="preserve">By replacing </w:t>
      </w:r>
      <w:proofErr w:type="spellStart"/>
      <w:r w:rsidR="009932C3" w:rsidRPr="00CA0686">
        <w:rPr>
          <w:i/>
          <w:iCs/>
          <w:lang w:val="en-US"/>
        </w:rPr>
        <w:t>ax+b</w:t>
      </w:r>
      <w:proofErr w:type="spellEnd"/>
      <w:r w:rsidR="009932C3" w:rsidRPr="00CA0686">
        <w:rPr>
          <w:i/>
          <w:iCs/>
          <w:lang w:val="en-US"/>
        </w:rPr>
        <w:t xml:space="preserve"> </w:t>
      </w:r>
      <w:r w:rsidR="009932C3">
        <w:rPr>
          <w:lang w:val="en-US"/>
        </w:rPr>
        <w:t>with log(odds), Eq.1 will result in:</w:t>
      </w:r>
    </w:p>
    <w:p w14:paraId="4A7EF7B4" w14:textId="03F18F22" w:rsidR="009932C3" w:rsidRDefault="009932C3" w:rsidP="001724F3">
      <w:pPr>
        <w:jc w:val="both"/>
        <w:rPr>
          <w:lang w:val="en-US"/>
        </w:rPr>
      </w:pPr>
    </w:p>
    <w:p w14:paraId="452D424B" w14:textId="373BB54F" w:rsidR="009932C3" w:rsidRPr="001724F3" w:rsidRDefault="009932C3" w:rsidP="009932C3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log⁡</m:t>
                </m:r>
                <m:r>
                  <w:rPr>
                    <w:rFonts w:ascii="Cambria Math" w:hAnsi="Cambria Math"/>
                    <w:lang w:val="en-US"/>
                  </w:rPr>
                  <m:t>(odds)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log⁡</m:t>
                </m:r>
                <m:r>
                  <w:rPr>
                    <w:rFonts w:ascii="Cambria Math" w:hAnsi="Cambria Math"/>
                    <w:lang w:val="en-US"/>
                  </w:rPr>
                  <m:t>(odds)</m:t>
                </m:r>
              </m:sup>
            </m:sSup>
          </m:den>
        </m:f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Eq. </w:t>
      </w:r>
      <w:r>
        <w:rPr>
          <w:lang w:val="en-US"/>
        </w:rPr>
        <w:t>7</w:t>
      </w:r>
    </w:p>
    <w:p w14:paraId="650CBD8D" w14:textId="77777777" w:rsidR="009932C3" w:rsidRDefault="009932C3" w:rsidP="001724F3">
      <w:pPr>
        <w:jc w:val="both"/>
        <w:rPr>
          <w:lang w:val="en-US"/>
        </w:rPr>
      </w:pPr>
    </w:p>
    <w:p w14:paraId="4A2A1556" w14:textId="77777777" w:rsidR="00CF35B4" w:rsidRDefault="009932C3" w:rsidP="001724F3">
      <w:pPr>
        <w:jc w:val="both"/>
        <w:rPr>
          <w:lang w:val="en-US"/>
        </w:rPr>
      </w:pPr>
      <w:r>
        <w:rPr>
          <w:lang w:val="en-US"/>
        </w:rPr>
        <w:lastRenderedPageBreak/>
        <w:t xml:space="preserve">In logistic regression, linear model (line, surface or hyper surface) is built to </w:t>
      </w:r>
      <w:r w:rsidR="006B2F60">
        <w:rPr>
          <w:lang w:val="en-US"/>
        </w:rPr>
        <w:t xml:space="preserve">predict log(odds) using independent variables. The predicted log(odds) </w:t>
      </w:r>
      <w:r>
        <w:rPr>
          <w:lang w:val="en-US"/>
        </w:rPr>
        <w:t xml:space="preserve">is used to predict the probability of a datapoint belonging to a certain class using Eq.7. </w:t>
      </w:r>
      <w:r w:rsidR="006B2F60">
        <w:rPr>
          <w:lang w:val="en-US"/>
        </w:rPr>
        <w:t xml:space="preserve">This probability prediction is put through a loss function to optimize the model. </w:t>
      </w:r>
    </w:p>
    <w:p w14:paraId="58E41FE4" w14:textId="6D1B8D6F" w:rsidR="009932C3" w:rsidRDefault="006B2F60" w:rsidP="001724F3">
      <w:pPr>
        <w:jc w:val="both"/>
        <w:rPr>
          <w:lang w:val="en-US"/>
        </w:rPr>
      </w:pPr>
      <w:r>
        <w:rPr>
          <w:lang w:val="en-US"/>
        </w:rPr>
        <w:t xml:space="preserve">Since the </w:t>
      </w:r>
      <w:r w:rsidR="00CF35B4">
        <w:rPr>
          <w:lang w:val="en-US"/>
        </w:rPr>
        <w:t xml:space="preserve">logistic classification uses linear regression technique to predict the probability, the algorithm is classified under linear regression. </w:t>
      </w:r>
    </w:p>
    <w:p w14:paraId="21D2E7D7" w14:textId="77777777" w:rsidR="003761CC" w:rsidRPr="005D6F34" w:rsidRDefault="003761CC" w:rsidP="001724F3">
      <w:pPr>
        <w:jc w:val="both"/>
        <w:rPr>
          <w:b/>
          <w:bCs/>
          <w:u w:val="single"/>
          <w:lang w:val="en-US"/>
        </w:rPr>
      </w:pPr>
    </w:p>
    <w:p w14:paraId="31226CCE" w14:textId="2E33F292" w:rsidR="005D6F34" w:rsidRDefault="00CF35B4" w:rsidP="005D6F34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Loss Function</w:t>
      </w:r>
      <w:r w:rsidR="005D6F34" w:rsidRPr="005D6F34">
        <w:rPr>
          <w:b/>
          <w:bCs/>
          <w:u w:val="single"/>
          <w:lang w:val="en-US"/>
        </w:rPr>
        <w:t>:</w:t>
      </w:r>
    </w:p>
    <w:p w14:paraId="19ED9BBD" w14:textId="45012503" w:rsidR="00CF35B4" w:rsidRDefault="00CF35B4" w:rsidP="005D6F34">
      <w:pPr>
        <w:jc w:val="both"/>
        <w:rPr>
          <w:lang w:val="en-US"/>
        </w:rPr>
      </w:pPr>
      <w:r w:rsidRPr="00CF35B4">
        <w:rPr>
          <w:lang w:val="en-US"/>
        </w:rPr>
        <w:t xml:space="preserve">The </w:t>
      </w:r>
      <w:r>
        <w:rPr>
          <w:lang w:val="en-US"/>
        </w:rPr>
        <w:t xml:space="preserve">loss function used in </w:t>
      </w:r>
      <w:r w:rsidR="00E66A70">
        <w:rPr>
          <w:lang w:val="en-US"/>
        </w:rPr>
        <w:t xml:space="preserve">classification generally is the </w:t>
      </w:r>
      <w:r w:rsidR="00544305">
        <w:rPr>
          <w:lang w:val="en-US"/>
        </w:rPr>
        <w:t>cross-entropy</w:t>
      </w:r>
      <w:r w:rsidR="00E66A70">
        <w:rPr>
          <w:lang w:val="en-US"/>
        </w:rPr>
        <w:t xml:space="preserve"> loss function. </w:t>
      </w:r>
      <w:r w:rsidR="00544305">
        <w:rPr>
          <w:lang w:val="en-US"/>
        </w:rPr>
        <w:t>There are two cross-entropy loss functions:</w:t>
      </w:r>
    </w:p>
    <w:p w14:paraId="57F5C007" w14:textId="0682AB84" w:rsidR="00544305" w:rsidRDefault="00544305" w:rsidP="00544305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Binary classification loss function</w:t>
      </w:r>
    </w:p>
    <w:p w14:paraId="5DFAA43E" w14:textId="2142A1E7" w:rsidR="00544305" w:rsidRDefault="00544305" w:rsidP="00544305">
      <w:pPr>
        <w:jc w:val="both"/>
        <w:rPr>
          <w:lang w:val="en-US"/>
        </w:rPr>
      </w:pPr>
      <w:r>
        <w:rPr>
          <w:lang w:val="en-US"/>
        </w:rPr>
        <w:t xml:space="preserve">Binary classification refers to assigning the object/datapoint to one of the two classes. The </w:t>
      </w:r>
      <w:r w:rsidR="008F5A3E">
        <w:rPr>
          <w:lang w:val="en-US"/>
        </w:rPr>
        <w:t xml:space="preserve">loss function used is </w:t>
      </w:r>
      <w:r>
        <w:rPr>
          <w:lang w:val="en-US"/>
        </w:rPr>
        <w:t xml:space="preserve">binary </w:t>
      </w:r>
      <w:r w:rsidR="008F5A3E">
        <w:rPr>
          <w:lang w:val="en-US"/>
        </w:rPr>
        <w:t xml:space="preserve">cross entropy </w:t>
      </w:r>
      <w:r>
        <w:rPr>
          <w:lang w:val="en-US"/>
        </w:rPr>
        <w:t xml:space="preserve">loss function </w:t>
      </w:r>
      <w:r w:rsidR="008F5A3E">
        <w:rPr>
          <w:lang w:val="en-US"/>
        </w:rPr>
        <w:t xml:space="preserve">and it </w:t>
      </w:r>
      <w:r>
        <w:rPr>
          <w:lang w:val="en-US"/>
        </w:rPr>
        <w:t>is given below:</w:t>
      </w:r>
    </w:p>
    <w:p w14:paraId="761617C2" w14:textId="489A5687" w:rsidR="00544305" w:rsidRDefault="00544305" w:rsidP="00544305">
      <w:pPr>
        <w:jc w:val="both"/>
        <w:rPr>
          <w:lang w:val="en-US"/>
        </w:rPr>
      </w:pPr>
    </w:p>
    <w:p w14:paraId="63F645FE" w14:textId="3931AC60" w:rsidR="00544305" w:rsidRPr="00544305" w:rsidRDefault="00544305" w:rsidP="00544305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L=-y∙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-(1-y)∙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              if y=1</m:t>
                  </m:r>
                </m:e>
              </m:eqArr>
            </m:e>
          </m:d>
        </m:oMath>
      </m:oMathPara>
    </w:p>
    <w:p w14:paraId="41AEC05B" w14:textId="681648F5" w:rsidR="00544305" w:rsidRDefault="00544305" w:rsidP="00544305">
      <w:pPr>
        <w:jc w:val="both"/>
        <w:rPr>
          <w:rFonts w:eastAsiaTheme="minorEastAsia"/>
          <w:lang w:val="en-US"/>
        </w:rPr>
      </w:pPr>
    </w:p>
    <w:p w14:paraId="39F9E068" w14:textId="7FCBA685" w:rsidR="00544305" w:rsidRDefault="00544305" w:rsidP="0054430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42C03986" w14:textId="52F05FE0" w:rsidR="00544305" w:rsidRDefault="00544305" w:rsidP="00544305">
      <w:pPr>
        <w:jc w:val="both"/>
        <w:rPr>
          <w:rFonts w:eastAsiaTheme="minorEastAsia"/>
          <w:lang w:val="en-US"/>
        </w:rPr>
      </w:pPr>
      <w:r w:rsidRPr="00544305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  <w:lang w:val="en-US"/>
        </w:rPr>
        <w:tab/>
        <w:t xml:space="preserve">= is the true probability of data point </w:t>
      </w:r>
      <w:r w:rsidRPr="00544305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lang w:val="en-US"/>
        </w:rPr>
        <w:t>;</w:t>
      </w:r>
    </w:p>
    <w:p w14:paraId="05D4E8E3" w14:textId="5769265B" w:rsidR="00544305" w:rsidRDefault="00544305" w:rsidP="00544305">
      <w:pPr>
        <w:jc w:val="both"/>
        <w:rPr>
          <w:rFonts w:eastAsiaTheme="minorEastAsia"/>
          <w:lang w:val="en-US"/>
        </w:rPr>
      </w:pPr>
      <w:r w:rsidRPr="00544305">
        <w:rPr>
          <w:rFonts w:eastAsiaTheme="minorEastAsia"/>
          <w:i/>
          <w:iCs/>
          <w:lang w:val="en-US"/>
        </w:rPr>
        <w:t>p(x)</w:t>
      </w:r>
      <w:r>
        <w:rPr>
          <w:rFonts w:eastAsiaTheme="minorEastAsia"/>
          <w:lang w:val="en-US"/>
        </w:rPr>
        <w:tab/>
        <w:t xml:space="preserve">= is the predicted probability of data point </w:t>
      </w:r>
      <w:r w:rsidRPr="00544305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lang w:val="en-US"/>
        </w:rPr>
        <w:t>;</w:t>
      </w:r>
    </w:p>
    <w:p w14:paraId="77F14A98" w14:textId="7EC7ABBE" w:rsidR="00544305" w:rsidRDefault="00544305" w:rsidP="00544305">
      <w:pPr>
        <w:jc w:val="both"/>
        <w:rPr>
          <w:rFonts w:eastAsiaTheme="minorEastAsia"/>
          <w:lang w:val="en-US"/>
        </w:rPr>
      </w:pPr>
    </w:p>
    <w:p w14:paraId="434154A6" w14:textId="4CE411E3" w:rsidR="00544305" w:rsidRDefault="008F5A3E" w:rsidP="00544305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>
        <w:rPr>
          <w:lang w:val="en-US"/>
        </w:rPr>
        <w:t>Multi-class</w:t>
      </w:r>
      <w:r w:rsidR="00544305">
        <w:rPr>
          <w:lang w:val="en-US"/>
        </w:rPr>
        <w:t xml:space="preserve"> classification loss function</w:t>
      </w:r>
    </w:p>
    <w:p w14:paraId="648F18B7" w14:textId="46DFC538" w:rsidR="008F5A3E" w:rsidRDefault="008F5A3E" w:rsidP="008F5A3E">
      <w:pPr>
        <w:jc w:val="both"/>
        <w:rPr>
          <w:lang w:val="en-US"/>
        </w:rPr>
      </w:pPr>
      <w:r>
        <w:rPr>
          <w:lang w:val="en-US"/>
        </w:rPr>
        <w:t>Multi-class classification loss function is used when the number of classes to assign are more than 2. It is a generalization of the binary cross entropy loss function. The loss function is given by:</w:t>
      </w:r>
    </w:p>
    <w:p w14:paraId="119DD6AE" w14:textId="6F4182D0" w:rsidR="008F5A3E" w:rsidRDefault="008F5A3E" w:rsidP="008F5A3E">
      <w:pPr>
        <w:jc w:val="both"/>
        <w:rPr>
          <w:lang w:val="en-US"/>
        </w:rPr>
      </w:pPr>
    </w:p>
    <w:p w14:paraId="3F4448D8" w14:textId="47AF87FD" w:rsidR="008F5A3E" w:rsidRPr="008F5A3E" w:rsidRDefault="00141C66" w:rsidP="008F5A3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4D14820C" w14:textId="77777777" w:rsidR="00544305" w:rsidRDefault="00544305" w:rsidP="00544305">
      <w:pPr>
        <w:jc w:val="both"/>
        <w:rPr>
          <w:rFonts w:eastAsiaTheme="minorEastAsia"/>
          <w:lang w:val="en-US"/>
        </w:rPr>
      </w:pPr>
    </w:p>
    <w:p w14:paraId="34FF9439" w14:textId="77777777" w:rsidR="00141C66" w:rsidRDefault="00141C66" w:rsidP="00141C6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4BE60CAC" w14:textId="2E101DA3" w:rsidR="00141C66" w:rsidRDefault="00141C66" w:rsidP="00141C66">
      <w:pPr>
        <w:jc w:val="both"/>
        <w:rPr>
          <w:rFonts w:eastAsiaTheme="minorEastAsia"/>
          <w:lang w:val="en-US"/>
        </w:rPr>
      </w:pPr>
      <w:proofErr w:type="spellStart"/>
      <w:r w:rsidRPr="00544305">
        <w:rPr>
          <w:rFonts w:eastAsiaTheme="minorEastAsia"/>
          <w:i/>
          <w:iCs/>
          <w:lang w:val="en-US"/>
        </w:rPr>
        <w:t>y</w:t>
      </w:r>
      <w:r w:rsidRPr="00141C66">
        <w:rPr>
          <w:rFonts w:eastAsiaTheme="minorEastAsia"/>
          <w:i/>
          <w:iCs/>
          <w:vertAlign w:val="subscript"/>
          <w:lang w:val="en-US"/>
        </w:rPr>
        <w:t>i</w:t>
      </w:r>
      <w:proofErr w:type="spellEnd"/>
      <w:r>
        <w:rPr>
          <w:rFonts w:eastAsiaTheme="minorEastAsia"/>
          <w:lang w:val="en-US"/>
        </w:rPr>
        <w:tab/>
        <w:t>= is</w:t>
      </w:r>
      <w:r w:rsidR="00312709">
        <w:rPr>
          <w:rFonts w:eastAsiaTheme="minorEastAsia"/>
          <w:lang w:val="en-US"/>
        </w:rPr>
        <w:t xml:space="preserve"> one hot target vector</w:t>
      </w:r>
      <w:r>
        <w:rPr>
          <w:rFonts w:eastAsiaTheme="minorEastAsia"/>
          <w:lang w:val="en-US"/>
        </w:rPr>
        <w:t>;</w:t>
      </w:r>
    </w:p>
    <w:p w14:paraId="029D521E" w14:textId="2B09FF2C" w:rsidR="00312709" w:rsidRDefault="00312709" w:rsidP="00312709">
      <w:pPr>
        <w:jc w:val="both"/>
        <w:rPr>
          <w:rFonts w:eastAsiaTheme="minorEastAsia"/>
          <w:lang w:val="en-US"/>
        </w:rPr>
      </w:pPr>
      <w:proofErr w:type="spellStart"/>
      <w:r w:rsidRPr="00544305">
        <w:rPr>
          <w:rFonts w:eastAsiaTheme="minorEastAsia"/>
          <w:i/>
          <w:iCs/>
          <w:lang w:val="en-US"/>
        </w:rPr>
        <w:t>y</w:t>
      </w:r>
      <w:r w:rsidRPr="00141C66">
        <w:rPr>
          <w:rFonts w:eastAsiaTheme="minorEastAsia"/>
          <w:i/>
          <w:iCs/>
          <w:vertAlign w:val="subscript"/>
          <w:lang w:val="en-US"/>
        </w:rPr>
        <w:t>i</w:t>
      </w:r>
      <w:r>
        <w:rPr>
          <w:rFonts w:eastAsiaTheme="minorEastAsia"/>
          <w:i/>
          <w:iCs/>
          <w:vertAlign w:val="subscript"/>
          <w:lang w:val="en-US"/>
        </w:rPr>
        <w:t>j</w:t>
      </w:r>
      <w:proofErr w:type="spellEnd"/>
      <w:r>
        <w:rPr>
          <w:rFonts w:eastAsiaTheme="minorEastAsia"/>
          <w:lang w:val="en-US"/>
        </w:rPr>
        <w:tab/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1,         if ith datapoint belongs to class j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0,                                                        otherwise</m:t>
                </m:r>
              </m:e>
            </m:eqArr>
          </m:e>
        </m:d>
      </m:oMath>
    </w:p>
    <w:p w14:paraId="538104A4" w14:textId="3CCB01B0" w:rsidR="00141C66" w:rsidRDefault="00141C66" w:rsidP="00141C66">
      <w:pPr>
        <w:jc w:val="both"/>
        <w:rPr>
          <w:rFonts w:eastAsiaTheme="minorEastAsia"/>
          <w:lang w:val="en-US"/>
        </w:rPr>
      </w:pPr>
      <w:proofErr w:type="spellStart"/>
      <w:r w:rsidRPr="00544305">
        <w:rPr>
          <w:rFonts w:eastAsiaTheme="minorEastAsia"/>
          <w:i/>
          <w:iCs/>
          <w:lang w:val="en-US"/>
        </w:rPr>
        <w:t>p</w:t>
      </w:r>
      <w:r w:rsidR="00312709" w:rsidRPr="00312709">
        <w:rPr>
          <w:rFonts w:eastAsiaTheme="minorEastAsia"/>
          <w:i/>
          <w:iCs/>
          <w:vertAlign w:val="subscript"/>
          <w:lang w:val="en-US"/>
        </w:rPr>
        <w:t>ij</w:t>
      </w:r>
      <w:proofErr w:type="spellEnd"/>
      <w:r w:rsidRPr="00544305">
        <w:rPr>
          <w:rFonts w:eastAsiaTheme="minorEastAsia"/>
          <w:i/>
          <w:iCs/>
          <w:lang w:val="en-US"/>
        </w:rPr>
        <w:t>(x</w:t>
      </w:r>
      <w:r w:rsidRPr="00141C66">
        <w:rPr>
          <w:rFonts w:eastAsiaTheme="minorEastAsia"/>
          <w:i/>
          <w:iCs/>
          <w:vertAlign w:val="subscript"/>
          <w:lang w:val="en-US"/>
        </w:rPr>
        <w:t>i</w:t>
      </w:r>
      <w:r w:rsidRPr="00544305">
        <w:rPr>
          <w:rFonts w:eastAsiaTheme="minorEastAsia"/>
          <w:i/>
          <w:iCs/>
          <w:lang w:val="en-US"/>
        </w:rPr>
        <w:t>)</w:t>
      </w:r>
      <w:r>
        <w:rPr>
          <w:rFonts w:eastAsiaTheme="minorEastAsia"/>
          <w:lang w:val="en-US"/>
        </w:rPr>
        <w:tab/>
        <w:t xml:space="preserve">= is the predicted probability of data point </w:t>
      </w:r>
      <w:r w:rsidRPr="00544305">
        <w:rPr>
          <w:rFonts w:eastAsiaTheme="minorEastAsia"/>
          <w:i/>
          <w:iCs/>
          <w:lang w:val="en-US"/>
        </w:rPr>
        <w:t>x</w:t>
      </w:r>
      <w:r w:rsidR="00312709" w:rsidRPr="00312709">
        <w:rPr>
          <w:rFonts w:eastAsiaTheme="minorEastAsia"/>
          <w:i/>
          <w:iCs/>
          <w:vertAlign w:val="subscript"/>
          <w:lang w:val="en-US"/>
        </w:rPr>
        <w:t>i</w:t>
      </w:r>
      <w:r w:rsidR="00312709">
        <w:rPr>
          <w:rFonts w:eastAsiaTheme="minorEastAsia"/>
          <w:lang w:val="en-US"/>
        </w:rPr>
        <w:t xml:space="preserve"> belonging to class j</w:t>
      </w:r>
      <w:r>
        <w:rPr>
          <w:rFonts w:eastAsiaTheme="minorEastAsia"/>
          <w:lang w:val="en-US"/>
        </w:rPr>
        <w:t>;</w:t>
      </w:r>
    </w:p>
    <w:p w14:paraId="54DA34AB" w14:textId="25969B3E" w:rsidR="00544305" w:rsidRDefault="00544305" w:rsidP="00544305">
      <w:pPr>
        <w:jc w:val="both"/>
        <w:rPr>
          <w:lang w:val="en-US"/>
        </w:rPr>
      </w:pPr>
    </w:p>
    <w:p w14:paraId="49BF4185" w14:textId="77777777" w:rsidR="000D01F2" w:rsidRDefault="000D01F2" w:rsidP="00312709">
      <w:pPr>
        <w:jc w:val="both"/>
        <w:rPr>
          <w:b/>
          <w:bCs/>
          <w:u w:val="single"/>
          <w:lang w:val="en-US"/>
        </w:rPr>
      </w:pPr>
    </w:p>
    <w:p w14:paraId="10BCF009" w14:textId="3F876F22" w:rsidR="00312709" w:rsidRDefault="00312709" w:rsidP="00312709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Confusion matrix</w:t>
      </w:r>
      <w:r>
        <w:rPr>
          <w:b/>
          <w:bCs/>
          <w:u w:val="single"/>
          <w:lang w:val="en-US"/>
        </w:rPr>
        <w:t xml:space="preserve">:  </w:t>
      </w:r>
    </w:p>
    <w:p w14:paraId="0A12709A" w14:textId="1374828F" w:rsidR="00793845" w:rsidRDefault="000D01F2" w:rsidP="00544305">
      <w:pPr>
        <w:jc w:val="both"/>
        <w:rPr>
          <w:lang w:val="en-US"/>
        </w:rPr>
      </w:pPr>
      <w:r w:rsidRPr="007E51AC">
        <w:rPr>
          <w:lang w:val="en-US"/>
        </w:rPr>
        <w:t xml:space="preserve">Confusion matrix </w:t>
      </w:r>
      <w:r w:rsidR="0042432B" w:rsidRPr="007E51AC">
        <w:rPr>
          <w:lang w:val="en-US"/>
        </w:rPr>
        <w:t xml:space="preserve">helps in evaluating the performance of the classifier by </w:t>
      </w:r>
      <w:r w:rsidR="00793845" w:rsidRPr="007E51AC">
        <w:rPr>
          <w:lang w:val="en-US"/>
        </w:rPr>
        <w:t>provid</w:t>
      </w:r>
      <w:r w:rsidR="0042432B" w:rsidRPr="007E51AC">
        <w:rPr>
          <w:lang w:val="en-US"/>
        </w:rPr>
        <w:t xml:space="preserve">ing </w:t>
      </w:r>
      <w:r w:rsidR="00793845" w:rsidRPr="007E51AC">
        <w:rPr>
          <w:lang w:val="en-US"/>
        </w:rPr>
        <w:t>the summary of prediction</w:t>
      </w:r>
      <w:r w:rsidR="0042432B" w:rsidRPr="007E51AC">
        <w:rPr>
          <w:lang w:val="en-US"/>
        </w:rPr>
        <w:t xml:space="preserve"> and ground reality</w:t>
      </w:r>
      <w:r w:rsidR="00793845" w:rsidRPr="007E51AC">
        <w:rPr>
          <w:lang w:val="en-US"/>
        </w:rPr>
        <w:t>. The general for</w:t>
      </w:r>
      <w:r w:rsidR="0042432B" w:rsidRPr="007E51AC">
        <w:rPr>
          <w:lang w:val="en-US"/>
        </w:rPr>
        <w:t>m</w:t>
      </w:r>
      <w:r w:rsidR="00793845" w:rsidRPr="007E51AC">
        <w:rPr>
          <w:lang w:val="en-US"/>
        </w:rPr>
        <w:t xml:space="preserve"> of confusion matrix for binary classification is given </w:t>
      </w:r>
      <w:r w:rsidR="007E51AC" w:rsidRPr="007E51AC">
        <w:rPr>
          <w:lang w:val="en-US"/>
        </w:rPr>
        <w:t xml:space="preserve">in </w:t>
      </w:r>
      <w:r w:rsidR="007E51AC" w:rsidRPr="00565531">
        <w:rPr>
          <w:lang w:val="en-US"/>
        </w:rPr>
        <w:fldChar w:fldCharType="begin"/>
      </w:r>
      <w:r w:rsidR="007E51AC" w:rsidRPr="00565531">
        <w:rPr>
          <w:lang w:val="en-US"/>
        </w:rPr>
        <w:instrText xml:space="preserve"> REF _Ref47117458 \h </w:instrText>
      </w:r>
      <w:r w:rsidR="007E51AC" w:rsidRPr="00565531">
        <w:rPr>
          <w:lang w:val="en-US"/>
        </w:rPr>
      </w:r>
      <w:r w:rsidR="007E51AC" w:rsidRPr="00565531">
        <w:rPr>
          <w:lang w:val="en-US"/>
        </w:rPr>
        <w:instrText xml:space="preserve"> \* MERGEFORMAT </w:instrText>
      </w:r>
      <w:r w:rsidR="007E51AC" w:rsidRPr="00565531">
        <w:rPr>
          <w:lang w:val="en-US"/>
        </w:rPr>
        <w:fldChar w:fldCharType="separate"/>
      </w:r>
      <w:r w:rsidR="007E51AC" w:rsidRPr="00565531">
        <w:t xml:space="preserve">Table </w:t>
      </w:r>
      <w:r w:rsidR="007E51AC" w:rsidRPr="00565531">
        <w:rPr>
          <w:noProof/>
        </w:rPr>
        <w:t>1</w:t>
      </w:r>
      <w:r w:rsidR="007E51AC" w:rsidRPr="00565531">
        <w:rPr>
          <w:lang w:val="en-US"/>
        </w:rPr>
        <w:fldChar w:fldCharType="end"/>
      </w:r>
      <w:r w:rsidR="00793845" w:rsidRPr="00565531">
        <w:rPr>
          <w:lang w:val="en-US"/>
        </w:rPr>
        <w:t>.</w:t>
      </w:r>
      <w:r w:rsidR="007E51AC" w:rsidRPr="00565531">
        <w:rPr>
          <w:lang w:val="en-US"/>
        </w:rPr>
        <w:t xml:space="preserve"> However, the confusion matrix </w:t>
      </w:r>
      <w:r w:rsidR="00565531" w:rsidRPr="00565531">
        <w:rPr>
          <w:lang w:val="en-US"/>
        </w:rPr>
        <w:t xml:space="preserve">from </w:t>
      </w:r>
      <w:proofErr w:type="spellStart"/>
      <w:proofErr w:type="gramStart"/>
      <w:r w:rsidR="00565531" w:rsidRPr="00565531">
        <w:rPr>
          <w:lang w:val="en-US"/>
        </w:rPr>
        <w:t>sklearn.metrics</w:t>
      </w:r>
      <w:proofErr w:type="spellEnd"/>
      <w:proofErr w:type="gramEnd"/>
      <w:r w:rsidR="00565531" w:rsidRPr="00565531">
        <w:rPr>
          <w:lang w:val="en-US"/>
        </w:rPr>
        <w:t xml:space="preserve"> is different and it is given in table </w:t>
      </w:r>
      <w:r w:rsidR="00565531" w:rsidRPr="00565531">
        <w:rPr>
          <w:lang w:val="en-US"/>
        </w:rPr>
        <w:fldChar w:fldCharType="begin"/>
      </w:r>
      <w:r w:rsidR="00565531" w:rsidRPr="00565531">
        <w:rPr>
          <w:lang w:val="en-US"/>
        </w:rPr>
        <w:instrText xml:space="preserve"> REF _Ref47125890 \h </w:instrText>
      </w:r>
      <w:r w:rsidR="00565531" w:rsidRPr="00565531">
        <w:rPr>
          <w:lang w:val="en-US"/>
        </w:rPr>
      </w:r>
      <w:r w:rsidR="00565531" w:rsidRPr="00565531">
        <w:rPr>
          <w:lang w:val="en-US"/>
        </w:rPr>
        <w:instrText xml:space="preserve"> \* MERGEFORMAT </w:instrText>
      </w:r>
      <w:r w:rsidR="00565531" w:rsidRPr="00565531">
        <w:rPr>
          <w:lang w:val="en-US"/>
        </w:rPr>
        <w:fldChar w:fldCharType="separate"/>
      </w:r>
      <w:r w:rsidR="00565531" w:rsidRPr="00565531">
        <w:t xml:space="preserve">Table </w:t>
      </w:r>
      <w:r w:rsidR="00565531" w:rsidRPr="00565531">
        <w:rPr>
          <w:noProof/>
        </w:rPr>
        <w:t>2</w:t>
      </w:r>
      <w:r w:rsidR="00565531" w:rsidRPr="00565531">
        <w:rPr>
          <w:lang w:val="en-US"/>
        </w:rPr>
        <w:fldChar w:fldCharType="end"/>
      </w:r>
      <w:r w:rsidR="00565531">
        <w:rPr>
          <w:lang w:val="en-US"/>
        </w:rPr>
        <w:t xml:space="preserve">. To support my claim, I </w:t>
      </w:r>
      <w:r w:rsidR="005C5D7B">
        <w:rPr>
          <w:lang w:val="en-US"/>
        </w:rPr>
        <w:t xml:space="preserve">am </w:t>
      </w:r>
      <w:r w:rsidR="00565531">
        <w:rPr>
          <w:lang w:val="en-US"/>
        </w:rPr>
        <w:t xml:space="preserve">presenting the confusion matrix obtained using </w:t>
      </w:r>
      <w:proofErr w:type="spellStart"/>
      <w:proofErr w:type="gramStart"/>
      <w:r w:rsidR="00565531">
        <w:rPr>
          <w:lang w:val="en-US"/>
        </w:rPr>
        <w:t>sklearn.metrics</w:t>
      </w:r>
      <w:proofErr w:type="spellEnd"/>
      <w:proofErr w:type="gramEnd"/>
      <w:r w:rsidR="00565531">
        <w:rPr>
          <w:lang w:val="en-US"/>
        </w:rPr>
        <w:t xml:space="preserve"> library</w:t>
      </w:r>
      <w:r w:rsidR="006D1205">
        <w:rPr>
          <w:lang w:val="en-US"/>
        </w:rPr>
        <w:t xml:space="preserve"> in </w:t>
      </w:r>
      <w:r w:rsidR="006D1205" w:rsidRPr="006D1205">
        <w:fldChar w:fldCharType="begin"/>
      </w:r>
      <w:r w:rsidR="006D1205" w:rsidRPr="006D1205">
        <w:instrText xml:space="preserve"> REF _Ref47127742 \h </w:instrText>
      </w:r>
      <w:r w:rsidR="006D1205" w:rsidRPr="006D1205">
        <w:instrText xml:space="preserve"> \* MERGEFORMAT </w:instrText>
      </w:r>
      <w:r w:rsidR="006D1205" w:rsidRPr="006D1205">
        <w:fldChar w:fldCharType="separate"/>
      </w:r>
      <w:r w:rsidR="006D1205" w:rsidRPr="006D1205">
        <w:t xml:space="preserve">Figure </w:t>
      </w:r>
      <w:r w:rsidR="006D1205" w:rsidRPr="006D1205">
        <w:rPr>
          <w:noProof/>
        </w:rPr>
        <w:t>1</w:t>
      </w:r>
      <w:r w:rsidR="006D1205" w:rsidRPr="006D1205">
        <w:fldChar w:fldCharType="end"/>
      </w:r>
      <w:r w:rsidR="00565531">
        <w:rPr>
          <w:lang w:val="en-US"/>
        </w:rPr>
        <w:t>. This has been obtained for the diabetic prediction problem, and  dataset and .</w:t>
      </w:r>
      <w:proofErr w:type="spellStart"/>
      <w:r w:rsidR="00565531">
        <w:rPr>
          <w:lang w:val="en-US"/>
        </w:rPr>
        <w:t>ipynb</w:t>
      </w:r>
      <w:proofErr w:type="spellEnd"/>
      <w:r w:rsidR="00565531">
        <w:rPr>
          <w:lang w:val="en-US"/>
        </w:rPr>
        <w:t xml:space="preserve"> files are provided i</w:t>
      </w:r>
      <w:r w:rsidR="000431B8">
        <w:rPr>
          <w:lang w:val="en-US"/>
        </w:rPr>
        <w:t xml:space="preserve">n </w:t>
      </w:r>
      <w:proofErr w:type="spellStart"/>
      <w:r w:rsidR="00565531">
        <w:rPr>
          <w:lang w:val="en-US"/>
        </w:rPr>
        <w:t>github</w:t>
      </w:r>
      <w:proofErr w:type="spellEnd"/>
      <w:r w:rsidR="000431B8">
        <w:rPr>
          <w:lang w:val="en-US"/>
        </w:rPr>
        <w:t xml:space="preserve"> repository </w:t>
      </w:r>
      <w:hyperlink r:id="rId6" w:history="1">
        <w:r w:rsidR="000431B8">
          <w:rPr>
            <w:rStyle w:val="Hyperlink"/>
          </w:rPr>
          <w:t>https://github.com/phegde127/Logistic_Regression</w:t>
        </w:r>
      </w:hyperlink>
      <w:r w:rsidR="000431B8">
        <w:t>.</w:t>
      </w:r>
      <w:r w:rsidR="006D1205">
        <w:t xml:space="preserve"> </w:t>
      </w:r>
      <w:r w:rsidR="000431B8">
        <w:t>In this classification problem, 0 represents non-diabetic class and 1 represents diabetic class.</w:t>
      </w:r>
    </w:p>
    <w:p w14:paraId="0D0C8EA9" w14:textId="79E52FF6" w:rsidR="00793845" w:rsidRPr="00544305" w:rsidRDefault="00793845" w:rsidP="00544305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</w:tblGrid>
      <w:tr w:rsidR="00793845" w14:paraId="4D817357" w14:textId="77777777" w:rsidTr="00793845">
        <w:trPr>
          <w:trHeight w:val="706"/>
          <w:jc w:val="center"/>
        </w:trPr>
        <w:tc>
          <w:tcPr>
            <w:tcW w:w="1462" w:type="dxa"/>
            <w:vAlign w:val="center"/>
          </w:tcPr>
          <w:p w14:paraId="36D00E0A" w14:textId="77777777" w:rsidR="00793845" w:rsidRDefault="00793845" w:rsidP="00793845">
            <w:pPr>
              <w:jc w:val="center"/>
              <w:rPr>
                <w:lang w:val="en-US"/>
              </w:rPr>
            </w:pPr>
          </w:p>
        </w:tc>
        <w:tc>
          <w:tcPr>
            <w:tcW w:w="4386" w:type="dxa"/>
            <w:gridSpan w:val="3"/>
            <w:vAlign w:val="center"/>
          </w:tcPr>
          <w:p w14:paraId="058B567B" w14:textId="2B6BF1AE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Actual/Ground Reality</w:t>
            </w:r>
          </w:p>
        </w:tc>
      </w:tr>
      <w:tr w:rsidR="00793845" w14:paraId="3A2768E7" w14:textId="77777777" w:rsidTr="00793845">
        <w:trPr>
          <w:trHeight w:val="706"/>
          <w:jc w:val="center"/>
        </w:trPr>
        <w:tc>
          <w:tcPr>
            <w:tcW w:w="1462" w:type="dxa"/>
            <w:vMerge w:val="restart"/>
            <w:vAlign w:val="center"/>
          </w:tcPr>
          <w:p w14:paraId="7A32B575" w14:textId="602ECC34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Prediction</w:t>
            </w:r>
          </w:p>
        </w:tc>
        <w:tc>
          <w:tcPr>
            <w:tcW w:w="1462" w:type="dxa"/>
            <w:vAlign w:val="center"/>
          </w:tcPr>
          <w:p w14:paraId="06683614" w14:textId="77777777" w:rsidR="00793845" w:rsidRDefault="00793845" w:rsidP="00793845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66EF5862" w14:textId="1289A2E7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62" w:type="dxa"/>
            <w:vAlign w:val="center"/>
          </w:tcPr>
          <w:p w14:paraId="071E8D82" w14:textId="2E1FC19C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93845" w14:paraId="5ABB5526" w14:textId="77777777" w:rsidTr="00793845">
        <w:trPr>
          <w:trHeight w:val="738"/>
          <w:jc w:val="center"/>
        </w:trPr>
        <w:tc>
          <w:tcPr>
            <w:tcW w:w="1462" w:type="dxa"/>
            <w:vMerge/>
            <w:vAlign w:val="center"/>
          </w:tcPr>
          <w:p w14:paraId="14F033FF" w14:textId="77777777" w:rsidR="00793845" w:rsidRDefault="00793845" w:rsidP="00793845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5E077B73" w14:textId="4BE96C28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62" w:type="dxa"/>
            <w:vAlign w:val="center"/>
          </w:tcPr>
          <w:p w14:paraId="6017E55C" w14:textId="7B3FAECE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 Positive (TP)</w:t>
            </w:r>
          </w:p>
        </w:tc>
        <w:tc>
          <w:tcPr>
            <w:tcW w:w="1462" w:type="dxa"/>
            <w:vAlign w:val="center"/>
          </w:tcPr>
          <w:p w14:paraId="0FC6DA8F" w14:textId="336CB41C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Positive (FP)</w:t>
            </w:r>
          </w:p>
        </w:tc>
      </w:tr>
      <w:tr w:rsidR="00793845" w14:paraId="50523FC3" w14:textId="77777777" w:rsidTr="00793845">
        <w:trPr>
          <w:trHeight w:val="706"/>
          <w:jc w:val="center"/>
        </w:trPr>
        <w:tc>
          <w:tcPr>
            <w:tcW w:w="1462" w:type="dxa"/>
            <w:vMerge/>
            <w:vAlign w:val="center"/>
          </w:tcPr>
          <w:p w14:paraId="5FBE6B4B" w14:textId="77777777" w:rsidR="00793845" w:rsidRDefault="00793845" w:rsidP="00793845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72709F1" w14:textId="3D934594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62" w:type="dxa"/>
            <w:vAlign w:val="center"/>
          </w:tcPr>
          <w:p w14:paraId="1FB53965" w14:textId="66B5EA05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Negative (FN)</w:t>
            </w:r>
          </w:p>
        </w:tc>
        <w:tc>
          <w:tcPr>
            <w:tcW w:w="1462" w:type="dxa"/>
            <w:vAlign w:val="center"/>
          </w:tcPr>
          <w:p w14:paraId="06679F2D" w14:textId="3C189141" w:rsidR="00793845" w:rsidRDefault="00793845" w:rsidP="007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 Negative (TN)</w:t>
            </w:r>
          </w:p>
        </w:tc>
      </w:tr>
    </w:tbl>
    <w:p w14:paraId="4A95F008" w14:textId="3A05DFBE" w:rsidR="00793845" w:rsidRPr="007E51AC" w:rsidRDefault="007E51AC" w:rsidP="007E51AC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lang w:val="en-US"/>
        </w:rPr>
      </w:pPr>
      <w:bookmarkStart w:id="0" w:name="_Ref47117458"/>
      <w:bookmarkStart w:id="1" w:name="_Hlk47119158"/>
      <w:r w:rsidRPr="007E51AC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E51AC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7E51AC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7E51AC">
        <w:rPr>
          <w:b/>
          <w:bCs/>
          <w:i w:val="0"/>
          <w:iCs w:val="0"/>
          <w:color w:val="auto"/>
          <w:sz w:val="20"/>
          <w:szCs w:val="20"/>
        </w:rPr>
        <w:t>: General form of confusion matrix</w:t>
      </w:r>
    </w:p>
    <w:bookmarkEnd w:id="1"/>
    <w:p w14:paraId="5F5B745C" w14:textId="528BC89C" w:rsidR="00793845" w:rsidRDefault="00793845" w:rsidP="00544305">
      <w:pPr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462"/>
        <w:gridCol w:w="1462"/>
        <w:gridCol w:w="1462"/>
      </w:tblGrid>
      <w:tr w:rsidR="00B6178B" w14:paraId="37567C44" w14:textId="77777777" w:rsidTr="00926AB3">
        <w:trPr>
          <w:trHeight w:val="706"/>
          <w:jc w:val="center"/>
        </w:trPr>
        <w:tc>
          <w:tcPr>
            <w:tcW w:w="1462" w:type="dxa"/>
            <w:vAlign w:val="center"/>
          </w:tcPr>
          <w:p w14:paraId="17FA74E4" w14:textId="77777777" w:rsidR="00B6178B" w:rsidRDefault="00B6178B" w:rsidP="00926AB3">
            <w:pPr>
              <w:jc w:val="center"/>
              <w:rPr>
                <w:lang w:val="en-US"/>
              </w:rPr>
            </w:pPr>
          </w:p>
        </w:tc>
        <w:tc>
          <w:tcPr>
            <w:tcW w:w="4386" w:type="dxa"/>
            <w:gridSpan w:val="3"/>
            <w:vAlign w:val="center"/>
          </w:tcPr>
          <w:p w14:paraId="7E630227" w14:textId="6F64A9B4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Prediction</w:t>
            </w:r>
          </w:p>
        </w:tc>
      </w:tr>
      <w:tr w:rsidR="00B6178B" w14:paraId="59BA218D" w14:textId="77777777" w:rsidTr="00926AB3">
        <w:trPr>
          <w:trHeight w:val="706"/>
          <w:jc w:val="center"/>
        </w:trPr>
        <w:tc>
          <w:tcPr>
            <w:tcW w:w="1462" w:type="dxa"/>
            <w:vMerge w:val="restart"/>
            <w:vAlign w:val="center"/>
          </w:tcPr>
          <w:p w14:paraId="548FFB1B" w14:textId="42317508" w:rsidR="00B6178B" w:rsidRDefault="00B6178B" w:rsidP="00B617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Actual/Ground Reality</w:t>
            </w:r>
          </w:p>
          <w:p w14:paraId="0BEA1E57" w14:textId="44B7A70A" w:rsidR="00B6178B" w:rsidRDefault="00B6178B" w:rsidP="00926AB3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2F9A96B8" w14:textId="77777777" w:rsidR="00B6178B" w:rsidRDefault="00B6178B" w:rsidP="00926AB3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5894E3A3" w14:textId="3A7339BF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62" w:type="dxa"/>
            <w:vAlign w:val="center"/>
          </w:tcPr>
          <w:p w14:paraId="62EDD967" w14:textId="4DB03605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6178B" w14:paraId="615206FE" w14:textId="77777777" w:rsidTr="00926AB3">
        <w:trPr>
          <w:trHeight w:val="738"/>
          <w:jc w:val="center"/>
        </w:trPr>
        <w:tc>
          <w:tcPr>
            <w:tcW w:w="1462" w:type="dxa"/>
            <w:vMerge/>
            <w:vAlign w:val="center"/>
          </w:tcPr>
          <w:p w14:paraId="54A615F5" w14:textId="77777777" w:rsidR="00B6178B" w:rsidRDefault="00B6178B" w:rsidP="00926AB3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02A53BE3" w14:textId="738AF016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62" w:type="dxa"/>
            <w:vAlign w:val="center"/>
          </w:tcPr>
          <w:p w14:paraId="17F72BD0" w14:textId="146BEFF3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proofErr w:type="spellStart"/>
            <w:r>
              <w:rPr>
                <w:lang w:val="en-US"/>
              </w:rPr>
              <w:t>Negativ</w:t>
            </w:r>
            <w:proofErr w:type="spellEnd"/>
            <w:r>
              <w:rPr>
                <w:lang w:val="en-US"/>
              </w:rPr>
              <w:t xml:space="preserve"> (T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462" w:type="dxa"/>
            <w:vAlign w:val="center"/>
          </w:tcPr>
          <w:p w14:paraId="005894D3" w14:textId="77777777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Positive (FP)</w:t>
            </w:r>
          </w:p>
        </w:tc>
      </w:tr>
      <w:tr w:rsidR="00B6178B" w14:paraId="0299C922" w14:textId="77777777" w:rsidTr="00926AB3">
        <w:trPr>
          <w:trHeight w:val="706"/>
          <w:jc w:val="center"/>
        </w:trPr>
        <w:tc>
          <w:tcPr>
            <w:tcW w:w="1462" w:type="dxa"/>
            <w:vMerge/>
            <w:vAlign w:val="center"/>
          </w:tcPr>
          <w:p w14:paraId="22E31BCA" w14:textId="77777777" w:rsidR="00B6178B" w:rsidRDefault="00B6178B" w:rsidP="00926AB3">
            <w:pPr>
              <w:jc w:val="center"/>
              <w:rPr>
                <w:lang w:val="en-US"/>
              </w:rPr>
            </w:pPr>
          </w:p>
        </w:tc>
        <w:tc>
          <w:tcPr>
            <w:tcW w:w="1462" w:type="dxa"/>
            <w:vAlign w:val="center"/>
          </w:tcPr>
          <w:p w14:paraId="7DADCA41" w14:textId="4ABE2307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62" w:type="dxa"/>
            <w:vAlign w:val="center"/>
          </w:tcPr>
          <w:p w14:paraId="0F351075" w14:textId="77777777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Negative (FN)</w:t>
            </w:r>
          </w:p>
        </w:tc>
        <w:tc>
          <w:tcPr>
            <w:tcW w:w="1462" w:type="dxa"/>
            <w:vAlign w:val="center"/>
          </w:tcPr>
          <w:p w14:paraId="01C52143" w14:textId="208AF273" w:rsidR="00B6178B" w:rsidRDefault="00B6178B" w:rsidP="0092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rPr>
                <w:lang w:val="en-US"/>
              </w:rPr>
              <w:t>Positive</w:t>
            </w:r>
            <w:r>
              <w:rPr>
                <w:lang w:val="en-US"/>
              </w:rPr>
              <w:t xml:space="preserve"> (T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)</w:t>
            </w:r>
          </w:p>
        </w:tc>
      </w:tr>
    </w:tbl>
    <w:p w14:paraId="1CECA017" w14:textId="3BFC4E3C" w:rsidR="00B6178B" w:rsidRPr="007E51AC" w:rsidRDefault="00B6178B" w:rsidP="00B6178B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lang w:val="en-US"/>
        </w:rPr>
      </w:pPr>
      <w:bookmarkStart w:id="2" w:name="_Ref47125890"/>
      <w:r w:rsidRPr="007E51AC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E51AC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7E51A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2"/>
      <w:r w:rsidRPr="007E51AC">
        <w:rPr>
          <w:b/>
          <w:bCs/>
          <w:i w:val="0"/>
          <w:iCs w:val="0"/>
          <w:color w:val="auto"/>
          <w:sz w:val="20"/>
          <w:szCs w:val="20"/>
        </w:rPr>
        <w:t xml:space="preserve">: </w:t>
      </w:r>
      <w:r>
        <w:rPr>
          <w:b/>
          <w:bCs/>
          <w:i w:val="0"/>
          <w:iCs w:val="0"/>
          <w:color w:val="auto"/>
          <w:sz w:val="20"/>
          <w:szCs w:val="20"/>
        </w:rPr>
        <w:t>C</w:t>
      </w:r>
      <w:r w:rsidRPr="007E51AC">
        <w:rPr>
          <w:b/>
          <w:bCs/>
          <w:i w:val="0"/>
          <w:iCs w:val="0"/>
          <w:color w:val="auto"/>
          <w:sz w:val="20"/>
          <w:szCs w:val="20"/>
        </w:rPr>
        <w:t>onfusion matrix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from </w:t>
      </w:r>
      <w:proofErr w:type="spellStart"/>
      <w:proofErr w:type="gramStart"/>
      <w:r>
        <w:rPr>
          <w:b/>
          <w:bCs/>
          <w:i w:val="0"/>
          <w:iCs w:val="0"/>
          <w:color w:val="auto"/>
          <w:sz w:val="20"/>
          <w:szCs w:val="20"/>
        </w:rPr>
        <w:t>sklearn.metric</w:t>
      </w:r>
      <w:proofErr w:type="spellEnd"/>
      <w:proofErr w:type="gramEnd"/>
    </w:p>
    <w:p w14:paraId="579BE4AF" w14:textId="77777777" w:rsidR="00793845" w:rsidRDefault="00793845" w:rsidP="00544305">
      <w:pPr>
        <w:jc w:val="both"/>
        <w:rPr>
          <w:lang w:val="en-US"/>
        </w:rPr>
      </w:pPr>
    </w:p>
    <w:p w14:paraId="4A7713ED" w14:textId="77C166BC" w:rsidR="005348AC" w:rsidRDefault="000431B8" w:rsidP="00544305">
      <w:pPr>
        <w:jc w:val="both"/>
      </w:pPr>
      <w:r>
        <w:t xml:space="preserve">The test dataset </w:t>
      </w:r>
      <w:r w:rsidR="006D1205">
        <w:t xml:space="preserve">used to obtain confusion matrix, </w:t>
      </w:r>
      <w:r>
        <w:t>has 125 non-diabetic datapoints and 65 diabetic datapoints</w:t>
      </w:r>
      <w:r w:rsidR="006D1205">
        <w:t xml:space="preserve"> and it is </w:t>
      </w:r>
      <w:r w:rsidR="006D1205" w:rsidRPr="006D1205">
        <w:t xml:space="preserve">shown in </w:t>
      </w:r>
      <w:r w:rsidR="006D1205" w:rsidRPr="006D1205">
        <w:fldChar w:fldCharType="begin"/>
      </w:r>
      <w:r w:rsidR="006D1205" w:rsidRPr="006D1205">
        <w:instrText xml:space="preserve"> REF _Ref47127742 \h </w:instrText>
      </w:r>
      <w:r w:rsidR="006D1205" w:rsidRPr="006D1205">
        <w:instrText xml:space="preserve"> \* MERGEFORMAT </w:instrText>
      </w:r>
      <w:r w:rsidR="006D1205" w:rsidRPr="006D1205">
        <w:fldChar w:fldCharType="separate"/>
      </w:r>
      <w:r w:rsidR="006D1205" w:rsidRPr="006D1205">
        <w:t xml:space="preserve">Figure </w:t>
      </w:r>
      <w:r w:rsidR="006D1205" w:rsidRPr="006D1205">
        <w:rPr>
          <w:noProof/>
        </w:rPr>
        <w:t>1</w:t>
      </w:r>
      <w:r w:rsidR="006D1205" w:rsidRPr="006D1205">
        <w:fldChar w:fldCharType="end"/>
      </w:r>
      <w:r w:rsidR="00AC1AFB">
        <w:t xml:space="preserve"> along horizontal direction</w:t>
      </w:r>
      <w:r w:rsidR="006D1205">
        <w:t>.</w:t>
      </w:r>
      <w:r w:rsidR="00AC1AFB">
        <w:t xml:space="preserve"> Addition of </w:t>
      </w:r>
      <w:r w:rsidR="003F5487">
        <w:t xml:space="preserve">numbers along vertical direction doesn’t match with the test dataset class numbers. Precision, recall and f1 score have also been studied to understand the discrepancy between the general form and </w:t>
      </w:r>
      <w:proofErr w:type="spellStart"/>
      <w:proofErr w:type="gramStart"/>
      <w:r w:rsidR="003F5487">
        <w:t>sklearn.metrics</w:t>
      </w:r>
      <w:proofErr w:type="spellEnd"/>
      <w:proofErr w:type="gramEnd"/>
      <w:r w:rsidR="003F5487">
        <w:t xml:space="preserve"> library confusion matrix. The precision (</w:t>
      </w:r>
      <w:r w:rsidR="00186FEB">
        <w:t xml:space="preserve">77.3%) </w:t>
      </w:r>
      <w:r w:rsidR="003F5487">
        <w:t xml:space="preserve">and recall </w:t>
      </w:r>
      <w:r w:rsidR="00186FEB">
        <w:t xml:space="preserve">(87.2%) </w:t>
      </w:r>
      <w:r w:rsidR="003F5487">
        <w:t xml:space="preserve">values (refer </w:t>
      </w:r>
      <w:r w:rsidR="003F5487" w:rsidRPr="006D1205">
        <w:fldChar w:fldCharType="begin"/>
      </w:r>
      <w:r w:rsidR="003F5487" w:rsidRPr="006D1205">
        <w:instrText xml:space="preserve"> REF _Ref47127742 \h </w:instrText>
      </w:r>
      <w:r w:rsidR="003F5487" w:rsidRPr="006D1205">
        <w:instrText xml:space="preserve"> \* MERGEFORMAT </w:instrText>
      </w:r>
      <w:r w:rsidR="003F5487" w:rsidRPr="006D1205">
        <w:fldChar w:fldCharType="separate"/>
      </w:r>
      <w:r w:rsidR="003F5487" w:rsidRPr="006D1205">
        <w:t xml:space="preserve">Figure </w:t>
      </w:r>
      <w:r w:rsidR="003F5487" w:rsidRPr="006D1205">
        <w:rPr>
          <w:noProof/>
        </w:rPr>
        <w:t>1</w:t>
      </w:r>
      <w:r w:rsidR="003F5487" w:rsidRPr="006D1205">
        <w:fldChar w:fldCharType="end"/>
      </w:r>
      <w:r w:rsidR="003F5487">
        <w:t xml:space="preserve">) calculated as per general form confusion matrix do not match with the </w:t>
      </w:r>
      <w:r w:rsidR="00186FEB">
        <w:t xml:space="preserve">precision (68.6%) and recall (52.2%) values </w:t>
      </w:r>
      <w:r w:rsidR="003F5487">
        <w:t xml:space="preserve">obtained using </w:t>
      </w:r>
      <w:proofErr w:type="spellStart"/>
      <w:r w:rsidR="003F5487">
        <w:t>sklearn.metrics</w:t>
      </w:r>
      <w:proofErr w:type="spellEnd"/>
      <w:r w:rsidR="003F5487">
        <w:t xml:space="preserve"> library.  </w:t>
      </w:r>
      <w:r w:rsidR="00186FEB">
        <w:t>Therefore, one must be careful in evaluating the model using confusion matrix and proper understanding of the classes is required before using it.</w:t>
      </w:r>
    </w:p>
    <w:p w14:paraId="34AB78AA" w14:textId="3140EED2" w:rsidR="005348AC" w:rsidRDefault="005348AC" w:rsidP="00544305">
      <w:pPr>
        <w:jc w:val="both"/>
      </w:pPr>
    </w:p>
    <w:p w14:paraId="2316B8B2" w14:textId="72A293A4" w:rsidR="005348AC" w:rsidRDefault="005348AC" w:rsidP="00544305">
      <w:pPr>
        <w:jc w:val="both"/>
      </w:pPr>
    </w:p>
    <w:p w14:paraId="68B84B3C" w14:textId="72AE63A9" w:rsidR="005348AC" w:rsidRDefault="006D1205" w:rsidP="00544305">
      <w:pPr>
        <w:jc w:val="both"/>
      </w:pPr>
      <w:r>
        <w:rPr>
          <w:noProof/>
        </w:rPr>
        <w:lastRenderedPageBreak/>
        <w:drawing>
          <wp:inline distT="0" distB="0" distL="0" distR="0" wp14:anchorId="5FB1733C" wp14:editId="66EE3540">
            <wp:extent cx="5493553" cy="3732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50" cy="3736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CCF0C" w14:textId="5DFEABBC" w:rsidR="00565531" w:rsidRPr="00565531" w:rsidRDefault="00565531" w:rsidP="0056553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3" w:name="_Ref47127742"/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65531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565531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3"/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: Confusion matrix using </w:t>
      </w:r>
      <w:proofErr w:type="spellStart"/>
      <w:proofErr w:type="gramStart"/>
      <w:r w:rsidRPr="00565531">
        <w:rPr>
          <w:b/>
          <w:bCs/>
          <w:i w:val="0"/>
          <w:iCs w:val="0"/>
          <w:color w:val="auto"/>
          <w:sz w:val="22"/>
          <w:szCs w:val="22"/>
        </w:rPr>
        <w:t>sklearn.metrics</w:t>
      </w:r>
      <w:proofErr w:type="spellEnd"/>
      <w:proofErr w:type="gramEnd"/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 library</w:t>
      </w:r>
    </w:p>
    <w:p w14:paraId="7F42C9EC" w14:textId="5279EFBA" w:rsidR="005348AC" w:rsidRDefault="005348AC" w:rsidP="00544305">
      <w:pPr>
        <w:jc w:val="both"/>
      </w:pPr>
    </w:p>
    <w:p w14:paraId="6D6DD64E" w14:textId="6945626A" w:rsidR="005348AC" w:rsidRDefault="005348AC" w:rsidP="0054430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9711E" wp14:editId="0CA6B60C">
            <wp:extent cx="5731510" cy="3311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6C53" w14:textId="3B56ED8A" w:rsidR="00565531" w:rsidRPr="00565531" w:rsidRDefault="00565531" w:rsidP="0056553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65531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6D1205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: </w:t>
      </w:r>
      <w:r>
        <w:rPr>
          <w:b/>
          <w:bCs/>
          <w:i w:val="0"/>
          <w:iCs w:val="0"/>
          <w:color w:val="auto"/>
          <w:sz w:val="22"/>
          <w:szCs w:val="22"/>
        </w:rPr>
        <w:t>Model evaluation summary using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65531">
        <w:rPr>
          <w:b/>
          <w:bCs/>
          <w:i w:val="0"/>
          <w:iCs w:val="0"/>
          <w:color w:val="auto"/>
          <w:sz w:val="22"/>
          <w:szCs w:val="22"/>
        </w:rPr>
        <w:t>sklearn.metrics</w:t>
      </w:r>
      <w:proofErr w:type="spellEnd"/>
      <w:proofErr w:type="gramEnd"/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 library</w:t>
      </w:r>
    </w:p>
    <w:p w14:paraId="25DD77C4" w14:textId="5833044F" w:rsidR="00565531" w:rsidRDefault="00565531" w:rsidP="00544305">
      <w:pPr>
        <w:jc w:val="both"/>
        <w:rPr>
          <w:lang w:val="en-US"/>
        </w:rPr>
      </w:pPr>
    </w:p>
    <w:p w14:paraId="261B37F1" w14:textId="64131DD0" w:rsidR="006D1205" w:rsidRDefault="006D1205" w:rsidP="00544305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58A47" wp14:editId="6A231A5A">
            <wp:extent cx="5731510" cy="2341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81D4" w14:textId="4DD9650D" w:rsidR="006D1205" w:rsidRPr="00565531" w:rsidRDefault="006D1205" w:rsidP="006D1205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65531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AC1AFB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: </w:t>
      </w:r>
      <w:r w:rsidR="00AC1AFB">
        <w:rPr>
          <w:b/>
          <w:bCs/>
          <w:i w:val="0"/>
          <w:iCs w:val="0"/>
          <w:color w:val="auto"/>
          <w:sz w:val="22"/>
          <w:szCs w:val="22"/>
        </w:rPr>
        <w:t>Precision, recall and f1_score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using</w:t>
      </w:r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65531">
        <w:rPr>
          <w:b/>
          <w:bCs/>
          <w:i w:val="0"/>
          <w:iCs w:val="0"/>
          <w:color w:val="auto"/>
          <w:sz w:val="22"/>
          <w:szCs w:val="22"/>
        </w:rPr>
        <w:t>sklearn.metrics</w:t>
      </w:r>
      <w:proofErr w:type="spellEnd"/>
      <w:proofErr w:type="gramEnd"/>
      <w:r w:rsidRPr="00565531">
        <w:rPr>
          <w:b/>
          <w:bCs/>
          <w:i w:val="0"/>
          <w:iCs w:val="0"/>
          <w:color w:val="auto"/>
          <w:sz w:val="22"/>
          <w:szCs w:val="22"/>
        </w:rPr>
        <w:t xml:space="preserve"> library</w:t>
      </w:r>
    </w:p>
    <w:p w14:paraId="4C6BA7A7" w14:textId="77777777" w:rsidR="006D1205" w:rsidRPr="00544305" w:rsidRDefault="006D1205" w:rsidP="00544305">
      <w:pPr>
        <w:jc w:val="both"/>
        <w:rPr>
          <w:lang w:val="en-US"/>
        </w:rPr>
      </w:pPr>
    </w:p>
    <w:sectPr w:rsidR="006D1205" w:rsidRPr="0054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B1BBE"/>
    <w:multiLevelType w:val="hybridMultilevel"/>
    <w:tmpl w:val="45E02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30"/>
    <w:rsid w:val="000431B8"/>
    <w:rsid w:val="000D01F2"/>
    <w:rsid w:val="00141C66"/>
    <w:rsid w:val="001724F3"/>
    <w:rsid w:val="00186FEB"/>
    <w:rsid w:val="002D7665"/>
    <w:rsid w:val="00312709"/>
    <w:rsid w:val="0035581F"/>
    <w:rsid w:val="003761CC"/>
    <w:rsid w:val="00377DB8"/>
    <w:rsid w:val="003F5487"/>
    <w:rsid w:val="0042432B"/>
    <w:rsid w:val="004821B7"/>
    <w:rsid w:val="005348AC"/>
    <w:rsid w:val="00544305"/>
    <w:rsid w:val="00565531"/>
    <w:rsid w:val="005C5D7B"/>
    <w:rsid w:val="005D6F34"/>
    <w:rsid w:val="00640DDC"/>
    <w:rsid w:val="006B2F60"/>
    <w:rsid w:val="006B307D"/>
    <w:rsid w:val="006D1205"/>
    <w:rsid w:val="00724891"/>
    <w:rsid w:val="00742E0A"/>
    <w:rsid w:val="00786507"/>
    <w:rsid w:val="00793845"/>
    <w:rsid w:val="007E51AC"/>
    <w:rsid w:val="008F5A3E"/>
    <w:rsid w:val="009932C3"/>
    <w:rsid w:val="009F09D4"/>
    <w:rsid w:val="00AC1AFB"/>
    <w:rsid w:val="00B6178B"/>
    <w:rsid w:val="00B87B30"/>
    <w:rsid w:val="00CA0686"/>
    <w:rsid w:val="00CF35B4"/>
    <w:rsid w:val="00D75CC9"/>
    <w:rsid w:val="00DA7332"/>
    <w:rsid w:val="00E66A70"/>
    <w:rsid w:val="00EE3403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9E3A"/>
  <w15:chartTrackingRefBased/>
  <w15:docId w15:val="{1A5F4D9B-2BB2-4881-9891-09E4A9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CC"/>
    <w:rPr>
      <w:color w:val="808080"/>
    </w:rPr>
  </w:style>
  <w:style w:type="paragraph" w:styleId="ListParagraph">
    <w:name w:val="List Paragraph"/>
    <w:basedOn w:val="Normal"/>
    <w:uiPriority w:val="34"/>
    <w:qFormat/>
    <w:rsid w:val="00544305"/>
    <w:pPr>
      <w:ind w:left="720"/>
      <w:contextualSpacing/>
    </w:pPr>
  </w:style>
  <w:style w:type="table" w:styleId="TableGrid">
    <w:name w:val="Table Grid"/>
    <w:basedOn w:val="TableNormal"/>
    <w:uiPriority w:val="39"/>
    <w:rsid w:val="0079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5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34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egde127/Logistic_Regress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ADAF-FD8F-4F53-B5ED-8D40C32B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pradeephegde127@yahoo.com</dc:creator>
  <cp:keywords/>
  <dc:description/>
  <cp:lastModifiedBy>pradeephegde127@yahoo.com</cp:lastModifiedBy>
  <cp:revision>9</cp:revision>
  <dcterms:created xsi:type="dcterms:W3CDTF">2020-07-30T11:47:00Z</dcterms:created>
  <dcterms:modified xsi:type="dcterms:W3CDTF">2020-07-31T22:27:00Z</dcterms:modified>
</cp:coreProperties>
</file>