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B47C2" w14:textId="4182DF9C" w:rsidR="7B885F59" w:rsidRDefault="7B885F59" w:rsidP="7B885F59">
      <w:pPr>
        <w:pStyle w:val="Titre"/>
        <w:jc w:val="center"/>
      </w:pPr>
    </w:p>
    <w:p w14:paraId="0746124C" w14:textId="5074F87C" w:rsidR="00F50525" w:rsidRDefault="641594AA" w:rsidP="7CC260F9">
      <w:pPr>
        <w:pStyle w:val="Titre"/>
        <w:jc w:val="center"/>
        <w:rPr>
          <w:b/>
          <w:bCs/>
        </w:rPr>
      </w:pPr>
      <w:r>
        <w:rPr>
          <w:b/>
          <w:bCs/>
        </w:rPr>
        <w:t>Projet Eco conception</w:t>
      </w:r>
    </w:p>
    <w:p w14:paraId="3BFEFB25" w14:textId="78150966" w:rsidR="00580374" w:rsidRDefault="641594AA" w:rsidP="7B885F59">
      <w:pPr>
        <w:pStyle w:val="Titre"/>
        <w:jc w:val="center"/>
        <w:rPr>
          <w:b/>
          <w:bCs/>
        </w:rPr>
      </w:pPr>
      <w:r>
        <w:rPr>
          <w:b/>
          <w:bCs/>
        </w:rPr>
        <w:t xml:space="preserve"> </w:t>
      </w:r>
    </w:p>
    <w:p w14:paraId="5D389B43" w14:textId="26D72527" w:rsidR="44E7A6D5" w:rsidRDefault="44E7A6D5" w:rsidP="7B885F59">
      <w:pPr>
        <w:jc w:val="center"/>
        <w:rPr>
          <w:b/>
          <w:bCs/>
          <w:color w:val="156082" w:themeColor="accent1"/>
          <w:sz w:val="36"/>
          <w:szCs w:val="36"/>
        </w:rPr>
      </w:pPr>
      <w:r>
        <w:rPr>
          <w:b/>
          <w:bCs/>
          <w:color w:val="156082" w:themeColor="accent1"/>
          <w:sz w:val="36"/>
          <w:szCs w:val="36"/>
        </w:rPr>
        <w:t>GATEWAY LORA-GSM</w:t>
      </w:r>
    </w:p>
    <w:p w14:paraId="68BF7DB7" w14:textId="2C365770" w:rsidR="00473906" w:rsidRDefault="00473906" w:rsidP="00473906">
      <w:r>
        <w:br/>
        <w:br/>
      </w:r>
    </w:p>
    <w:p w14:paraId="3BC51CC9" w14:textId="77777777" w:rsidR="00473906" w:rsidRDefault="00473906">
      <w:r>
        <w:br w:type="page"/>
      </w:r>
    </w:p>
    <w:p w14:paraId="00A00001" w14:textId="00A00001" w:rsidR="00473906" w:rsidRDefault="00473906" w:rsidP="7B885F59">
      <w:pPr>
        <w:pStyle w:val="Titre1"/>
      </w:pPr>
      <w:r>
        <w:t xml:space="preserve">Étape 1 — Contexte environnemental et enjeux du numérique</w:t>
      </w:r>
    </w:p>
    <w:p w14:paraId="00A00002" w14:textId="00A00002" w:rsidR="00473906" w:rsidRDefault="00473906"/>
    <w:p w14:paraId="00A00003" w14:textId="00A00003" w:rsidR="00473906" w:rsidRDefault="00473906" w:rsidP="7B885F59">
      <w:r>
        <w:rPr>
          <w:rFonts w:ascii="Aptos" w:hAnsi="Aptos" w:cs="Aptos"/>
        </w:rPr>
        <w:t xml:space="preserve">Le secteur numérique représente aujourd’hui environ 4 à 5 % des émissions mondiales de gaz à effet de serre, avec un taux de croissance rapide. Au-delà du carbone, les équipements électroniques (EEE) posent des problèmes spécifiques à chaque phase de leur vie.</w:t>
      </w:r>
    </w:p>
    <w:p w14:paraId="00A00004" w14:textId="00A00004" w:rsidR="00473906" w:rsidRDefault="00473906"/>
    <w:p w14:paraId="00A00005" w14:textId="00A00005" w:rsidR="00473906" w:rsidRDefault="00473906" w:rsidP="7B885F59">
      <w:r>
        <w:rPr>
          <w:rFonts w:ascii="Aptos" w:hAnsi="Aptos" w:cs="Aptos"/>
          <w:b/>
          <w:bCs/>
        </w:rPr>
        <w:t xml:space="preserve">Fabrication : </w:t>
      </w:r>
      <w:r>
        <w:rPr>
          <w:rFonts w:ascii="Aptos" w:hAnsi="Aptos" w:cs="Aptos"/>
        </w:rPr>
        <w:t xml:space="preserve">utilisation de matériaux rares (déplétion des ressources abiotiques), émissions GES importantes (ex. STMicroelectronics à Rousset : &gt; 300 GWh/an), consommation d’eau (1,5 million de m³/an à Rousset).</w:t>
      </w:r>
    </w:p>
    <w:p w14:paraId="00A00006" w14:textId="00A00006" w:rsidR="00473906" w:rsidRDefault="00473906" w:rsidP="7B885F59">
      <w:r>
        <w:rPr>
          <w:rFonts w:ascii="Aptos" w:hAnsi="Aptos" w:cs="Aptos"/>
          <w:b/>
          <w:bCs/>
        </w:rPr>
        <w:t xml:space="preserve">Usage : </w:t>
      </w:r>
      <w:r>
        <w:rPr>
          <w:rFonts w:ascii="Aptos" w:hAnsi="Aptos" w:cs="Aptos"/>
        </w:rPr>
        <w:t xml:space="preserve">principalement de l’énergie électrique, mais multiplié par le nombre très élevé d’appareils en service.</w:t>
      </w:r>
    </w:p>
    <w:p w14:paraId="00A00007" w14:textId="00A00007" w:rsidR="00473906" w:rsidRDefault="00473906" w:rsidP="7B885F59">
      <w:r>
        <w:rPr>
          <w:rFonts w:ascii="Aptos" w:hAnsi="Aptos" w:cs="Aptos"/>
          <w:b/>
          <w:bCs/>
        </w:rPr>
        <w:t xml:space="preserve">Fin de vie : </w:t>
      </w:r>
      <w:r>
        <w:rPr>
          <w:rFonts w:ascii="Aptos" w:hAnsi="Aptos" w:cs="Aptos"/>
        </w:rPr>
        <w:t xml:space="preserve">génère des déchets électroniques (e-waste) fortement polluants. En 2022, 62 millions de tonnes de déchets électroniques produits dans le monde, dont seulement 22,3 % collectés et recyclés (Global E-waste Monitor 2022).</w:t>
      </w:r>
    </w:p>
    <w:p w14:paraId="00A00008" w14:textId="00A00008" w:rsidR="00473906" w:rsidRDefault="00473906"/>
    <w:p w14:paraId="00A00009" w14:textId="00A00009" w:rsidR="00473906" w:rsidRDefault="00473906" w:rsidP="7B885F59">
      <w:r>
        <w:rPr>
          <w:rFonts w:ascii="Aptos" w:hAnsi="Aptos" w:cs="Aptos"/>
        </w:rPr>
        <w:t xml:space="preserve">Pour les ingénieurs, l’écoconception représente un levier majeur : réduire la taille des puces, utiliser moins de matériaux rares dès la phase de design, prévoir le démontage et le recyclage.</w:t>
      </w:r>
    </w:p>
    <w:p w14:paraId="00A0000A" w14:textId="00A0000A" w:rsidR="00473906" w:rsidRDefault="00473906"/>
    <w:p w14:paraId="00A0000B" w14:textId="00A0000B" w:rsidR="00473906" w:rsidRDefault="00473906">
      <w:r>
        <w:br w:type="page"/>
      </w:r>
    </w:p>
    <w:p w14:paraId="00A0000C" w14:textId="00A0000C" w:rsidR="00473906" w:rsidRDefault="00473906" w:rsidP="7B885F59">
      <w:pPr>
        <w:pStyle w:val="Titre1"/>
      </w:pPr>
      <w:r>
        <w:t xml:space="preserve">Étape 2 — Qu’est-ce que l’ACV ?</w:t>
      </w:r>
    </w:p>
    <w:p w14:paraId="00A0000D" w14:textId="00A0000D" w:rsidR="00473906" w:rsidRDefault="00473906"/>
    <w:p w14:paraId="00A0000E" w14:textId="00A0000E" w:rsidR="00473906" w:rsidRDefault="00473906" w:rsidP="7B885F59">
      <w:pPr>
        <w:jc w:val="center"/>
      </w:pPr>
      <w:r>
        <w:rPr>
          <w:rFonts w:ascii="Aptos" w:hAnsi="Aptos" w:cs="Aptos"/>
          <w:i/>
          <w:iCs/>
        </w:rPr>
        <w:t xml:space="preserve">“ L’ACV est une méthode permettant de mesurer les impacts environnementaux d’un produit ou d’un service. ” — Pr. Luc Deneire, Polytech Nice Sophia Antipolis</w:t>
      </w:r>
    </w:p>
    <w:p w14:paraId="00A0000F" w14:textId="00A0000F" w:rsidR="00473906" w:rsidRDefault="00473906"/>
    <w:p w14:paraId="00A00010" w14:textId="00A00010" w:rsidR="00473906" w:rsidRDefault="00473906" w:rsidP="7B885F59">
      <w:r>
        <w:rPr>
          <w:rFonts w:ascii="Aptos" w:hAnsi="Aptos" w:cs="Aptos"/>
        </w:rPr>
        <w:t xml:space="preserve">Elle couvre l’intégralité du cycle de vie du produit : de l’extraction des matières premières jusqu’à la fin de vie, en passant par la fabrication, la distribution et l’usage.</w:t>
      </w:r>
    </w:p>
    <w:p w14:paraId="00A00011" w14:textId="00A00011" w:rsidR="00473906" w:rsidRDefault="00473906"/>
    <w:p w14:paraId="00A00012" w14:textId="00A00012" w:rsidR="00473906" w:rsidRDefault="00473906" w:rsidP="7B885F59">
      <w:pPr>
        <w:pStyle w:val="Titre2"/>
      </w:pPr>
      <w:r>
        <w:t xml:space="preserve">ACV Attributionnelle</w:t>
      </w:r>
    </w:p>
    <w:p w14:paraId="00A00013" w14:textId="00A00013" w:rsidR="00473906" w:rsidRDefault="00473906" w:rsidP="7B885F59">
      <w:r>
        <w:rPr>
          <w:rFonts w:ascii="Aptos" w:hAnsi="Aptos" w:cs="Aptos"/>
        </w:rPr>
        <w:t xml:space="preserve">Décrit tous les flux physiques pertinents qui contribuent et qui sont la conséquence d’un cycle de vie.</w:t>
      </w:r>
    </w:p>
    <w:p w14:paraId="00A00014" w14:textId="00A00014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Objectif principal 1 : identifier quels sous-systèmes (composants) ont le plus d’impact.</w:t>
      </w:r>
    </w:p>
    <w:p w14:paraId="00A00015" w14:textId="00A00015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Objectif principal 2 : identifier quelles phases du cycle de vie (fabrication, usage, fin de vie) ont le plus d’impact.</w:t>
      </w:r>
    </w:p>
    <w:p w14:paraId="00A00016" w14:textId="00A00016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Approche retenue pour ce projet.</w:t>
      </w:r>
    </w:p>
    <w:p w14:paraId="00A00017" w14:textId="00A00017" w:rsidR="00473906" w:rsidRDefault="00473906"/>
    <w:p w14:paraId="00A00018" w14:textId="00A00018" w:rsidR="00473906" w:rsidRDefault="00473906" w:rsidP="7B885F59">
      <w:pPr>
        <w:pStyle w:val="Titre2"/>
      </w:pPr>
      <w:r>
        <w:t xml:space="preserve">ACV Conséquentielle</w:t>
      </w:r>
    </w:p>
    <w:p w14:paraId="00A00019" w14:textId="00A00019" w:rsidR="00473906" w:rsidRDefault="00473906" w:rsidP="7B885F59">
      <w:r>
        <w:rPr>
          <w:rFonts w:ascii="Aptos" w:hAnsi="Aptos" w:cs="Aptos"/>
        </w:rPr>
        <w:t xml:space="preserve">Décrit quels flux environnementaux seront le plus impactés par des modifications de conception du produit.</w:t>
      </w:r>
    </w:p>
    <w:p w14:paraId="00A0001A" w14:textId="00A0001A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Objectif principal : déterminer quelle modification du produit a du sens sur le plan environnemental.</w:t>
      </w:r>
    </w:p>
    <w:p w14:paraId="00A0001B" w14:textId="00A0001B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Sera utilisée en phase d’interprétation pour formuler des recommandations.</w:t>
      </w:r>
    </w:p>
    <w:p w14:paraId="00A0001C" w14:textId="00A0001C" w:rsidR="00473906" w:rsidRDefault="00473906"/>
    <w:p w14:paraId="00A0001D" w14:textId="00A0001D" w:rsidR="00473906" w:rsidRDefault="00473906">
      <w:r>
        <w:br w:type="page"/>
      </w:r>
    </w:p>
    <w:p w14:paraId="00A0001E" w14:textId="00A0001E" w:rsidR="00473906" w:rsidRDefault="00473906" w:rsidP="7B885F59">
      <w:pPr>
        <w:pStyle w:val="Titre1"/>
      </w:pPr>
      <w:r>
        <w:t xml:space="preserve">Étape 3 — Portées de l’ACV</w:t>
      </w:r>
    </w:p>
    <w:p w14:paraId="00A0001F" w14:textId="00A0001F" w:rsidR="00473906" w:rsidRDefault="00473906"/>
    <w:p w14:paraId="00A00020" w14:textId="00A00020" w:rsidR="00473906" w:rsidRDefault="00473906" w:rsidP="7B885F59">
      <w:r>
        <w:rPr>
          <w:rFonts w:ascii="Aptos" w:hAnsi="Aptos" w:cs="Aptos"/>
        </w:rPr>
        <w:t xml:space="preserve">Trois périmètres sont possibles selon la norme ISO 14040 :</w:t>
      </w:r>
    </w:p>
    <w:p w14:paraId="00A00021" w14:textId="00A00021" w:rsidR="00473906" w:rsidRDefault="00473906"/>
    <w:p w14:paraId="00A00022" w14:textId="00A00022" w:rsidR="00473906" w:rsidRDefault="00473906" w:rsidP="7B885F59">
      <w:r>
        <w:rPr>
          <w:rFonts w:ascii="Aptos" w:hAnsi="Aptos" w:cs="Aptos"/>
          <w:b/>
          <w:bCs/>
        </w:rPr>
        <w:t xml:space="preserve">Cradle to grave (Berceau à tombe) : </w:t>
      </w:r>
      <w:r>
        <w:rPr>
          <w:rFonts w:ascii="Aptos" w:hAnsi="Aptos" w:cs="Aptos"/>
        </w:rPr>
        <w:t xml:space="preserve">périmètre le plus complet — de l’extraction des matières premières jusqu’à la fin de vie (recyclage ou mise en décharge). C’est le périmètre retenu pour ce projet.</w:t>
      </w:r>
    </w:p>
    <w:p w14:paraId="00A00023" w14:textId="00A00023" w:rsidR="00473906" w:rsidRDefault="00473906" w:rsidP="7B885F59">
      <w:r>
        <w:rPr>
          <w:rFonts w:ascii="Aptos" w:hAnsi="Aptos" w:cs="Aptos"/>
          <w:b/>
          <w:bCs/>
        </w:rPr>
        <w:t xml:space="preserve">Cradle to gate (Berceau à porte) : </w:t>
      </w:r>
      <w:r>
        <w:rPr>
          <w:rFonts w:ascii="Aptos" w:hAnsi="Aptos" w:cs="Aptos"/>
        </w:rPr>
        <w:t xml:space="preserve">de l’extraction jusqu’à la sortie d’usine. Adapté quand la phase usage est negligeable ou inconnue.</w:t>
      </w:r>
    </w:p>
    <w:p w14:paraId="00A00024" w14:textId="00A00024" w:rsidR="00473906" w:rsidRDefault="00473906" w:rsidP="7B885F59">
      <w:r>
        <w:rPr>
          <w:rFonts w:ascii="Aptos" w:hAnsi="Aptos" w:cs="Aptos"/>
          <w:b/>
          <w:bCs/>
        </w:rPr>
        <w:t xml:space="preserve">Gate to gate (Porte à porte) : </w:t>
      </w:r>
      <w:r>
        <w:rPr>
          <w:rFonts w:ascii="Aptos" w:hAnsi="Aptos" w:cs="Aptos"/>
        </w:rPr>
        <w:t xml:space="preserve">uniquement la phase de fabrication. Utile pour comparer deux procédés de production.</w:t>
      </w:r>
    </w:p>
    <w:p w14:paraId="00A00025" w14:textId="00A00025" w:rsidR="00473906" w:rsidRDefault="00473906"/>
    <w:p w14:paraId="00A00026" w14:textId="00A00026" w:rsidR="00473906" w:rsidRDefault="00473906" w:rsidP="7B885F59">
      <w:r>
        <w:rPr>
          <w:rFonts w:ascii="Aptos" w:hAnsi="Aptos" w:cs="Aptos"/>
          <w:b/>
          <w:bCs/>
        </w:rPr>
        <w:t xml:space="preserve">Choix pour ce projet : </w:t>
      </w:r>
      <w:r>
        <w:rPr>
          <w:rFonts w:ascii="Aptos" w:hAnsi="Aptos" w:cs="Aptos"/>
        </w:rPr>
        <w:t xml:space="preserve">Cradle to grave — nous intégrons la fabrication, 5 ans d’usage (électricité de recharge) et la fin de vie (collecte DEEE).</w:t>
      </w:r>
    </w:p>
    <w:p w14:paraId="00A00027" w14:textId="00A00027" w:rsidR="00473906" w:rsidRDefault="00473906"/>
    <w:p w14:paraId="00A00028" w14:textId="00A00028" w:rsidR="00473906" w:rsidRDefault="00473906">
      <w:r>
        <w:br w:type="page"/>
      </w:r>
    </w:p>
    <w:p w14:paraId="00A00029" w14:textId="00A00029" w:rsidR="00473906" w:rsidRDefault="00473906" w:rsidP="7B885F59">
      <w:pPr>
        <w:pStyle w:val="Titre1"/>
      </w:pPr>
      <w:r>
        <w:t xml:space="preserve">Étape 4 — Définition et objectifs de l’ACV</w:t>
      </w:r>
    </w:p>
    <w:p w14:paraId="00A0002A" w14:textId="00A0002A" w:rsidR="00473906" w:rsidRDefault="00473906"/>
    <w:p w14:paraId="00A0002B" w14:textId="00A0002B" w:rsidR="00473906" w:rsidRDefault="00473906" w:rsidP="7B885F59">
      <w:pPr>
        <w:pStyle w:val="Titre2"/>
      </w:pPr>
      <w:r>
        <w:t xml:space="preserve">Objectifs</w:t>
      </w:r>
    </w:p>
    <w:p w14:paraId="00A0002C" w14:textId="00A0002C" w:rsidR="00473906" w:rsidRDefault="00473906" w:rsidP="7B885F59">
      <w:r>
        <w:rPr>
          <w:rFonts w:ascii="Aptos" w:hAnsi="Aptos" w:cs="Aptos"/>
        </w:rPr>
        <w:t xml:space="preserve">Cette ACV attributionnelle a pour but d’évaluer l’empreinte environnementale de la passerelle LoRa-GSM conçue dans le cadre du projet ruche connectée. Elle est réalisée dans un contexte académique (cours d’écoconception, Polytech, Université Côte d’Azur). Le produit étudié est un prototype.</w:t>
      </w:r>
    </w:p>
    <w:p w14:paraId="00A0002D" w14:textId="00A0002D" w:rsidR="00473906" w:rsidRDefault="00473906"/>
    <w:p w14:paraId="00A0002E" w14:textId="00A0002E" w:rsidR="00473906" w:rsidRDefault="00473906" w:rsidP="7B885F59">
      <w:pPr>
        <w:pStyle w:val="Titre2"/>
      </w:pPr>
      <w:r>
        <w:t xml:space="preserve">Unité fonctionnelle (UF)</w:t>
      </w:r>
    </w:p>
    <w:p w14:paraId="00A0002F" w14:textId="00A0002F" w:rsidR="00473906" w:rsidRDefault="00473906" w:rsidP="7B885F59">
      <w:r>
        <w:rPr>
          <w:rFonts w:ascii="Aptos" w:hAnsi="Aptos" w:cs="Aptos"/>
        </w:rPr>
        <w:t xml:space="preserve">Selon le cours (slide 30), l’unité fonctionnelle doit suivre le format : verbe d’action + niveau de performance quantifié + conditions d’utilisation.</w:t>
      </w:r>
    </w:p>
    <w:p w14:paraId="00A00030" w14:textId="00A00030" w:rsidR="00473906" w:rsidRDefault="00473906"/>
    <w:p w14:paraId="00A00031" w14:textId="00A00031" w:rsidR="00473906" w:rsidRDefault="00473906" w:rsidP="7B885F59">
      <w:pPr>
        <w:jc w:val="center"/>
      </w:pPr>
      <w:r>
        <w:rPr>
          <w:rFonts w:ascii="Aptos" w:hAnsi="Aptos" w:cs="Aptos"/>
          <w:i/>
          <w:iCs/>
        </w:rPr>
        <w:t xml:space="preserve">“ Assurer la collecte locale (via LoRa) et la transmission distante (via GSM/LTE) des paramètres environnementaux d’une ruche, à une fréquence d’un envoi toutes les heures, dans un environnement rural extérieur (IP65), pour une durée de vie anticipée de 5 ans. ”</w:t>
      </w:r>
    </w:p>
    <w:p w14:paraId="00A00032" w14:textId="00A00032" w:rsidR="00473906" w:rsidRDefault="00473906"/>
    <w:p w14:paraId="00A00033" w14:textId="00A00033" w:rsidR="00473906" w:rsidRDefault="00473906" w:rsidP="7B885F59">
      <w:r>
        <w:rPr>
          <w:rFonts w:ascii="Aptos" w:hAnsi="Aptos" w:cs="Aptos"/>
        </w:rPr>
        <w:t xml:space="preserve">Questions soulevées par la durée de vie (analogie avec l’exemple du convertisseur Buck du cours) :</w:t>
      </w:r>
    </w:p>
    <w:p w14:paraId="00A00034" w14:textId="00A00034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La durée de vie réelle de la batterie LiPo est-elle de 5 ans ? Un remplacement anticipé (2–3 ans) multiplierait l’impact de ce composant.</w:t>
      </w:r>
    </w:p>
    <w:p w14:paraId="00A00035" w14:textId="00A00035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Où fonctionne la gateway ? En France, le mix électrique est bas-carbone (0,057 kg CO₂eq/kWh). Dans un pays au mix charbon, l’impact de la phase usage serait nettement plus élevé.</w:t>
      </w:r>
    </w:p>
    <w:p w14:paraId="00A00036" w14:textId="00A00036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Le mode Deep Sleep de l’ESP32 et du module LoRa est activement utilisé, ce qui réduit significativement la consommation en phase usage.</w:t>
      </w:r>
    </w:p>
    <w:p w14:paraId="00A00037" w14:textId="00A00037" w:rsidR="00473906" w:rsidRDefault="00473906"/>
    <w:p w14:paraId="00A00038" w14:textId="00A00038" w:rsidR="00473906" w:rsidRDefault="00473906" w:rsidP="7B885F59">
      <w:pPr>
        <w:pStyle w:val="Titre2"/>
      </w:pPr>
      <w:r>
        <w:t xml:space="preserve">Champ de l’étude (Scope)</w:t>
      </w:r>
    </w:p>
    <w:p w14:paraId="00A00039" w14:textId="00A00039" w:rsidR="00473906" w:rsidRDefault="00473906" w:rsidP="7B885F59">
      <w:r>
        <w:rPr>
          <w:rFonts w:ascii="Aptos" w:hAnsi="Aptos" w:cs="Aptos"/>
          <w:b/>
          <w:bCs/>
        </w:rPr>
        <w:t xml:space="preserve">Périmètre : </w:t>
      </w:r>
      <w:r>
        <w:rPr>
          <w:rFonts w:ascii="Aptos" w:hAnsi="Aptos" w:cs="Aptos"/>
        </w:rPr>
        <w:t xml:space="preserve">Cradle to grave — extraction des matières premières → fabrication → usage 5 ans → fin de vie.</w:t>
      </w:r>
    </w:p>
    <w:p w14:paraId="00A0003A" w14:textId="00A0003A" w:rsidR="00473906" w:rsidRDefault="00473906"/>
    <w:p w14:paraId="00A0003B" w14:textId="00A0003B" w:rsidR="00473906" w:rsidRDefault="00473906" w:rsidP="7B885F59">
      <w:pPr>
        <w:pStyle w:val="Titre2"/>
      </w:pPr>
      <w:r>
        <w:t xml:space="preserve">Flot de référence</w:t>
      </w:r>
    </w:p>
    <w:p w14:paraId="00A0003C" w14:textId="00A0003C" w:rsidR="00473906" w:rsidRDefault="00473906" w:rsidP="7B885F59">
      <w:r>
        <w:rPr>
          <w:rFonts w:ascii="Aptos" w:hAnsi="Aptos" w:cs="Aptos"/>
        </w:rPr>
        <w:t xml:space="preserve">Quantité du produit nécessaire pour atteindre l’unité fonctionnelle : 1 unité de passerelle LoRa-GSM (masse totale ≈ 276 g, hors énergie).</w:t>
      </w:r>
    </w:p>
    <w:p w14:paraId="00A0003D" w14:textId="00A0003D" w:rsidR="00473906" w:rsidRDefault="00473906"/>
    <w:p w14:paraId="00A0003E" w14:textId="00A0003E" w:rsidR="00473906" w:rsidRDefault="00473906" w:rsidP="7B885F59">
      <w:pPr>
        <w:pStyle w:val="Titre2"/>
      </w:pPr>
      <w:r>
        <w:t xml:space="preserve">Frontières du système</w:t>
      </w:r>
    </w:p>
    <w:p w14:paraId="00A0003F" w14:textId="00A0003F" w:rsidR="00473906" w:rsidRDefault="00473906" w:rsidP="7B885F59">
      <w:r>
        <w:rPr>
          <w:rFonts w:ascii="Aptos" w:hAnsi="Aptos" w:cs="Aptos"/>
          <w:b/>
          <w:bCs/>
        </w:rPr>
        <w:t xml:space="preserve">Inclus : </w:t>
      </w:r>
      <w:r>
        <w:rPr>
          <w:rFonts w:ascii="Aptos" w:hAnsi="Aptos" w:cs="Aptos"/>
        </w:rPr>
        <w:t xml:space="preserve">extraction des matières premières, fabrication des composants électroniques (ESP32, SIM7000G, LLCC68, PCB, passifs), assemblage, phase d’usage 5 ans (électricité de recharge batterie : 87,6 kWh), fin de vie DEEE.</w:t>
      </w:r>
    </w:p>
    <w:p w14:paraId="00A00040" w14:textId="00A00040" w:rsidR="00473906" w:rsidRDefault="00473906" w:rsidP="7B885F59">
      <w:r>
        <w:rPr>
          <w:rFonts w:ascii="Aptos" w:hAnsi="Aptos" w:cs="Aptos"/>
          <w:b/>
          <w:bCs/>
        </w:rPr>
        <w:t xml:space="preserve">Exclus : </w:t>
      </w:r>
      <w:r>
        <w:rPr>
          <w:rFonts w:ascii="Aptos" w:hAnsi="Aptos" w:cs="Aptos"/>
        </w:rPr>
        <w:t xml:space="preserve">phase R&amp;D, transport entre usines, infrastructure serveur de réception des données, maintenance et remplacement de composants hors batterie.</w:t>
      </w:r>
    </w:p>
    <w:p w14:paraId="00A00041" w14:textId="00A00041" w:rsidR="00473906" w:rsidRDefault="00473906" w:rsidP="7B885F59">
      <w:r>
        <w:rPr>
          <w:rFonts w:ascii="Aptos" w:hAnsi="Aptos" w:cs="Aptos"/>
          <w:b/>
          <w:bCs/>
        </w:rPr>
        <w:t xml:space="preserve">Localisation : </w:t>
      </w:r>
      <w:r>
        <w:rPr>
          <w:rFonts w:ascii="Aptos" w:hAnsi="Aptos" w:cs="Aptos"/>
        </w:rPr>
        <w:t xml:space="preserve">usage en France — mix électrique français, source Electricity Maps.</w:t>
      </w:r>
    </w:p>
    <w:p w14:paraId="00A00042" w14:textId="00A00042" w:rsidR="00473906" w:rsidRDefault="00473906" w:rsidP="7B885F59">
      <w:r>
        <w:rPr>
          <w:rFonts w:ascii="Aptos" w:hAnsi="Aptos" w:cs="Aptos"/>
          <w:b/>
          <w:bCs/>
        </w:rPr>
        <w:t xml:space="preserve">Période : </w:t>
      </w:r>
      <w:r>
        <w:rPr>
          <w:rFonts w:ascii="Aptos" w:hAnsi="Aptos" w:cs="Aptos"/>
        </w:rPr>
        <w:t xml:space="preserve">5 ans de fonctionnement.</w:t>
      </w:r>
    </w:p>
    <w:p w14:paraId="00A00043" w14:textId="00A00043" w:rsidR="00473906" w:rsidRDefault="00473906"/>
    <w:p w14:paraId="00A00044" w14:textId="00A00044" w:rsidR="00473906" w:rsidRDefault="00473906">
      <w:r>
        <w:br w:type="page"/>
      </w:r>
    </w:p>
    <w:p w14:paraId="00A00045" w14:textId="00A00045" w:rsidR="00473906" w:rsidRDefault="00473906" w:rsidP="7B885F59">
      <w:pPr>
        <w:pStyle w:val="Titre1"/>
      </w:pPr>
      <w:r>
        <w:t xml:space="preserve">Étape 5 — Inventaire — Bill of Materials (BOM)</w:t>
      </w:r>
    </w:p>
    <w:p w14:paraId="00A00046" w14:textId="00A00046" w:rsidR="00473906" w:rsidRDefault="00473906"/>
    <w:p w14:paraId="00A00047" w14:textId="00A00047" w:rsidR="00473906" w:rsidRDefault="00473906" w:rsidP="7B885F59">
      <w:r>
        <w:rPr>
          <w:rFonts w:ascii="Aptos" w:hAnsi="Aptos" w:cs="Aptos"/>
        </w:rPr>
        <w:t xml:space="preserve">Pour l’électronique, l’inventaire du cycle de vie repose principalement sur le BOM (Bill of Materials), comme indiqué en slide 33 du cours. Le tableau ci-dessous liste l’ensemble des composants de la passerelle LoRa-GSM avec leur correspondance dans la base de données EcoInvent, tels qu’ils ont été introduits dans le logiciel OpenLCA.</w:t>
      </w:r>
    </w:p>
    <w:p w14:paraId="00A00048" w14:textId="00A00048" w:rsidR="00473906" w:rsidRDefault="00473906"/>
    <w:tbl>
      <w:tblPr>
        <w:tblStyle w:val="Grilledutableau"/>
        <w:tblW w:w="11600" w:type="dxa"/>
        <w:tblLook w:val="06A0" w:firstRow="1" w:noHBand="0" w:noVBand="1"/>
      </w:tblPr>
      <w:tblGrid>
        <w:gridCol w:w="1800"/>
        <w:gridCol w:w="3200"/>
        <w:gridCol w:w="3200"/>
        <w:gridCol w:w="1000"/>
        <w:gridCol w:w="600"/>
        <w:gridCol w:w="900"/>
        <w:gridCol w:w="900"/>
      </w:tblGrid>
      <w:tr>
        <w:trPr>
          <w:tblHeader/>
        </w:trP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9" w14:textId="00A00049">
            <w:r>
              <w:rPr>
                <w:rFonts w:ascii="Aptos" w:hAnsi="Aptos" w:cs="Aptos"/>
                <w:b/>
                <w:bCs/>
                <w:color w:val="FFFFFF"/>
              </w:rPr>
              <w:t xml:space="preserve">Bloc / Module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A" w14:textId="00A0004A">
            <w:r>
              <w:rPr>
                <w:rFonts w:ascii="Aptos" w:hAnsi="Aptos" w:cs="Aptos"/>
                <w:b/>
                <w:bCs/>
                <w:color w:val="FFFFFF"/>
              </w:rPr>
              <w:t xml:space="preserve">Désignation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B" w14:textId="00A0004B">
            <w:r>
              <w:rPr>
                <w:rFonts w:ascii="Aptos" w:hAnsi="Aptos" w:cs="Aptos"/>
                <w:b/>
                <w:bCs/>
                <w:color w:val="FFFFFF"/>
              </w:rPr>
              <w:t xml:space="preserve">Nom EcoInvent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C" w14:textId="00A0004C">
            <w:r>
              <w:rPr>
                <w:rFonts w:ascii="Aptos" w:hAnsi="Aptos" w:cs="Aptos"/>
                <w:b/>
                <w:bCs/>
                <w:color w:val="FFFFFF"/>
              </w:rPr>
              <w:t xml:space="preserve">Cat.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D" w14:textId="00A0004D">
            <w:r>
              <w:rPr>
                <w:rFonts w:ascii="Aptos" w:hAnsi="Aptos" w:cs="Aptos"/>
                <w:b/>
                <w:bCs/>
                <w:color w:val="FFFFFF"/>
              </w:rPr>
              <w:t xml:space="preserve">Qté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E" w14:textId="00A0004E">
            <w:r>
              <w:rPr>
                <w:rFonts w:ascii="Aptos" w:hAnsi="Aptos" w:cs="Aptos"/>
                <w:b/>
                <w:bCs/>
                <w:color w:val="FFFFFF"/>
              </w:rPr>
              <w:t xml:space="preserve">Masse/Surface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4F" w14:textId="00A0004F">
            <w:r>
              <w:rPr>
                <w:rFonts w:ascii="Aptos" w:hAnsi="Aptos" w:cs="Aptos"/>
                <w:b/>
                <w:bCs/>
                <w:color w:val="FFFFFF"/>
              </w:rPr>
              <w:t xml:space="preserve">Unité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0" w14:textId="00A00050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1" w14:textId="00A00051">
            <w:r>
              <w:rPr>
                <w:rFonts w:ascii="Aptos" w:hAnsi="Aptos" w:cs="Aptos"/>
              </w:rPr>
              <w:t xml:space="preserve">Circuit imprimé (PCB)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2" w14:textId="00A00052">
            <w:r>
              <w:rPr>
                <w:rFonts w:ascii="Aptos" w:hAnsi="Aptos" w:cs="Aptos"/>
              </w:rPr>
              <w:t xml:space="preserve">printed wiring board, SMT, Pb-free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3" w14:textId="00A00053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4" w14:textId="00A00054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5" w14:textId="00A00055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6" w14:textId="00A00056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7" w14:textId="00A00057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8" w14:textId="00A00058">
            <w:r>
              <w:rPr>
                <w:rFonts w:ascii="Aptos" w:hAnsi="Aptos" w:cs="Aptos"/>
              </w:rPr>
              <w:t xml:space="preserve">Montage CMS PCB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9" w14:textId="00A00059">
            <w:r>
              <w:rPr>
                <w:rFonts w:ascii="Aptos" w:hAnsi="Aptos" w:cs="Aptos"/>
              </w:rPr>
              <w:t xml:space="preserve">mounting, SMT, Pb-free solder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A" w14:textId="00A0005A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B" w14:textId="00A0005B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C" w14:textId="00A0005C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D" w14:textId="00A0005D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E" w14:textId="00A0005E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5F" w14:textId="00A0005F">
            <w:r>
              <w:rPr>
                <w:rFonts w:ascii="Aptos" w:hAnsi="Aptos" w:cs="Aptos"/>
              </w:rPr>
              <w:t xml:space="preserve">Microcontrôleur ESP32 (QFN-40)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0" w14:textId="00A00060">
            <w:r>
              <w:rPr>
                <w:rFonts w:ascii="Aptos" w:hAnsi="Aptos" w:cs="Aptos"/>
              </w:rPr>
              <w:t xml:space="preserve">wafer, fabricated, for 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1" w14:textId="00A00061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2" w14:textId="00A00062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3" w14:textId="00A00063">
            <w:r>
              <w:rPr>
                <w:rFonts w:ascii="Aptos" w:hAnsi="Aptos" w:cs="Aptos"/>
              </w:rPr>
              <w:t xml:space="preserve">25 mm²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4" w14:textId="00A00064">
            <w:r>
              <w:rPr>
                <w:rFonts w:ascii="Aptos" w:hAnsi="Aptos" w:cs="Aptos"/>
              </w:rPr>
              <w:t xml:space="preserve">mm²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5" w14:textId="00A00065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6" w14:textId="00A00066">
            <w:r>
              <w:rPr>
                <w:rFonts w:ascii="Aptos" w:hAnsi="Aptos" w:cs="Aptos"/>
              </w:rPr>
              <w:t xml:space="preserve">Mémoire Flash SPI (SOIC-8)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7" w14:textId="00A00067">
            <w:r>
              <w:rPr>
                <w:rFonts w:ascii="Aptos" w:hAnsi="Aptos" w:cs="Aptos"/>
              </w:rPr>
              <w:t xml:space="preserve">integrated circuit, logic 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8" w14:textId="00A00068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9" w14:textId="00A00069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A" w14:textId="00A0006A">
            <w:r>
              <w:rPr>
                <w:rFonts w:ascii="Aptos" w:hAnsi="Aptos" w:cs="Aptos"/>
              </w:rPr>
              <w:t xml:space="preserve">1,08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B" w14:textId="00A0006B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C" w14:textId="00A0006C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D" w14:textId="00A0006D">
            <w:r>
              <w:rPr>
                <w:rFonts w:ascii="Aptos" w:hAnsi="Aptos" w:cs="Aptos"/>
              </w:rPr>
              <w:t xml:space="preserve">Oscillateur Quartz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E" w14:textId="00A0006E">
            <w:r>
              <w:rPr>
                <w:rFonts w:ascii="Aptos" w:hAnsi="Aptos" w:cs="Aptos"/>
              </w:rPr>
              <w:t xml:space="preserve">integrated circuit, logic 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6F" w14:textId="00A0006F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0" w14:textId="00A00070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1" w14:textId="00A00071">
            <w:r>
              <w:rPr>
                <w:rFonts w:ascii="Aptos" w:hAnsi="Aptos" w:cs="Aptos"/>
              </w:rPr>
              <w:t xml:space="preserve">0,6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2" w14:textId="00A00072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3" w14:textId="00A00073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4" w14:textId="00A00074">
            <w:r>
              <w:rPr>
                <w:rFonts w:ascii="Aptos" w:hAnsi="Aptos" w:cs="Aptos"/>
              </w:rPr>
              <w:t xml:space="preserve">Condensateurs de découplage (0402)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5" w14:textId="00A00075">
            <w:r>
              <w:rPr>
                <w:rFonts w:ascii="Aptos" w:hAnsi="Aptos" w:cs="Aptos"/>
              </w:rPr>
              <w:t xml:space="preserve">capacitor, for SMT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6" w14:textId="00A00076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7" w14:textId="00A00077">
            <w:r>
              <w:rPr>
                <w:rFonts w:ascii="Aptos" w:hAnsi="Aptos" w:cs="Aptos"/>
              </w:rPr>
              <w:t xml:space="preserve">15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8" w14:textId="00A00078">
            <w:r>
              <w:rPr>
                <w:rFonts w:ascii="Aptos" w:hAnsi="Aptos" w:cs="Aptos"/>
              </w:rPr>
              <w:t xml:space="preserve">0,37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9" w14:textId="00A00079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A" w14:textId="00A0007A">
            <w:r>
              <w:rPr>
                <w:rFonts w:ascii="Aptos" w:hAnsi="Aptos" w:cs="Aptos"/>
              </w:rPr>
              <w:t xml:space="preserve">ESP32 WROOM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B" w14:textId="00A0007B">
            <w:r>
              <w:rPr>
                <w:rFonts w:ascii="Aptos" w:hAnsi="Aptos" w:cs="Aptos"/>
              </w:rPr>
              <w:t xml:space="preserve">Résistances pull-up/down (0402)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C" w14:textId="00A0007C">
            <w:r>
              <w:rPr>
                <w:rFonts w:ascii="Aptos" w:hAnsi="Aptos" w:cs="Aptos"/>
              </w:rPr>
              <w:t xml:space="preserve">resistor, surface-mounted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D" w14:textId="00A0007D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E" w14:textId="00A0007E">
            <w:r>
              <w:rPr>
                <w:rFonts w:ascii="Aptos" w:hAnsi="Aptos" w:cs="Aptos"/>
              </w:rPr>
              <w:t xml:space="preserve">10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7F" w14:textId="00A0007F">
            <w:r>
              <w:rPr>
                <w:rFonts w:ascii="Aptos" w:hAnsi="Aptos" w:cs="Aptos"/>
              </w:rPr>
              <w:t xml:space="preserve">0,10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0" w14:textId="00A00080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1" w14:textId="00A00081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2" w14:textId="00A00082">
            <w:r>
              <w:rPr>
                <w:rFonts w:ascii="Aptos" w:hAnsi="Aptos" w:cs="Aptos"/>
              </w:rPr>
              <w:t xml:space="preserve">Circuit imprimé (PCB)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3" w14:textId="00A00083">
            <w:r>
              <w:rPr>
                <w:rFonts w:ascii="Aptos" w:hAnsi="Aptos" w:cs="Aptos"/>
              </w:rPr>
              <w:t xml:space="preserve">printed wiring board, SMT, Pb-free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4" w14:textId="00A00084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5" w14:textId="00A00085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6" w14:textId="00A00086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7" w14:textId="00A00087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8" w14:textId="00A00088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9" w14:textId="00A00089">
            <w:r>
              <w:rPr>
                <w:rFonts w:ascii="Aptos" w:hAnsi="Aptos" w:cs="Aptos"/>
              </w:rPr>
              <w:t xml:space="preserve">Montage CMS PCB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A" w14:textId="00A0008A">
            <w:r>
              <w:rPr>
                <w:rFonts w:ascii="Aptos" w:hAnsi="Aptos" w:cs="Aptos"/>
              </w:rPr>
              <w:t xml:space="preserve">mounting, SMT, Pb-free solder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B" w14:textId="00A0008B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C" w14:textId="00A0008C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D" w14:textId="00A0008D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E" w14:textId="00A0008E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8F" w14:textId="00A0008F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0" w14:textId="00A00090">
            <w:r>
              <w:rPr>
                <w:rFonts w:ascii="Aptos" w:hAnsi="Aptos" w:cs="Aptos"/>
              </w:rPr>
              <w:t xml:space="preserve">Modem cellulaire (TFBGA-361)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1" w14:textId="00A00091">
            <w:r>
              <w:rPr>
                <w:rFonts w:ascii="Aptos" w:hAnsi="Aptos" w:cs="Aptos"/>
              </w:rPr>
              <w:t xml:space="preserve">wafer, fabricated, for 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2" w14:textId="00A00092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3" w14:textId="00A00093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4" w14:textId="00A00094">
            <w:r>
              <w:rPr>
                <w:rFonts w:ascii="Aptos" w:hAnsi="Aptos" w:cs="Aptos"/>
              </w:rPr>
              <w:t xml:space="preserve">144 mm²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5" w14:textId="00A00095">
            <w:r>
              <w:rPr>
                <w:rFonts w:ascii="Aptos" w:hAnsi="Aptos" w:cs="Aptos"/>
              </w:rPr>
              <w:t xml:space="preserve">mm²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6" w14:textId="00A00096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7" w14:textId="00A00097">
            <w:r>
              <w:rPr>
                <w:rFonts w:ascii="Aptos" w:hAnsi="Aptos" w:cs="Aptos"/>
              </w:rPr>
              <w:t xml:space="preserve">Connecteurs antenne U.FL/SMA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8" w14:textId="00A00098">
            <w:r>
              <w:rPr>
                <w:rFonts w:ascii="Aptos" w:hAnsi="Aptos" w:cs="Aptos"/>
              </w:rPr>
              <w:t xml:space="preserve">electric connector, PCI buss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9" w14:textId="00A00099">
            <w:r>
              <w:rPr>
                <w:rFonts w:ascii="Aptos" w:hAnsi="Aptos" w:cs="Aptos"/>
              </w:rPr>
              <w:t xml:space="preserve">Périph.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A" w14:textId="00A0009A">
            <w:r>
              <w:rPr>
                <w:rFonts w:ascii="Aptos" w:hAnsi="Aptos" w:cs="Aptos"/>
              </w:rPr>
              <w:t xml:space="preserve"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B" w14:textId="00A0009B">
            <w:r>
              <w:rPr>
                <w:rFonts w:ascii="Aptos" w:hAnsi="Aptos" w:cs="Aptos"/>
              </w:rPr>
              <w:t xml:space="preserve">0,57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C" w14:textId="00A0009C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D" w14:textId="00A0009D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E" w14:textId="00A0009E">
            <w:r>
              <w:rPr>
                <w:rFonts w:ascii="Aptos" w:hAnsi="Aptos" w:cs="Aptos"/>
              </w:rPr>
              <w:t xml:space="preserve">Condensateurs tantale (1206)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9F" w14:textId="00A0009F">
            <w:r>
              <w:rPr>
                <w:rFonts w:ascii="Aptos" w:hAnsi="Aptos" w:cs="Aptos"/>
              </w:rPr>
              <w:t xml:space="preserve">capacitor, tantalum, through-hole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0" w14:textId="00A000A0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1" w14:textId="00A000A1">
            <w:r>
              <w:rPr>
                <w:rFonts w:ascii="Aptos" w:hAnsi="Aptos" w:cs="Aptos"/>
              </w:rPr>
              <w:t xml:space="preserve"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2" w14:textId="00A000A2">
            <w:r>
              <w:rPr>
                <w:rFonts w:ascii="Aptos" w:hAnsi="Aptos" w:cs="Aptos"/>
              </w:rPr>
              <w:t xml:space="preserve">0,016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3" w14:textId="00A000A3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4" w14:textId="00A000A4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5" w14:textId="00A000A5">
            <w:r>
              <w:rPr>
                <w:rFonts w:ascii="Aptos" w:hAnsi="Aptos" w:cs="Aptos"/>
              </w:rPr>
              <w:t xml:space="preserve">Support carte SIM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6" w14:textId="00A000A6">
            <w:r>
              <w:rPr>
                <w:rFonts w:ascii="Aptos" w:hAnsi="Aptos" w:cs="Aptos"/>
              </w:rPr>
              <w:t xml:space="preserve">electric connector, peripheral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7" w14:textId="00A000A7">
            <w:r>
              <w:rPr>
                <w:rFonts w:ascii="Aptos" w:hAnsi="Aptos" w:cs="Aptos"/>
              </w:rPr>
              <w:t xml:space="preserve">Périph.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8" w14:textId="00A000A8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9" w14:textId="00A000A9">
            <w:r>
              <w:rPr>
                <w:rFonts w:ascii="Aptos" w:hAnsi="Aptos" w:cs="Aptos"/>
              </w:rPr>
              <w:t xml:space="preserve">1,00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A" w14:textId="00A000AA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B" w14:textId="00A000AB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C" w14:textId="00A000AC">
            <w:r>
              <w:rPr>
                <w:rFonts w:ascii="Aptos" w:hAnsi="Aptos" w:cs="Aptos"/>
              </w:rPr>
              <w:t xml:space="preserve">Diodes de protection ESD (SOT-23)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D" w14:textId="00A000AD">
            <w:r>
              <w:rPr>
                <w:rFonts w:ascii="Aptos" w:hAnsi="Aptos" w:cs="Aptos"/>
              </w:rPr>
              <w:t xml:space="preserve">integrated circuit, logic 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E" w14:textId="00A000AE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AF" w14:textId="00A000AF">
            <w:r>
              <w:rPr>
                <w:rFonts w:ascii="Aptos" w:hAnsi="Aptos" w:cs="Aptos"/>
              </w:rPr>
              <w:t xml:space="preserve"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0" w14:textId="00A000B0">
            <w:r>
              <w:rPr>
                <w:rFonts w:ascii="Aptos" w:hAnsi="Aptos" w:cs="Aptos"/>
              </w:rPr>
              <w:t xml:space="preserve">0,017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1" w14:textId="00A000B1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2" w14:textId="00A000B2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3" w14:textId="00A000B3">
            <w:r>
              <w:rPr>
                <w:rFonts w:ascii="Aptos" w:hAnsi="Aptos" w:cs="Aptos"/>
              </w:rPr>
              <w:t xml:space="preserve">Régulateur LDO (transistor SMD)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4" w14:textId="00A000B4">
            <w:r>
              <w:rPr>
                <w:rFonts w:ascii="Aptos" w:hAnsi="Aptos" w:cs="Aptos"/>
              </w:rPr>
              <w:t xml:space="preserve">transistor, surface-mounted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5" w14:textId="00A000B5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6" w14:textId="00A000B6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7" w14:textId="00A000B7">
            <w:r>
              <w:rPr>
                <w:rFonts w:ascii="Aptos" w:hAnsi="Aptos" w:cs="Aptos"/>
              </w:rPr>
              <w:t xml:space="preserve">0,06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8" w14:textId="00A000B8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9" w14:textId="00A000B9">
            <w:r>
              <w:rPr>
                <w:rFonts w:ascii="Aptos" w:hAnsi="Aptos" w:cs="Aptos"/>
              </w:rPr>
              <w:t xml:space="preserve">SIM7000G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A" w14:textId="00A000BA">
            <w:r>
              <w:rPr>
                <w:rFonts w:ascii="Aptos" w:hAnsi="Aptos" w:cs="Aptos"/>
              </w:rPr>
              <w:t xml:space="preserve">Self DC/DC (inductance 1008)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B" w14:textId="00A000BB">
            <w:r>
              <w:rPr>
                <w:rFonts w:ascii="Aptos" w:hAnsi="Aptos" w:cs="Aptos"/>
              </w:rPr>
              <w:t xml:space="preserve">inductor, low value multilayer chip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C" w14:textId="00A000BC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D" w14:textId="00A000BD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E" w14:textId="00A000BE">
            <w:r>
              <w:rPr>
                <w:rFonts w:ascii="Aptos" w:hAnsi="Aptos" w:cs="Aptos"/>
              </w:rPr>
              <w:t xml:space="preserve">0,112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BF" w14:textId="00A000BF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0" w14:textId="00A000C0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1" w14:textId="00A000C1">
            <w:r>
              <w:rPr>
                <w:rFonts w:ascii="Aptos" w:hAnsi="Aptos" w:cs="Aptos"/>
              </w:rPr>
              <w:t xml:space="preserve">Circuit imprimé (PCB)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2" w14:textId="00A000C2">
            <w:r>
              <w:rPr>
                <w:rFonts w:ascii="Aptos" w:hAnsi="Aptos" w:cs="Aptos"/>
              </w:rPr>
              <w:t xml:space="preserve">printed wiring board, SMT, Pb-free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3" w14:textId="00A000C3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4" w14:textId="00A000C4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5" w14:textId="00A000C5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6" w14:textId="00A000C6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7" w14:textId="00A000C7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8" w14:textId="00A000C8">
            <w:r>
              <w:rPr>
                <w:rFonts w:ascii="Aptos" w:hAnsi="Aptos" w:cs="Aptos"/>
              </w:rPr>
              <w:t xml:space="preserve">Montage CMS PCB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9" w14:textId="00A000C9">
            <w:r>
              <w:rPr>
                <w:rFonts w:ascii="Aptos" w:hAnsi="Aptos" w:cs="Aptos"/>
              </w:rPr>
              <w:t xml:space="preserve">mounting, SMT, Pb-free solder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A" w14:textId="00A000CA">
            <w:r>
              <w:rPr>
                <w:rFonts w:ascii="Aptos" w:hAnsi="Aptos" w:cs="Aptos"/>
              </w:rPr>
              <w:t xml:space="preserve">PCB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B" w14:textId="00A000CB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C" w14:textId="00A000CC">
            <w:r>
              <w:rPr>
                <w:rFonts w:ascii="Aptos" w:hAnsi="Aptos" w:cs="Aptos"/>
              </w:rPr>
              <w:t xml:space="preserve">0,0072 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D" w14:textId="00A000CD">
            <w:r>
              <w:rPr>
                <w:rFonts w:ascii="Aptos" w:hAnsi="Aptos" w:cs="Aptos"/>
              </w:rPr>
              <w:t xml:space="preserve">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E" w14:textId="00A000CE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CF" w14:textId="00A000CF">
            <w:r>
              <w:rPr>
                <w:rFonts w:ascii="Aptos" w:hAnsi="Aptos" w:cs="Aptos"/>
              </w:rPr>
              <w:t xml:space="preserve">Transceiver LoRa LLCC68 (QFN-24)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0" w14:textId="00A000D0">
            <w:r>
              <w:rPr>
                <w:rFonts w:ascii="Aptos" w:hAnsi="Aptos" w:cs="Aptos"/>
              </w:rPr>
              <w:t xml:space="preserve">wafer, fabricated, for IC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1" w14:textId="00A000D1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2" w14:textId="00A000D2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3" w14:textId="00A000D3">
            <w:r>
              <w:rPr>
                <w:rFonts w:ascii="Aptos" w:hAnsi="Aptos" w:cs="Aptos"/>
              </w:rPr>
              <w:t xml:space="preserve">16 mm²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4" w14:textId="00A000D4">
            <w:r>
              <w:rPr>
                <w:rFonts w:ascii="Aptos" w:hAnsi="Aptos" w:cs="Aptos"/>
              </w:rPr>
              <w:t xml:space="preserve">mm²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5" w14:textId="00A000D5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6" w14:textId="00A000D6">
            <w:r>
              <w:rPr>
                <w:rFonts w:ascii="Aptos" w:hAnsi="Aptos" w:cs="Aptos"/>
              </w:rPr>
              <w:t xml:space="preserve">Oscillateur Quartz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7" w14:textId="00A000D7">
            <w:r>
              <w:rPr>
                <w:rFonts w:ascii="Aptos" w:hAnsi="Aptos" w:cs="Aptos"/>
              </w:rPr>
              <w:t xml:space="preserve">integrated circuit, logic 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8" w14:textId="00A000D8">
            <w:r>
              <w:rPr>
                <w:rFonts w:ascii="Aptos" w:hAnsi="Aptos" w:cs="Aptos"/>
              </w:rPr>
              <w:t xml:space="preserve">IC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9" w14:textId="00A000D9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A" w14:textId="00A000DA">
            <w:r>
              <w:rPr>
                <w:rFonts w:ascii="Aptos" w:hAnsi="Aptos" w:cs="Aptos"/>
              </w:rPr>
              <w:t xml:space="preserve">0,6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B" w14:textId="00A000DB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C" w14:textId="00A000DC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D" w14:textId="00A000DD">
            <w:r>
              <w:rPr>
                <w:rFonts w:ascii="Aptos" w:hAnsi="Aptos" w:cs="Aptos"/>
              </w:rPr>
              <w:t xml:space="preserve">Pin headers de connexion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E" w14:textId="00A000DE">
            <w:r>
              <w:rPr>
                <w:rFonts w:ascii="Aptos" w:hAnsi="Aptos" w:cs="Aptos"/>
              </w:rPr>
              <w:t xml:space="preserve">electric connector, PCI buss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DF" w14:textId="00A000DF">
            <w:r>
              <w:rPr>
                <w:rFonts w:ascii="Aptos" w:hAnsi="Aptos" w:cs="Aptos"/>
              </w:rPr>
              <w:t xml:space="preserve">Périph.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0" w14:textId="00A000E0">
            <w:r>
              <w:rPr>
                <w:rFonts w:ascii="Aptos" w:hAnsi="Aptos" w:cs="Aptos"/>
              </w:rPr>
              <w:t xml:space="preserve">8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1" w14:textId="00A000E1">
            <w:r>
              <w:rPr>
                <w:rFonts w:ascii="Aptos" w:hAnsi="Aptos" w:cs="Aptos"/>
              </w:rPr>
              <w:t xml:space="preserve">0,71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2" w14:textId="00A000E2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3" w14:textId="00A000E3">
            <w:r>
              <w:rPr>
                <w:rFonts w:ascii="Aptos" w:hAnsi="Aptos" w:cs="Aptos"/>
              </w:rPr>
              <w:t xml:space="preserve">LoRa LLCC68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4" w14:textId="00A000E4">
            <w:r>
              <w:rPr>
                <w:rFonts w:ascii="Aptos" w:hAnsi="Aptos" w:cs="Aptos"/>
              </w:rPr>
              <w:t xml:space="preserve">Inductances RF d’adaptation (0402)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5" w14:textId="00A000E5">
            <w:r>
              <w:rPr>
                <w:rFonts w:ascii="Aptos" w:hAnsi="Aptos" w:cs="Aptos"/>
              </w:rPr>
              <w:t xml:space="preserve">inductor, low value multilayer chip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6" w14:textId="00A000E6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7" w14:textId="00A000E7">
            <w:r>
              <w:rPr>
                <w:rFonts w:ascii="Aptos" w:hAnsi="Aptos" w:cs="Aptos"/>
              </w:rPr>
              <w:t xml:space="preserve">4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8" w14:textId="00A000E8">
            <w:r>
              <w:rPr>
                <w:rFonts w:ascii="Aptos" w:hAnsi="Aptos" w:cs="Aptos"/>
              </w:rPr>
              <w:t xml:space="preserve">0,001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9" w14:textId="00A000E9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A" w14:textId="00A000EA">
            <w:r>
              <w:rPr>
                <w:rFonts w:ascii="Aptos" w:hAnsi="Aptos" w:cs="Aptos"/>
              </w:rPr>
              <w:t xml:space="preserve">Cartes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B" w14:textId="00A000EB">
            <w:r>
              <w:rPr>
                <w:rFonts w:ascii="Aptos" w:hAnsi="Aptos" w:cs="Aptos"/>
              </w:rPr>
              <w:t xml:space="preserve">Connecteur USB-C alimentation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C" w14:textId="00A000EC">
            <w:r>
              <w:rPr>
                <w:rFonts w:ascii="Aptos" w:hAnsi="Aptos" w:cs="Aptos"/>
              </w:rPr>
              <w:t xml:space="preserve">electric connector, peripheral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D" w14:textId="00A000ED">
            <w:r>
              <w:rPr>
                <w:rFonts w:ascii="Aptos" w:hAnsi="Aptos" w:cs="Aptos"/>
              </w:rPr>
              <w:t xml:space="preserve">Périph.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E" w14:textId="00A000EE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EF" w14:textId="00A000EF">
            <w:r>
              <w:rPr>
                <w:rFonts w:ascii="Aptos" w:hAnsi="Aptos" w:cs="Aptos"/>
              </w:rPr>
              <w:t xml:space="preserve">2,25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0" w14:textId="00A000F0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1" w14:textId="00A000F1">
            <w:r>
              <w:rPr>
                <w:rFonts w:ascii="Aptos" w:hAnsi="Aptos" w:cs="Aptos"/>
              </w:rPr>
              <w:t xml:space="preserve">Cartes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2" w14:textId="00A000F2">
            <w:r>
              <w:rPr>
                <w:rFonts w:ascii="Aptos" w:hAnsi="Aptos" w:cs="Aptos"/>
              </w:rPr>
              <w:t xml:space="preserve">Boutons poussoir Reset/Boot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3" w14:textId="00A000F3">
            <w:r>
              <w:rPr>
                <w:rFonts w:ascii="Aptos" w:hAnsi="Aptos" w:cs="Aptos"/>
              </w:rPr>
              <w:t xml:space="preserve">switch, toggle type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4" w14:textId="00A000F4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5" w14:textId="00A000F5">
            <w:r>
              <w:rPr>
                <w:rFonts w:ascii="Aptos" w:hAnsi="Aptos" w:cs="Aptos"/>
              </w:rPr>
              <w:t xml:space="preserve">2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6" w14:textId="00A000F6">
            <w:r>
              <w:rPr>
                <w:rFonts w:ascii="Aptos" w:hAnsi="Aptos" w:cs="Aptos"/>
              </w:rPr>
              <w:t xml:space="preserve">4,00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7" w14:textId="00A000F7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8" w14:textId="00A000F8">
            <w:r>
              <w:rPr>
                <w:rFonts w:ascii="Aptos" w:hAnsi="Aptos" w:cs="Aptos"/>
              </w:rPr>
              <w:t xml:space="preserve">Cartes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9" w14:textId="00A000F9">
            <w:r>
              <w:rPr>
                <w:rFonts w:ascii="Aptos" w:hAnsi="Aptos" w:cs="Aptos"/>
              </w:rPr>
              <w:t xml:space="preserve">LEDs d’indicateur d’état (0603)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A" w14:textId="00A000FA">
            <w:r>
              <w:rPr>
                <w:rFonts w:ascii="Aptos" w:hAnsi="Aptos" w:cs="Aptos"/>
              </w:rPr>
              <w:t xml:space="preserve">diode, glass, for SMT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B" w14:textId="00A000FB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C" w14:textId="00A000FC">
            <w:r>
              <w:rPr>
                <w:rFonts w:ascii="Aptos" w:hAnsi="Aptos" w:cs="Aptos"/>
              </w:rPr>
              <w:t xml:space="preserve"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D" w14:textId="00A000FD">
            <w:r>
              <w:rPr>
                <w:rFonts w:ascii="Aptos" w:hAnsi="Aptos" w:cs="Aptos"/>
              </w:rPr>
              <w:t xml:space="preserve">0,08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E" w14:textId="00A000FE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0FF" w14:textId="00A000FF">
            <w:r>
              <w:rPr>
                <w:rFonts w:ascii="Aptos" w:hAnsi="Aptos" w:cs="Aptos"/>
              </w:rPr>
              <w:t xml:space="preserve">Cartes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0" w14:textId="00A00100">
            <w:r>
              <w:rPr>
                <w:rFonts w:ascii="Aptos" w:hAnsi="Aptos" w:cs="Aptos"/>
              </w:rPr>
              <w:t xml:space="preserve">Résistances pour LEDs (0603)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1" w14:textId="00A00101">
            <w:r>
              <w:rPr>
                <w:rFonts w:ascii="Aptos" w:hAnsi="Aptos" w:cs="Aptos"/>
              </w:rPr>
              <w:t xml:space="preserve">resistor, surface-mounted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2" w14:textId="00A00102">
            <w:r>
              <w:rPr>
                <w:rFonts w:ascii="Aptos" w:hAnsi="Aptos" w:cs="Aptos"/>
              </w:rPr>
              <w:t xml:space="preserve">Passif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3" w14:textId="00A00103">
            <w:r>
              <w:rPr>
                <w:rFonts w:ascii="Aptos" w:hAnsi="Aptos" w:cs="Aptos"/>
              </w:rPr>
              <w:t xml:space="preserve">3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4" w14:textId="00A00104">
            <w:r>
              <w:rPr>
                <w:rFonts w:ascii="Aptos" w:hAnsi="Aptos" w:cs="Aptos"/>
              </w:rPr>
              <w:t xml:space="preserve">0,042 g/pèce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5" w14:textId="00A00105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6" w14:textId="00A00106">
            <w:r>
              <w:rPr>
                <w:rFonts w:ascii="Aptos" w:hAnsi="Aptos" w:cs="Aptos"/>
              </w:rPr>
              <w:t xml:space="preserve">Batterie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7" w14:textId="00A00107">
            <w:r>
              <w:rPr>
                <w:rFonts w:ascii="Aptos" w:hAnsi="Aptos" w:cs="Aptos"/>
              </w:rPr>
              <w:t xml:space="preserve">Batterie Lithium-ion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8" w14:textId="00A00108">
            <w:r>
              <w:rPr>
                <w:rFonts w:ascii="Aptos" w:hAnsi="Aptos" w:cs="Aptos"/>
              </w:rPr>
              <w:t xml:space="preserve">battery, Li-ion — EcoInvent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9" w14:textId="00A00109">
            <w:r>
              <w:rPr>
                <w:rFonts w:ascii="Aptos" w:hAnsi="Aptos" w:cs="Aptos"/>
              </w:rPr>
              <w:t xml:space="preserve">Batterie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A" w14:textId="00A0010A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B" w14:textId="00A0010B">
            <w:r>
              <w:rPr>
                <w:rFonts w:ascii="Aptos" w:hAnsi="Aptos" w:cs="Aptos"/>
              </w:rPr>
              <w:t xml:space="preserve">20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C" w14:textId="00A0010C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D" w14:textId="00A0010D">
            <w:r>
              <w:rPr>
                <w:rFonts w:ascii="Aptos" w:hAnsi="Aptos" w:cs="Aptos"/>
              </w:rPr>
              <w:t xml:space="preserve">Boîtier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E" w14:textId="00A0010E">
            <w:r>
              <w:rPr>
                <w:rFonts w:ascii="Aptos" w:hAnsi="Aptos" w:cs="Aptos"/>
              </w:rPr>
              <w:t xml:space="preserve">Boîtier ABS IP65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0F" w14:textId="00A0010F">
            <w:r>
              <w:rPr>
                <w:rFonts w:ascii="Aptos" w:hAnsi="Aptos" w:cs="Aptos"/>
              </w:rPr>
              <w:t xml:space="preserve">ABS plastic — EcoInvent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0" w14:textId="00A00110">
            <w:r>
              <w:rPr>
                <w:rFonts w:ascii="Aptos" w:hAnsi="Aptos" w:cs="Aptos"/>
              </w:rPr>
              <w:t xml:space="preserve">Boîtier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1" w14:textId="00A00111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2" w14:textId="00A00112">
            <w:r>
              <w:rPr>
                <w:rFonts w:ascii="Aptos" w:hAnsi="Aptos" w:cs="Aptos"/>
              </w:rPr>
              <w:t xml:space="preserve">150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3" w14:textId="00A00113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4" w14:textId="00A00114">
            <w:r>
              <w:rPr>
                <w:rFonts w:ascii="Aptos" w:hAnsi="Aptos" w:cs="Aptos"/>
              </w:rPr>
              <w:t xml:space="preserve">Antennes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5" w14:textId="00A00115">
            <w:r>
              <w:rPr>
                <w:rFonts w:ascii="Aptos" w:hAnsi="Aptos" w:cs="Aptos"/>
              </w:rPr>
              <w:t xml:space="preserve">Antennes GSM + LoRa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6" w14:textId="00A00116">
            <w:r>
              <w:rPr>
                <w:rFonts w:ascii="Aptos" w:hAnsi="Aptos" w:cs="Aptos"/>
              </w:rPr>
              <w:t xml:space="preserve">—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7" w14:textId="00A00117">
            <w:r>
              <w:rPr>
                <w:rFonts w:ascii="Aptos" w:hAnsi="Aptos" w:cs="Aptos"/>
              </w:rPr>
              <w:t xml:space="preserve">—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8" w14:textId="00A00118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9" w14:textId="00A00119">
            <w:r>
              <w:rPr>
                <w:rFonts w:ascii="Aptos" w:hAnsi="Aptos" w:cs="Aptos"/>
              </w:rPr>
              <w:t xml:space="preserve">30 g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A" w14:textId="00A0011A">
            <w:r>
              <w:rPr>
                <w:rFonts w:ascii="Aptos" w:hAnsi="Aptos" w:cs="Aptos"/>
              </w:rPr>
              <w:t xml:space="preserve">g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B" w14:textId="00A0011B">
            <w:r>
              <w:rPr>
                <w:rFonts w:ascii="Aptos" w:hAnsi="Aptos" w:cs="Aptos"/>
              </w:rPr>
              <w:t xml:space="preserve">Énergie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C" w14:textId="00A0011C">
            <w:r>
              <w:rPr>
                <w:rFonts w:ascii="Aptos" w:hAnsi="Aptos" w:cs="Aptos"/>
              </w:rPr>
              <w:t xml:space="preserve">Électricité usage (5 ans, France)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D" w14:textId="00A0011D">
            <w:r>
              <w:rPr>
                <w:rFonts w:ascii="Aptos" w:hAnsi="Aptos" w:cs="Aptos"/>
              </w:rPr>
              <w:t xml:space="preserve">electricity, low voltage, FR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E" w14:textId="00A0011E">
            <w:r>
              <w:rPr>
                <w:rFonts w:ascii="Aptos" w:hAnsi="Aptos" w:cs="Aptos"/>
              </w:rPr>
              <w:t xml:space="preserve">Énergie</w:t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1F" w14:textId="00A0011F">
            <w:r>
              <w:rPr>
                <w:rFonts w:ascii="Aptos" w:hAnsi="Aptos" w:cs="Aptos"/>
              </w:rPr>
              <w:t xml:space="preserve">1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0" w14:textId="00A00120">
            <w:r>
              <w:rPr>
                <w:rFonts w:ascii="Aptos" w:hAnsi="Aptos" w:cs="Aptos"/>
              </w:rPr>
              <w:t xml:space="preserve">87,6 kWh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1" w14:textId="00A00121">
            <w:r>
              <w:rPr>
                <w:rFonts w:ascii="Aptos" w:hAnsi="Aptos" w:cs="Aptos"/>
              </w:rPr>
              <w:t xml:space="preserve">kWh</w:t>
            </w:r>
          </w:p>
        </w:tc>
      </w:tr>
      <w:tr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2" w14:textId="00A00122">
            <w:r>
              <w:rPr>
                <w:rFonts w:ascii="Aptos" w:hAnsi="Aptos" w:cs="Aptos"/>
                <w:b/>
                <w:bCs/>
                <w:color w:val="FFFFFF"/>
              </w:rPr>
              <w:t xml:space="preserve">TOTAL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3" w14:textId="00A00123">
            <w:r>
              <w:rPr>
                <w:rFonts w:ascii="Aptos" w:hAnsi="Aptos" w:cs="Aptos"/>
                <w:b/>
                <w:bCs/>
                <w:color w:val="FFFFFF"/>
              </w:rPr>
              <w:t xml:space="preserve">30 références composants + énergie</w:t>
            </w:r>
          </w:p>
        </w:tc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4" w14:textId="00A00124">
            <w:r>
              <w:rPr>
                <w:rFonts w:ascii="Aptos" w:hAnsi="Aptos" w:cs="Aptos"/>
                <w:color w:val="FFFFFF"/>
              </w:rPr>
              <w:t xml:space="preserve"/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5" w14:textId="00A00125">
            <w:r>
              <w:rPr>
                <w:rFonts w:ascii="Aptos" w:hAnsi="Aptos" w:cs="Aptos"/>
                <w:color w:val="FFFFFF"/>
              </w:rPr>
              <w:t xml:space="preserve"/>
            </w:r>
          </w:p>
        </w:tc>
        <w:tc>
          <w:tcPr>
            <w:tcW w:w="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6" w14:textId="00A00126">
            <w:r>
              <w:rPr>
                <w:rFonts w:ascii="Aptos" w:hAnsi="Aptos" w:cs="Aptos"/>
                <w:color w:val="FFFFFF"/>
              </w:rPr>
              <w:t xml:space="preserve"/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7" w14:textId="00A00127">
            <w:r>
              <w:rPr>
                <w:rFonts w:ascii="Aptos" w:hAnsi="Aptos" w:cs="Aptos"/>
                <w:b/>
                <w:bCs/>
                <w:color w:val="FFFFFF"/>
              </w:rPr>
              <w:t xml:space="preserve">≈ 276 g + 87,6 kWh</w:t>
            </w:r>
          </w:p>
        </w:tc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E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28" w14:textId="00A00128">
            <w:r>
              <w:rPr>
                <w:rFonts w:ascii="Aptos" w:hAnsi="Aptos" w:cs="Aptos"/>
                <w:color w:val="FFFFFF"/>
              </w:rPr>
              <w:t xml:space="preserve"/>
            </w:r>
          </w:p>
        </w:tc>
      </w:tr>
    </w:tbl>
    <w:p w14:paraId="00A00129" w14:textId="00A00129" w:rsidR="00473906" w:rsidRDefault="00473906"/>
    <w:p w14:paraId="00A0012A" w14:textId="00A0012A" w:rsidR="00473906" w:rsidRDefault="00473906" w:rsidP="7B885F59">
      <w:r>
        <w:rPr>
          <w:rFonts w:ascii="Aptos" w:hAnsi="Aptos" w:cs="Aptos"/>
        </w:rPr>
        <w:t xml:space="preserve">Le détail complet des correspondances EcoInvent est disponible dans le fichier composants_ecoinvent.xlsx joint au dépôt GitHub.</w:t>
      </w:r>
    </w:p>
    <w:p w14:paraId="00A0012B" w14:textId="00A0012B" w:rsidR="00473906" w:rsidRDefault="00473906"/>
    <w:p w14:paraId="00A0012C" w14:textId="00A0012C" w:rsidR="00473906" w:rsidRDefault="00473906">
      <w:r>
        <w:br w:type="page"/>
      </w:r>
    </w:p>
    <w:p w14:paraId="3E35E4A6" w14:textId="0BD5F773" w:rsidR="6A9DB97B" w:rsidRDefault="6A9DB97B" w:rsidP="7B885F59">
      <w:pPr>
        <w:pStyle w:val="Titre1"/>
      </w:pPr>
      <w:r>
        <w:lastRenderedPageBreak/>
        <w:t xml:space="preserve">Creation du processus et du flow </w:t>
      </w:r>
    </w:p>
    <w:p w14:paraId="642085A0" w14:textId="5239FC7A" w:rsidR="5CEA1DD1" w:rsidRDefault="5CEA1DD1" w:rsidP="7B885F59">
      <w:r>
        <w:rPr>
          <w:noProof/>
        </w:rPr>
        <w:drawing>
          <wp:inline distT="0" distB="0" distL="0" distR="0" wp14:anchorId="78BFBE67" wp14:editId="1E705BCF">
            <wp:extent cx="2724150" cy="5724525"/>
            <wp:effectExtent l="0" t="0" r="0" b="0"/>
            <wp:docPr id="3524870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487072" name="Picture 3524870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8E8A5" w14:textId="374AF498" w:rsidR="7B885F59" w:rsidRDefault="7B885F59"/>
    <w:p w14:paraId="56EBEE81" w14:textId="0974D5F7" w:rsidR="7B885F59" w:rsidRDefault="7B885F59"/>
    <w:p w14:paraId="21961A77" w14:textId="401CB60F" w:rsidR="7B885F59" w:rsidRDefault="7B885F59"/>
    <w:p w14:paraId="0CCB7C72" w14:textId="2EC0A48F" w:rsidR="68C76609" w:rsidRDefault="68C76609" w:rsidP="7B885F59">
      <w:pPr>
        <w:pStyle w:val="Titre1"/>
      </w:pPr>
      <w:r>
        <w:lastRenderedPageBreak/>
        <w:t>Creation des inputs</w:t>
      </w:r>
    </w:p>
    <w:p w14:paraId="4E152E65" w14:textId="42F474A6" w:rsidR="317503C4" w:rsidRDefault="317503C4" w:rsidP="7B885F59">
      <w:r>
        <w:rPr>
          <w:noProof/>
        </w:rPr>
        <w:drawing>
          <wp:inline distT="0" distB="0" distL="0" distR="0" wp14:anchorId="78651DD4" wp14:editId="233D7518">
            <wp:extent cx="5724525" cy="4848225"/>
            <wp:effectExtent l="0" t="0" r="0" b="0"/>
            <wp:docPr id="1560328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28177" name="Picture 15603281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FBB6" w14:textId="2D83AF22" w:rsidR="317503C4" w:rsidRDefault="317503C4">
      <w:r>
        <w:t xml:space="preserve">Les inputs dans le processus “Fabrication_ LoRa_GSM” </w:t>
      </w:r>
    </w:p>
    <w:p w14:paraId="08210740" w14:textId="656398F6" w:rsidR="317503C4" w:rsidRDefault="317503C4">
      <w:r>
        <w:t xml:space="preserve">Chaquet donne du tableau Excel et été introduite </w:t>
      </w:r>
    </w:p>
    <w:p w14:paraId="1CF2FD7D" w14:textId="2D3640CB" w:rsidR="7B885F59" w:rsidRDefault="7B885F59"/>
    <w:p w14:paraId="3863481C" w14:textId="3B1E70C9" w:rsidR="7B885F59" w:rsidRDefault="7B885F59"/>
    <w:p w14:paraId="602CF58D" w14:textId="66F41999" w:rsidR="7B885F59" w:rsidRDefault="7B885F59"/>
    <w:p w14:paraId="0886DBC4" w14:textId="680B2171" w:rsidR="7B885F59" w:rsidRDefault="7B885F59"/>
    <w:p w14:paraId="78F182B6" w14:textId="2F2AB181" w:rsidR="7B885F59" w:rsidRDefault="7B885F59"/>
    <w:p w14:paraId="6FCB688D" w14:textId="0544068A" w:rsidR="7B885F59" w:rsidRDefault="7B885F59"/>
    <w:p w14:paraId="5ABE6390" w14:textId="3E967FE3" w:rsidR="7B885F59" w:rsidRDefault="495DAA2C" w:rsidP="7CC260F9">
      <w:pPr>
        <w:pStyle w:val="Titre1"/>
      </w:pPr>
      <w:r>
        <w:lastRenderedPageBreak/>
        <w:t>Création du Product System</w:t>
      </w:r>
    </w:p>
    <w:p w14:paraId="03A11089" w14:textId="53132A0E" w:rsidR="7B885F59" w:rsidRDefault="569FF6A2">
      <w:r>
        <w:rPr>
          <w:noProof/>
        </w:rPr>
        <w:drawing>
          <wp:inline distT="0" distB="0" distL="0" distR="0" wp14:anchorId="564328B1" wp14:editId="65000776">
            <wp:extent cx="5724525" cy="3333750"/>
            <wp:effectExtent l="0" t="0" r="0" b="0"/>
            <wp:docPr id="933748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4856" name="Picture 933748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A94A7" w14:textId="668ABE21" w:rsidR="7B885F59" w:rsidRDefault="5FA854BA">
      <w:r>
        <w:rPr>
          <w:noProof/>
        </w:rPr>
        <w:drawing>
          <wp:inline distT="0" distB="0" distL="0" distR="0" wp14:anchorId="7471FE0F" wp14:editId="2931731A">
            <wp:extent cx="5724525" cy="2943225"/>
            <wp:effectExtent l="0" t="0" r="0" b="0"/>
            <wp:docPr id="753100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00113" name="Picture 7531001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B4A11" w14:textId="20363E9A" w:rsidR="7B885F59" w:rsidRDefault="02A5318C" w:rsidP="7CC260F9">
      <w:pPr>
        <w:pStyle w:val="Paragraphedeliste"/>
        <w:numPr>
          <w:ilvl w:val="0"/>
          <w:numId w:val="2"/>
        </w:numPr>
        <w:rPr>
          <w:rFonts w:ascii="Aptos" w:eastAsia="Aptos" w:hAnsi="Aptos" w:cs="Aptos"/>
        </w:rPr>
      </w:pPr>
      <w:r>
        <w:t>On remarque que la fabrication La fabrication = 80-90% de l'impact</w:t>
      </w:r>
    </w:p>
    <w:p w14:paraId="486F2D9F" w14:textId="74A133B3" w:rsidR="7B885F59" w:rsidRDefault="02A5318C" w:rsidP="7CC260F9">
      <w:pPr>
        <w:pStyle w:val="Paragraphedeliste"/>
        <w:numPr>
          <w:ilvl w:val="0"/>
          <w:numId w:val="2"/>
        </w:numPr>
        <w:spacing w:before="240" w:after="240"/>
      </w:pPr>
      <w:r>
        <w:t>L'usage (10-20% de l'impact) :</w:t>
      </w:r>
      <w:r>
        <w:rPr>
          <w:rFonts w:ascii="Aptos" w:eastAsia="Aptos" w:hAnsi="Aptos" w:cs="Aptos"/>
        </w:rPr>
        <w:t xml:space="preserve"> Grâce à au </w:t>
      </w:r>
      <w:r>
        <w:t>LoRa</w:t>
      </w:r>
      <w:r>
        <w:rPr>
          <w:rFonts w:ascii="Aptos" w:eastAsia="Aptos" w:hAnsi="Aptos" w:cs="Aptos"/>
        </w:rPr>
        <w:t xml:space="preserve"> et du </w:t>
      </w:r>
      <w:r>
        <w:t>Deep Sleep</w:t>
      </w:r>
      <w:r>
        <w:rPr>
          <w:rFonts w:ascii="Aptos" w:eastAsia="Aptos" w:hAnsi="Aptos" w:cs="Aptos"/>
        </w:rPr>
        <w:t xml:space="preserve">, la part de l'électricité sera très faible. </w:t>
      </w:r>
    </w:p>
    <w:p w14:paraId="00A0018C" w14:textId="00A0018C" w:rsidR="00473906" w:rsidRDefault="00473906" w:rsidP="7B885F59">
      <w:pPr>
        <w:pStyle w:val="Titre1"/>
      </w:pPr>
      <w:r>
        <w:t xml:space="preserve">Étape 7 — Analyse Opex vs Capex : fabrication vs usage</w:t>
      </w:r>
    </w:p>
    <w:p w14:paraId="00A0018D" w14:textId="00A0018D" w:rsidR="00473906" w:rsidRDefault="00473906"/>
    <w:p w14:paraId="00A0018E" w14:textId="00A0018E" w:rsidR="00473906" w:rsidRDefault="00473906" w:rsidP="7B885F59">
      <w:r>
        <w:rPr>
          <w:rFonts w:ascii="Aptos" w:hAnsi="Aptos" w:cs="Aptos"/>
        </w:rPr>
        <w:t xml:space="preserve">L’un des enseignements majeurs du cours (slides 17–18, illustré sur le smartphone) est le rapport entre l’impact à la fabrication (Capex) et l’impact à l’usage (Opex).</w:t>
      </w:r>
    </w:p>
    <w:p w14:paraId="00A0018F" w14:textId="00A0018F" w:rsidR="00473906" w:rsidRDefault="00473906"/>
    <w:p w14:paraId="00A00190" w14:textId="00A00190" w:rsidR="00473906" w:rsidRDefault="00473906" w:rsidP="7B885F59">
      <w:r>
        <w:rPr>
          <w:rFonts w:ascii="Aptos" w:hAnsi="Aptos" w:cs="Aptos"/>
          <w:b/>
          <w:bCs/>
        </w:rPr>
        <w:t xml:space="preserve">Capex (fabrication) : </w:t>
      </w:r>
      <w:r>
        <w:rPr>
          <w:rFonts w:ascii="Aptos" w:hAnsi="Aptos" w:cs="Aptos"/>
        </w:rPr>
        <w:t xml:space="preserve">80 à 90 % de l’impact total pour les équipements électroniques. Inclut l’extraction des matériaux rares, la production des semi-conducteurs et l’assemblage des cartes.</w:t>
      </w:r>
    </w:p>
    <w:p w14:paraId="00A00191" w14:textId="00A00191" w:rsidR="00473906" w:rsidRDefault="00473906" w:rsidP="7B885F59">
      <w:r>
        <w:rPr>
          <w:rFonts w:ascii="Aptos" w:hAnsi="Aptos" w:cs="Aptos"/>
          <w:b/>
          <w:bCs/>
        </w:rPr>
        <w:t xml:space="preserve">Opex (usage) : </w:t>
      </w:r>
      <w:r>
        <w:rPr>
          <w:rFonts w:ascii="Aptos" w:hAnsi="Aptos" w:cs="Aptos"/>
        </w:rPr>
        <w:t xml:space="preserve">10 à 20 % de l’impact. Principalement lié à la consommation électrique de recharge de la batterie.</w:t>
      </w:r>
    </w:p>
    <w:p w14:paraId="00A00192" w14:textId="00A00192" w:rsidR="00473906" w:rsidRDefault="00473906"/>
    <w:p w14:paraId="00A00193" w14:textId="00A00193" w:rsidR="00473906" w:rsidRDefault="00473906" w:rsidP="7B885F59">
      <w:r>
        <w:rPr>
          <w:rFonts w:ascii="Aptos" w:hAnsi="Aptos" w:cs="Aptos"/>
        </w:rPr>
        <w:t xml:space="preserve">Pour notre gateway, ce ratio est particulièrement favorable à la phase usage grâce aux deux optimisations logicielles clés implémentées dans le projet :</w:t>
      </w:r>
    </w:p>
    <w:p w14:paraId="00A00194" w14:textId="00A00194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Mode Deep Sleep de l’ESP32 : consommation descendant à quelques µA lors des périodes d’inactivité.</w:t>
      </w:r>
    </w:p>
    <w:p w14:paraId="00A00195" w14:textId="00A00195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Protocole LoRa : radio longue portée à très faible puissance (quelques mW en émission), contrairement au WiFi ou au Bluetooth classique.</w:t>
      </w:r>
    </w:p>
    <w:p w14:paraId="00A00196" w14:textId="00A00196" w:rsidR="00473906" w:rsidRDefault="00473906"/>
    <w:p w14:paraId="00A00197" w14:textId="00A00197" w:rsidR="00473906" w:rsidRDefault="00473906" w:rsidP="7B885F59">
      <w:r>
        <w:rPr>
          <w:rFonts w:ascii="Aptos" w:hAnsi="Aptos" w:cs="Aptos"/>
        </w:rPr>
        <w:t xml:space="preserve">La consommation estimée sur 5 ans est d’environ 87,6 kWh, soit environ 1,5 à 2 mAh par heure en moyenne. Avec le mix électrique français (0,057 kg CO₂eq/kWh), cela représente environ 5 kg CO₂eq sur 5 ans pour la seule phase usage, soit une fraction minoritaire du bilan total.</w:t>
      </w:r>
    </w:p>
    <w:p w14:paraId="00A00198" w14:textId="00A00198" w:rsidR="00473906" w:rsidRDefault="00473906"/>
    <w:p w14:paraId="00A00199" w14:textId="00A00199" w:rsidR="00473906" w:rsidRDefault="00473906">
      <w:r>
        <w:br w:type="page"/>
      </w:r>
    </w:p>
    <w:p w14:paraId="2AA5D818" w14:textId="53991505" w:rsidR="7B885F59" w:rsidRDefault="6E306869" w:rsidP="7CC260F9">
      <w:pPr>
        <w:pStyle w:val="Titre1"/>
      </w:pPr>
      <w:r>
        <w:lastRenderedPageBreak/>
        <w:t>L’analyse de l’impact de notre projet</w:t>
      </w:r>
    </w:p>
    <w:p w14:paraId="5BCEBA50" w14:textId="1020B6AC" w:rsidR="7B885F59" w:rsidRDefault="743CECDF" w:rsidP="7CC260F9">
      <w:r>
        <w:rPr>
          <w:noProof/>
        </w:rPr>
        <w:drawing>
          <wp:inline distT="0" distB="0" distL="0" distR="0" wp14:anchorId="1BDBB316" wp14:editId="022BD629">
            <wp:extent cx="5724525" cy="1485900"/>
            <wp:effectExtent l="0" t="0" r="0" b="0"/>
            <wp:docPr id="7165462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546288" name="Picture 7165462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9C4E" w14:textId="52CC8A03" w:rsidR="7B885F59" w:rsidRDefault="1C5B73EC" w:rsidP="7CC260F9">
      <w:r>
        <w:rPr>
          <w:rFonts w:ascii="Aptos" w:eastAsia="Aptos" w:hAnsi="Aptos" w:cs="Aptos"/>
        </w:rPr>
        <w:t xml:space="preserve">Notre Gateway de ruche émet environ </w:t>
      </w:r>
      <w:r>
        <w:t>20 5 kg de CO2</w:t>
      </w:r>
      <w:r>
        <w:rPr>
          <w:rFonts w:ascii="Aptos" w:eastAsia="Aptos" w:hAnsi="Aptos" w:cs="Aptos"/>
        </w:rPr>
        <w:t xml:space="preserve"> sur l'ensemble de son cycle de vie (fabrication + 5 ans d'usage). Pour te donner une idée, c'est l'équivalent d'environ </w:t>
      </w:r>
      <w:r>
        <w:t>100 à 120 km parcourus par une voiture thermique</w:t>
      </w:r>
      <w:r>
        <w:rPr>
          <w:rFonts w:ascii="Aptos" w:eastAsia="Aptos" w:hAnsi="Aptos" w:cs="Aptos"/>
        </w:rPr>
        <w:t xml:space="preserve"> moyenne. Pour un objet électronique complexe (GSM + LoRa + Batterie), c'est un score très correct.</w:t>
      </w:r>
    </w:p>
    <w:p w14:paraId="3453C2D8" w14:textId="2E736181" w:rsidR="7B885F59" w:rsidRDefault="0FD5E9C6" w:rsidP="7CC260F9">
      <w:pPr>
        <w:jc w:val="center"/>
        <w:rPr>
          <w:rFonts w:ascii="Aptos" w:eastAsia="Aptos" w:hAnsi="Aptos" w:cs="Aptos"/>
          <w:b/>
          <w:bCs/>
          <w:i/>
          <w:iCs/>
          <w:u w:val="single"/>
        </w:rPr>
      </w:pPr>
      <w:r>
        <w:rPr>
          <w:noProof/>
        </w:rPr>
        <w:drawing>
          <wp:inline distT="0" distB="0" distL="0" distR="0" wp14:anchorId="2D24E86F" wp14:editId="099FC194">
            <wp:extent cx="5724525" cy="3981450"/>
            <wp:effectExtent l="0" t="0" r="0" b="0"/>
            <wp:docPr id="5134245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24540" name="Picture 51342454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u w:val="single"/>
        </w:rPr>
        <w:t>Source google.com</w:t>
      </w:r>
    </w:p>
    <w:p w14:paraId="225702D8" w14:textId="76A84E03" w:rsidR="7B885F59" w:rsidRDefault="7B885F59" w:rsidP="7CC260F9">
      <w:pPr>
        <w:jc w:val="center"/>
        <w:rPr>
          <w:i/>
          <w:iCs/>
          <w:u w:val="single"/>
        </w:rPr>
      </w:pPr>
    </w:p>
    <w:p w14:paraId="29AFBC49" w14:textId="58BB8372" w:rsidR="7B885F59" w:rsidRDefault="50A11AEE" w:rsidP="7CC260F9">
      <w:pPr>
        <w:jc w:val="center"/>
      </w:pPr>
      <w:r>
        <w:rPr>
          <w:noProof/>
        </w:rPr>
        <w:lastRenderedPageBreak/>
        <w:drawing>
          <wp:inline distT="0" distB="0" distL="0" distR="0" wp14:anchorId="7E56EF3A" wp14:editId="48F1D3E4">
            <wp:extent cx="5724525" cy="1257300"/>
            <wp:effectExtent l="0" t="0" r="0" b="0"/>
            <wp:docPr id="19504776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77683" name="Picture 195047768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0C24D" w14:textId="739C7218" w:rsidR="7B885F59" w:rsidRDefault="13DB6865" w:rsidP="7CC260F9">
      <w:pPr>
        <w:jc w:val="center"/>
      </w:pPr>
      <w:r>
        <w:rPr>
          <w:rFonts w:ascii="Roboto" w:eastAsia="Roboto" w:hAnsi="Roboto" w:cs="Roboto"/>
          <w:b/>
          <w:bCs/>
          <w:color w:val="1F1817"/>
          <w:sz w:val="27"/>
          <w:szCs w:val="27"/>
        </w:rPr>
        <w:t>8m³ d'eau environ</w:t>
      </w:r>
      <w:r>
        <w:t xml:space="preserve"> pour notre projet ce qui reste corect si le projet reste fonctionnel pendant 5 ans. Et condition qu’il ne nécessite pas une intervention humaine durant les 5 années.</w:t>
      </w:r>
    </w:p>
    <w:p w14:paraId="27665B67" w14:textId="65C7D6AD" w:rsidR="7B885F59" w:rsidRDefault="6E306869">
      <w:r>
        <w:rPr>
          <w:noProof/>
        </w:rPr>
        <w:drawing>
          <wp:inline distT="0" distB="0" distL="0" distR="0" wp14:anchorId="171A8B83" wp14:editId="0D390C0C">
            <wp:extent cx="5724525" cy="3381375"/>
            <wp:effectExtent l="0" t="0" r="0" b="0"/>
            <wp:docPr id="14085735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573579" name="Picture 14085735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C15B" w14:textId="71753249" w:rsidR="7B885F59" w:rsidRDefault="67794253" w:rsidP="7CC260F9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t>Mineral resource scarcity</w:t>
      </w:r>
      <w:r>
        <w:rPr>
          <w:rFonts w:ascii="Aptos" w:eastAsia="Aptos" w:hAnsi="Aptos" w:cs="Aptos"/>
        </w:rPr>
        <w:t xml:space="preserve"> : Ce chiffre représente l'épuisement des métaux (Or, Cuivre, Lithium). C'est souvent l'impact le plus fort de l'électronique.</w:t>
      </w:r>
    </w:p>
    <w:p w14:paraId="56BEF63C" w14:textId="0B37E14E" w:rsidR="7B885F59" w:rsidRDefault="67794253" w:rsidP="7CC260F9">
      <w:pPr>
        <w:pStyle w:val="Paragraphedeliste"/>
        <w:numPr>
          <w:ilvl w:val="0"/>
          <w:numId w:val="2"/>
        </w:numPr>
        <w:spacing w:before="240" w:after="240"/>
        <w:rPr>
          <w:rFonts w:ascii="Aptos" w:eastAsia="Aptos" w:hAnsi="Aptos" w:cs="Aptos"/>
        </w:rPr>
      </w:pPr>
      <w:r>
        <w:t>Terrestrial ecotoxicity</w:t>
      </w:r>
      <w:r>
        <w:rPr>
          <w:rFonts w:ascii="Aptos" w:eastAsia="Aptos" w:hAnsi="Aptos" w:cs="Aptos"/>
        </w:rPr>
        <w:t xml:space="preserve"> :  les ruches sont dans la nature. Cela mesure l'impact potentiel des composants si le boîtier se dégrade ou est mal recyclé.</w:t>
      </w:r>
    </w:p>
    <w:p w14:paraId="00A0012D" w14:textId="00A0012D" w:rsidR="00473906" w:rsidRDefault="00473906" w:rsidP="7B885F59">
      <w:pPr>
        <w:pStyle w:val="Titre1"/>
      </w:pPr>
      <w:r>
        <w:t xml:space="preserve">Étape 6 — Évaluation des impacts</w:t>
      </w:r>
    </w:p>
    <w:p w14:paraId="00A0012E" w14:textId="00A0012E" w:rsidR="00473906" w:rsidRDefault="00473906"/>
    <w:p w14:paraId="00A0012F" w14:textId="00A0012F" w:rsidR="00473906" w:rsidRDefault="00473906" w:rsidP="7B885F59">
      <w:pPr>
        <w:pStyle w:val="Titre2"/>
      </w:pPr>
      <w:r>
        <w:t xml:space="preserve">Les 16 catégories d’impact (méthode ReCiPe / CML)</w:t>
      </w:r>
    </w:p>
    <w:p w14:paraId="00A00130" w14:textId="00A00130" w:rsidR="00473906" w:rsidRDefault="00473906" w:rsidP="7B885F59">
      <w:r>
        <w:rPr>
          <w:rFonts w:ascii="Aptos" w:hAnsi="Aptos" w:cs="Aptos"/>
        </w:rPr>
        <w:t xml:space="preserve">La méthode ACV normalisée définit jusqu’à 16 catégories d’impact. Les résultats sont exprimés en unités communes (impacts mid-point), puis peuvent être agrégés en impacts end-point sur la santé, les écosystèmes et les ressources.</w:t>
      </w:r>
    </w:p>
    <w:p w14:paraId="00A00131" w14:textId="00A00131" w:rsidR="00473906" w:rsidRDefault="00473906"/>
    <w:tbl>
      <w:tblPr>
        <w:tblStyle w:val="Grilledutableau"/>
        <w:tblW w:w="9600" w:type="dxa"/>
        <w:tblLook w:val="06A0" w:firstRow="1" w:noHBand="0" w:noVBand="1"/>
      </w:tblPr>
      <w:tblGrid>
        <w:gridCol w:w="400"/>
        <w:gridCol w:w="2600"/>
        <w:gridCol w:w="1600"/>
        <w:gridCol w:w="700"/>
        <w:gridCol w:w="4300"/>
      </w:tblGrid>
      <w:tr>
        <w:trPr>
          <w:tblHeader/>
        </w:trP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2" w14:textId="00A00132">
            <w:r>
              <w:rPr>
                <w:rFonts w:ascii="Aptos" w:hAnsi="Aptos" w:cs="Aptos"/>
                <w:b/>
                <w:bCs/>
                <w:color w:val="FFFFFF"/>
              </w:rPr>
              <w:t xml:space="preserve">#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3" w14:textId="00A00133">
            <w:r>
              <w:rPr>
                <w:rFonts w:ascii="Aptos" w:hAnsi="Aptos" w:cs="Aptos"/>
                <w:b/>
                <w:bCs/>
                <w:color w:val="FFFFFF"/>
              </w:rPr>
              <w:t xml:space="preserve">Catégorie d’impact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4" w14:textId="00A00134">
            <w:r>
              <w:rPr>
                <w:rFonts w:ascii="Aptos" w:hAnsi="Aptos" w:cs="Aptos"/>
                <w:b/>
                <w:bCs/>
                <w:color w:val="FFFFFF"/>
              </w:rPr>
              <w:t xml:space="preserve">Unité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5" w14:textId="00A00135">
            <w:r>
              <w:rPr>
                <w:rFonts w:ascii="Aptos" w:hAnsi="Aptos" w:cs="Aptos"/>
                <w:b/>
                <w:bCs/>
                <w:color w:val="FFFFFF"/>
              </w:rPr>
              <w:t xml:space="preserve">Priorité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5608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6" w14:textId="00A00136">
            <w:r>
              <w:rPr>
                <w:rFonts w:ascii="Aptos" w:hAnsi="Aptos" w:cs="Aptos"/>
                <w:b/>
                <w:bCs/>
                <w:color w:val="FFFFFF"/>
              </w:rPr>
              <w:t xml:space="preserve">Pertinence pour l’électronique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7" w14:textId="00A00137">
            <w:r>
              <w:rPr>
                <w:rFonts w:ascii="Aptos" w:hAnsi="Aptos" w:cs="Aptos"/>
                <w:color w:val="FFFFFF"/>
              </w:rPr>
              <w:t xml:space="preserve">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8" w14:textId="00A00138">
            <w:r>
              <w:rPr>
                <w:rFonts w:ascii="Aptos" w:hAnsi="Aptos" w:cs="Aptos"/>
                <w:b/>
                <w:bCs/>
                <w:color w:val="FFFFFF"/>
              </w:rPr>
              <w:t xml:space="preserve">Climate change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9" w14:textId="00A00139">
            <w:r>
              <w:rPr>
                <w:rFonts w:ascii="Aptos" w:hAnsi="Aptos" w:cs="Aptos"/>
                <w:color w:val="FFFFFF"/>
              </w:rPr>
              <w:t xml:space="preserve">kg CO₂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A" w14:textId="00A0013A">
            <w:r>
              <w:rPr>
                <w:rFonts w:ascii="Aptos" w:hAnsi="Aptos" w:cs="Aptos"/>
                <w:color w:val="FFFFFF"/>
              </w:rPr>
              <w:t xml:space="preserve">★★★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B" w14:textId="00A0013B">
            <w:r>
              <w:rPr>
                <w:rFonts w:ascii="Aptos" w:hAnsi="Aptos" w:cs="Aptos"/>
                <w:color w:val="FFFFFF"/>
              </w:rPr>
              <w:t xml:space="preserve">Principale — émissions GES de la fabrication et de l’usage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C" w14:textId="00A0013C">
            <w:r>
              <w:rPr>
                <w:rFonts w:ascii="Aptos" w:hAnsi="Aptos" w:cs="Aptos"/>
                <w:color w:val="FFFFFF"/>
              </w:rPr>
              <w:t xml:space="preserve">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D" w14:textId="00A0013D">
            <w:r>
              <w:rPr>
                <w:rFonts w:ascii="Aptos" w:hAnsi="Aptos" w:cs="Aptos"/>
                <w:b/>
                <w:bCs/>
                <w:color w:val="FFFFFF"/>
              </w:rPr>
              <w:t xml:space="preserve">Mineral resource scarcity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E" w14:textId="00A0013E">
            <w:r>
              <w:rPr>
                <w:rFonts w:ascii="Aptos" w:hAnsi="Aptos" w:cs="Aptos"/>
                <w:color w:val="FFFFFF"/>
              </w:rPr>
              <w:t xml:space="preserve">kg Cu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3F" w14:textId="00A0013F">
            <w:r>
              <w:rPr>
                <w:rFonts w:ascii="Aptos" w:hAnsi="Aptos" w:cs="Aptos"/>
                <w:color w:val="FFFFFF"/>
              </w:rPr>
              <w:t xml:space="preserve">★★★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0" w14:textId="00A00140">
            <w:r>
              <w:rPr>
                <w:rFonts w:ascii="Aptos" w:hAnsi="Aptos" w:cs="Aptos"/>
                <w:color w:val="FFFFFF"/>
              </w:rPr>
              <w:t xml:space="preserve">Principale — métaux rares : or, cuivre, lithium, cobalt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1" w14:textId="00A00141">
            <w:r>
              <w:rPr>
                <w:rFonts w:ascii="Aptos" w:hAnsi="Aptos" w:cs="Aptos"/>
                <w:color w:val="FFFFFF"/>
              </w:rPr>
              <w:t xml:space="preserve">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2" w14:textId="00A00142">
            <w:r>
              <w:rPr>
                <w:rFonts w:ascii="Aptos" w:hAnsi="Aptos" w:cs="Aptos"/>
                <w:b/>
                <w:bCs/>
                <w:color w:val="FFFFFF"/>
              </w:rPr>
              <w:t xml:space="preserve">Water consumption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3" w14:textId="00A00143">
            <w:r>
              <w:rPr>
                <w:rFonts w:ascii="Aptos" w:hAnsi="Aptos" w:cs="Aptos"/>
                <w:color w:val="FFFFFF"/>
              </w:rPr>
              <w:t xml:space="preserve">m³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4" w14:textId="00A00144">
            <w:r>
              <w:rPr>
                <w:rFonts w:ascii="Aptos" w:hAnsi="Aptos" w:cs="Aptos"/>
                <w:color w:val="FFFFFF"/>
              </w:rPr>
              <w:t xml:space="preserve">★★★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5" w14:textId="00A00145">
            <w:r>
              <w:rPr>
                <w:rFonts w:ascii="Aptos" w:hAnsi="Aptos" w:cs="Aptos"/>
                <w:color w:val="FFFFFF"/>
              </w:rPr>
              <w:t xml:space="preserve">Principale — semi-conducteurs très consommateurs en eau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6" w14:textId="00A00146">
            <w:r>
              <w:rPr>
                <w:rFonts w:ascii="Aptos" w:hAnsi="Aptos" w:cs="Aptos"/>
                <w:color w:val="FFFFFF"/>
              </w:rPr>
              <w:t xml:space="preserve">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7" w14:textId="00A00147">
            <w:r>
              <w:rPr>
                <w:rFonts w:ascii="Aptos" w:hAnsi="Aptos" w:cs="Aptos"/>
                <w:b/>
                <w:bCs/>
                <w:color w:val="FFFFFF"/>
              </w:rPr>
              <w:t xml:space="preserve">Terrestrial ecotoxicity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8" w14:textId="00A00148">
            <w:r>
              <w:rPr>
                <w:rFonts w:ascii="Aptos" w:hAnsi="Aptos" w:cs="Aptos"/>
                <w:color w:val="FFFFFF"/>
              </w:rPr>
              <w:t xml:space="preserve">kg 1,4-DCB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9" w14:textId="00A00149">
            <w:r>
              <w:rPr>
                <w:rFonts w:ascii="Aptos" w:hAnsi="Aptos" w:cs="Aptos"/>
                <w:color w:val="FFFFFF"/>
              </w:rPr>
              <w:t xml:space="preserve">★★★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A" w14:textId="00A0014A">
            <w:r>
              <w:rPr>
                <w:rFonts w:ascii="Aptos" w:hAnsi="Aptos" w:cs="Aptos"/>
                <w:color w:val="FFFFFF"/>
              </w:rPr>
              <w:t xml:space="preserve">Principale — dégradation boîtier ou mauvais recyclage DEEE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B" w14:textId="00A0014B">
            <w:r>
              <w:rPr>
                <w:rFonts w:ascii="Aptos" w:hAnsi="Aptos" w:cs="Aptos"/>
                <w:color w:val="FFFFFF"/>
              </w:rPr>
              <w:t xml:space="preserve">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C" w14:textId="00A0014C">
            <w:r>
              <w:rPr>
                <w:rFonts w:ascii="Aptos" w:hAnsi="Aptos" w:cs="Aptos"/>
                <w:b/>
                <w:bCs/>
                <w:color w:val="FFFFFF"/>
              </w:rPr>
              <w:t xml:space="preserve">Human toxicity (cancer)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D" w14:textId="00A0014D">
            <w:r>
              <w:rPr>
                <w:rFonts w:ascii="Aptos" w:hAnsi="Aptos" w:cs="Aptos"/>
                <w:color w:val="FFFFFF"/>
              </w:rPr>
              <w:t xml:space="preserve">kg 1,4-DCB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E" w14:textId="00A0014E">
            <w:r>
              <w:rPr>
                <w:rFonts w:ascii="Aptos" w:hAnsi="Aptos" w:cs="Aptos"/>
                <w:color w:val="FFFFFF"/>
              </w:rPr>
              <w:t xml:space="preserve">★★★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4F" w14:textId="00A0014F">
            <w:r>
              <w:rPr>
                <w:rFonts w:ascii="Aptos" w:hAnsi="Aptos" w:cs="Aptos"/>
                <w:color w:val="FFFFFF"/>
              </w:rPr>
              <w:t xml:space="preserve">Principale — traitement des semi-conducteurs</w:t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0" w14:textId="00A00150">
            <w:r>
              <w:rPr>
                <w:rFonts w:ascii="Aptos" w:hAnsi="Aptos" w:cs="Aptos"/>
              </w:rPr>
              <w:t xml:space="preserve">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1" w14:textId="00A00151">
            <w:r>
              <w:rPr>
                <w:rFonts w:ascii="Aptos" w:hAnsi="Aptos" w:cs="Aptos"/>
              </w:rPr>
              <w:t xml:space="preserve">Ozone depletion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2" w14:textId="00A00152">
            <w:r>
              <w:rPr>
                <w:rFonts w:ascii="Aptos" w:hAnsi="Aptos" w:cs="Aptos"/>
              </w:rPr>
              <w:t xml:space="preserve">kg CFC-11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3" w14:textId="00A00153">
            <w:r>
              <w:rPr>
                <w:rFonts w:ascii="Aptos" w:hAnsi="Aptos" w:cs="Aptos"/>
              </w:rPr>
              <w:t xml:space="preserve">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4" w14:textId="00A00154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5" w14:textId="00A00155">
            <w:r>
              <w:rPr>
                <w:rFonts w:ascii="Aptos" w:hAnsi="Aptos" w:cs="Aptos"/>
              </w:rPr>
              <w:t xml:space="preserve">7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6" w14:textId="00A00156">
            <w:r>
              <w:rPr>
                <w:rFonts w:ascii="Aptos" w:hAnsi="Aptos" w:cs="Aptos"/>
              </w:rPr>
              <w:t xml:space="preserve">Ionizing radiation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7" w14:textId="00A00157">
            <w:r>
              <w:rPr>
                <w:rFonts w:ascii="Aptos" w:hAnsi="Aptos" w:cs="Aptos"/>
              </w:rPr>
              <w:t xml:space="preserve">kBq Co-60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8" w14:textId="00A00158">
            <w:r>
              <w:rPr>
                <w:rFonts w:ascii="Aptos" w:hAnsi="Aptos" w:cs="Aptos"/>
              </w:rPr>
              <w:t xml:space="preserve">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9" w14:textId="00A00159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A" w14:textId="00A0015A">
            <w:r>
              <w:rPr>
                <w:rFonts w:ascii="Aptos" w:hAnsi="Aptos" w:cs="Aptos"/>
              </w:rPr>
              <w:t xml:space="preserve">8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B" w14:textId="00A0015B">
            <w:r>
              <w:rPr>
                <w:rFonts w:ascii="Aptos" w:hAnsi="Aptos" w:cs="Aptos"/>
              </w:rPr>
              <w:t xml:space="preserve">Photochemical ozone formation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C" w14:textId="00A0015C">
            <w:r>
              <w:rPr>
                <w:rFonts w:ascii="Aptos" w:hAnsi="Aptos" w:cs="Aptos"/>
              </w:rPr>
              <w:t xml:space="preserve">kg NMVOCs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D" w14:textId="00A0015D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E" w14:textId="00A0015E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5F" w14:textId="00A0015F">
            <w:r>
              <w:rPr>
                <w:rFonts w:ascii="Aptos" w:hAnsi="Aptos" w:cs="Aptos"/>
              </w:rPr>
              <w:t xml:space="preserve">9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0" w14:textId="00A00160">
            <w:r>
              <w:rPr>
                <w:rFonts w:ascii="Aptos" w:hAnsi="Aptos" w:cs="Aptos"/>
              </w:rPr>
              <w:t xml:space="preserve">Particulate matter formation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1" w14:textId="00A00161">
            <w:r>
              <w:rPr>
                <w:rFonts w:ascii="Aptos" w:hAnsi="Aptos" w:cs="Aptos"/>
              </w:rPr>
              <w:t xml:space="preserve">kg PM₂,5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2" w14:textId="00A00162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3" w14:textId="00A00163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4" w14:textId="00A00164">
            <w:r>
              <w:rPr>
                <w:rFonts w:ascii="Aptos" w:hAnsi="Aptos" w:cs="Aptos"/>
              </w:rPr>
              <w:t xml:space="preserve">10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5" w14:textId="00A00165">
            <w:r>
              <w:rPr>
                <w:rFonts w:ascii="Aptos" w:hAnsi="Aptos" w:cs="Aptos"/>
              </w:rPr>
              <w:t xml:space="preserve">Terrestrial acidification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6" w14:textId="00A00166">
            <w:r>
              <w:rPr>
                <w:rFonts w:ascii="Aptos" w:hAnsi="Aptos" w:cs="Aptos"/>
              </w:rPr>
              <w:t xml:space="preserve">kg SO₂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7" w14:textId="00A00167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8" w14:textId="00A00168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9" w14:textId="00A00169">
            <w:r>
              <w:rPr>
                <w:rFonts w:ascii="Aptos" w:hAnsi="Aptos" w:cs="Aptos"/>
              </w:rPr>
              <w:t xml:space="preserve">11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A" w14:textId="00A0016A">
            <w:r>
              <w:rPr>
                <w:rFonts w:ascii="Aptos" w:hAnsi="Aptos" w:cs="Aptos"/>
              </w:rPr>
              <w:t xml:space="preserve">Freshwater eutrophication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B" w14:textId="00A0016B">
            <w:r>
              <w:rPr>
                <w:rFonts w:ascii="Aptos" w:hAnsi="Aptos" w:cs="Aptos"/>
              </w:rPr>
              <w:t xml:space="preserve">kg P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C" w14:textId="00A0016C">
            <w:r>
              <w:rPr>
                <w:rFonts w:ascii="Aptos" w:hAnsi="Aptos" w:cs="Aptos"/>
              </w:rPr>
              <w:t xml:space="preserve">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D" w14:textId="00A0016D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E" w14:textId="00A0016E">
            <w:r>
              <w:rPr>
                <w:rFonts w:ascii="Aptos" w:hAnsi="Aptos" w:cs="Aptos"/>
              </w:rPr>
              <w:t xml:space="preserve">12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6F" w14:textId="00A0016F">
            <w:r>
              <w:rPr>
                <w:rFonts w:ascii="Aptos" w:hAnsi="Aptos" w:cs="Aptos"/>
              </w:rPr>
              <w:t xml:space="preserve">Marine eutrophication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0" w14:textId="00A00170">
            <w:r>
              <w:rPr>
                <w:rFonts w:ascii="Aptos" w:hAnsi="Aptos" w:cs="Aptos"/>
              </w:rPr>
              <w:t xml:space="preserve">kg N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1" w14:textId="00A00171">
            <w:r>
              <w:rPr>
                <w:rFonts w:ascii="Aptos" w:hAnsi="Aptos" w:cs="Aptos"/>
              </w:rPr>
              <w:t xml:space="preserve">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2" w14:textId="00A00172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3" w14:textId="00A00173">
            <w:r>
              <w:rPr>
                <w:rFonts w:ascii="Aptos" w:hAnsi="Aptos" w:cs="Aptos"/>
              </w:rPr>
              <w:t xml:space="preserve">13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4" w14:textId="00A00174">
            <w:r>
              <w:rPr>
                <w:rFonts w:ascii="Aptos" w:hAnsi="Aptos" w:cs="Aptos"/>
              </w:rPr>
              <w:t xml:space="preserve">Freshwater ecotoxicity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5" w14:textId="00A00175">
            <w:r>
              <w:rPr>
                <w:rFonts w:ascii="Aptos" w:hAnsi="Aptos" w:cs="Aptos"/>
              </w:rPr>
              <w:t xml:space="preserve">kg 1,4-DCB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6" w14:textId="00A00176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7" w14:textId="00A00177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8" w14:textId="00A00178">
            <w:r>
              <w:rPr>
                <w:rFonts w:ascii="Aptos" w:hAnsi="Aptos" w:cs="Aptos"/>
              </w:rPr>
              <w:t xml:space="preserve">14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9" w14:textId="00A00179">
            <w:r>
              <w:rPr>
                <w:rFonts w:ascii="Aptos" w:hAnsi="Aptos" w:cs="Aptos"/>
              </w:rPr>
              <w:t xml:space="preserve">Marine ecotoxicity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A" w14:textId="00A0017A">
            <w:r>
              <w:rPr>
                <w:rFonts w:ascii="Aptos" w:hAnsi="Aptos" w:cs="Aptos"/>
              </w:rPr>
              <w:t xml:space="preserve">kg 1,4-DCB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B" w14:textId="00A0017B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C" w14:textId="00A0017C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D" w14:textId="00A0017D">
            <w:r>
              <w:rPr>
                <w:rFonts w:ascii="Aptos" w:hAnsi="Aptos" w:cs="Aptos"/>
              </w:rPr>
              <w:t xml:space="preserve">15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E" w14:textId="00A0017E">
            <w:r>
              <w:rPr>
                <w:rFonts w:ascii="Aptos" w:hAnsi="Aptos" w:cs="Aptos"/>
              </w:rPr>
              <w:t xml:space="preserve">Land use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7F" w14:textId="00A0017F">
            <w:r>
              <w:rPr>
                <w:rFonts w:ascii="Aptos" w:hAnsi="Aptos" w:cs="Aptos"/>
              </w:rPr>
              <w:t xml:space="preserve">m² annum crop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0" w14:textId="00A00180">
            <w:r>
              <w:rPr>
                <w:rFonts w:ascii="Aptos" w:hAnsi="Aptos" w:cs="Aptos"/>
              </w:rPr>
              <w:t xml:space="preserve">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1" w14:textId="00A00181">
            <w:r>
              <w:rPr>
                <w:rFonts w:ascii="Aptos" w:hAnsi="Aptos" w:cs="Aptos"/>
              </w:rPr>
              <w:t xml:space="preserve"/>
            </w:r>
          </w:p>
        </w:tc>
      </w:tr>
      <w:tr>
        <w:tc>
          <w:tcPr>
            <w:tcW w:w="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2" w14:textId="00A00182">
            <w:r>
              <w:rPr>
                <w:rFonts w:ascii="Aptos" w:hAnsi="Aptos" w:cs="Aptos"/>
              </w:rPr>
              <w:t xml:space="preserve">16</w:t>
            </w:r>
          </w:p>
        </w:tc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3" w14:textId="00A00183">
            <w:r>
              <w:rPr>
                <w:rFonts w:ascii="Aptos" w:hAnsi="Aptos" w:cs="Aptos"/>
              </w:rPr>
              <w:t xml:space="preserve">Fossil resource scarcity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4" w14:textId="00A00184">
            <w:r>
              <w:rPr>
                <w:rFonts w:ascii="Aptos" w:hAnsi="Aptos" w:cs="Aptos"/>
              </w:rPr>
              <w:t xml:space="preserve">kg oil eq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5" w14:textId="00A00185">
            <w:r>
              <w:rPr>
                <w:rFonts w:ascii="Aptos" w:hAnsi="Aptos" w:cs="Aptos"/>
              </w:rPr>
              <w:t xml:space="preserve">★★</w:t>
            </w:r>
          </w:p>
        </w:tc>
        <w:tc>
          <w:tcPr>
            <w:tcW w:w="4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00186" w14:textId="00A00186">
            <w:r>
              <w:rPr>
                <w:rFonts w:ascii="Aptos" w:hAnsi="Aptos" w:cs="Aptos"/>
              </w:rPr>
              <w:t xml:space="preserve"/>
            </w:r>
          </w:p>
        </w:tc>
      </w:tr>
    </w:tbl>
    <w:p w14:paraId="00A00187" w14:textId="00A00187" w:rsidR="00473906" w:rsidRDefault="00473906"/>
    <w:p w14:paraId="00A00188" w14:textId="00A00188" w:rsidR="00473906" w:rsidRDefault="00473906" w:rsidP="7B885F59">
      <w:r>
        <w:rPr>
          <w:rFonts w:ascii="Aptos" w:hAnsi="Aptos" w:cs="Aptos"/>
        </w:rPr>
        <w:t xml:space="preserve">Légende : ★★★ = catégorie principale pour l’électronique (mise en évidence en jaune), ★★ = catégorie secondaire, ★ = faible pertinence pour ce type de produit.</w:t>
      </w:r>
    </w:p>
    <w:p w14:paraId="00A00189" w14:textId="00A00189" w:rsidR="00473906" w:rsidRDefault="00473906"/>
    <w:p w14:paraId="00A0018A" w14:textId="00A0018A" w:rsidR="00473906" w:rsidRDefault="00473906" w:rsidP="7B885F59">
      <w:pPr>
        <w:pStyle w:val="Titre2"/>
      </w:pPr>
      <w:r>
        <w:t xml:space="preserve">Résultats obtenus sur OpenLCA pour notre passerelle</w:t>
      </w:r>
    </w:p>
    <w:p w14:paraId="00A0018B" w14:textId="00A0018B" w:rsidR="00473906" w:rsidRDefault="00473906"/>
    <w:p w14:paraId="14FD3E7E" w14:textId="1273F036" w:rsidR="7B885F59" w:rsidRDefault="67794253" w:rsidP="7CC260F9">
      <w:pPr>
        <w:pStyle w:val="Titre1"/>
      </w:pPr>
      <w:r>
        <w:lastRenderedPageBreak/>
        <w:t xml:space="preserve">L’analyse de la contribution </w:t>
      </w:r>
    </w:p>
    <w:p w14:paraId="5A690AC5" w14:textId="4F840F00" w:rsidR="67794253" w:rsidRDefault="67794253" w:rsidP="7CC260F9">
      <w:r>
        <w:rPr>
          <w:noProof/>
        </w:rPr>
        <w:drawing>
          <wp:inline distT="0" distB="0" distL="0" distR="0" wp14:anchorId="3F0AB618" wp14:editId="232DE640">
            <wp:extent cx="5724525" cy="3295650"/>
            <wp:effectExtent l="0" t="0" r="0" b="0"/>
            <wp:docPr id="96469999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99992" name="Picture 9646999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6EAE" w14:textId="2CB2FB1A" w:rsidR="2C8A0059" w:rsidRDefault="2C8A0059" w:rsidP="7CC260F9">
      <w:pPr>
        <w:pStyle w:val="Paragraphedeliste"/>
        <w:spacing w:before="240" w:after="240"/>
        <w:ind w:left="0"/>
        <w:rPr>
          <w:rFonts w:ascii="Aptos" w:eastAsia="Aptos" w:hAnsi="Aptos" w:cs="Aptos"/>
        </w:rPr>
      </w:pPr>
      <w:r>
        <w:rPr>
          <w:rFonts w:ascii="Aptos" w:eastAsia="Aptos" w:hAnsi="Aptos" w:cs="Aptos"/>
        </w:rPr>
        <w:t>D'après le graphique c’est l'extraction des matériaux et la fabrication des composants complexes (puces, PCB) qui pèsent le plus.</w:t>
      </w:r>
    </w:p>
    <w:p w14:paraId="56260271" w14:textId="0AAC0410" w:rsidR="7CC260F9" w:rsidRDefault="7CC260F9" w:rsidP="7CC260F9"/>
    <w:p w14:paraId="6590DDCE" w14:textId="203CCF93" w:rsidR="7CC260F9" w:rsidRDefault="7CC260F9" w:rsidP="7CC260F9"/>
    <w:p w14:paraId="7834F982" w14:textId="2A0C5950" w:rsidR="7CC260F9" w:rsidRDefault="7CC260F9" w:rsidP="7CC260F9"/>
    <w:p w14:paraId="5999F15A" w14:textId="4AB1069F" w:rsidR="7CC260F9" w:rsidRDefault="7CC260F9" w:rsidP="7CC260F9"/>
    <w:p w14:paraId="560A6EFF" w14:textId="06A8AD7E" w:rsidR="7CC260F9" w:rsidRDefault="7CC260F9" w:rsidP="7CC260F9"/>
    <w:p w14:paraId="71FD0A3E" w14:textId="4DB134E9" w:rsidR="7CC260F9" w:rsidRDefault="7CC260F9" w:rsidP="7CC260F9"/>
    <w:p w14:paraId="0D9C80D4" w14:textId="75F19BDF" w:rsidR="7CC260F9" w:rsidRDefault="7CC260F9" w:rsidP="7CC260F9"/>
    <w:p w14:paraId="30D4E413" w14:textId="52C4B2E3" w:rsidR="7CC260F9" w:rsidRDefault="7CC260F9" w:rsidP="7CC260F9"/>
    <w:p w14:paraId="0E01A1CC" w14:textId="161299B6" w:rsidR="7CC260F9" w:rsidRDefault="7CC260F9" w:rsidP="7CC260F9"/>
    <w:p w14:paraId="56020206" w14:textId="03E6F3AE" w:rsidR="7CC260F9" w:rsidRDefault="7CC260F9" w:rsidP="7CC260F9"/>
    <w:p w14:paraId="6F3B9412" w14:textId="04887179" w:rsidR="7CC260F9" w:rsidRDefault="7CC260F9" w:rsidP="7CC260F9"/>
    <w:p w14:paraId="7B82E305" w14:textId="1D75E8AE" w:rsidR="7CC260F9" w:rsidRDefault="7CC260F9" w:rsidP="7CC260F9"/>
    <w:p w14:paraId="00A0019A" w14:textId="00A0019A" w:rsidR="00473906" w:rsidRDefault="00473906" w:rsidP="7B885F59">
      <w:pPr>
        <w:pStyle w:val="Titre1"/>
      </w:pPr>
      <w:r>
        <w:t xml:space="preserve">Étape 8 — Interprétation des résultats</w:t>
      </w:r>
    </w:p>
    <w:p w14:paraId="00A0019B" w14:textId="00A0019B" w:rsidR="00473906" w:rsidRDefault="00473906"/>
    <w:p w14:paraId="00A0019C" w14:textId="00A0019C" w:rsidR="00473906" w:rsidRDefault="00473906" w:rsidP="7B885F59">
      <w:pPr>
        <w:pStyle w:val="Titre2"/>
      </w:pPr>
      <w:r>
        <w:t xml:space="preserve">Principaux enseignements de l’ACV</w:t>
      </w:r>
    </w:p>
    <w:p w14:paraId="00A0019D" w14:textId="00A0019D" w:rsidR="00473906" w:rsidRDefault="00473906" w:rsidP="7B885F59">
      <w:r>
        <w:rPr>
          <w:rFonts w:ascii="Aptos" w:hAnsi="Aptos" w:cs="Aptos"/>
        </w:rPr>
        <w:t xml:space="preserve">Les résultats obtenus dans OpenLCA confirment le schéma classique de l’électronique : la fabrication représente 80–90 % de l’impact total. Ce ratio est identique à celui du smartphone présenté en cours (slides 22–24).</w:t>
      </w:r>
    </w:p>
    <w:p w14:paraId="00A0019E" w14:textId="00A0019E" w:rsidR="00473906" w:rsidRDefault="00473906"/>
    <w:p w14:paraId="00A0019F" w14:textId="00A0019F" w:rsidR="00473906" w:rsidRDefault="00473906" w:rsidP="7B885F59">
      <w:r>
        <w:rPr>
          <w:rFonts w:ascii="Aptos" w:hAnsi="Aptos" w:cs="Aptos"/>
          <w:b/>
          <w:bCs/>
        </w:rPr>
        <w:t xml:space="preserve">Climate change (≈ 20,5 kg CO₂eq) : </w:t>
      </w:r>
      <w:r>
        <w:rPr>
          <w:rFonts w:ascii="Aptos" w:hAnsi="Aptos" w:cs="Aptos"/>
        </w:rPr>
        <w:t xml:space="preserve">Équivalent à 100–120 km en voiture thermique. Pour un objet combinant GSM + LoRa + batterie, c’est un bilan très correct.</w:t>
      </w:r>
    </w:p>
    <w:p w14:paraId="00A001A0" w14:textId="00A001A0" w:rsidR="00473906" w:rsidRDefault="00473906" w:rsidP="7B885F59">
      <w:r>
        <w:rPr>
          <w:rFonts w:ascii="Aptos" w:hAnsi="Aptos" w:cs="Aptos"/>
          <w:b/>
          <w:bCs/>
        </w:rPr>
        <w:t xml:space="preserve">Water consumption (≈ 8 m³) : </w:t>
      </w:r>
      <w:r>
        <w:rPr>
          <w:rFonts w:ascii="Aptos" w:hAnsi="Aptos" w:cs="Aptos"/>
        </w:rPr>
        <w:t xml:space="preserve">Essentiellement lié à la fabrication des semi-conducteurs (silicium, cuivre). Acceptable sur 5 ans sans intervention.</w:t>
      </w:r>
    </w:p>
    <w:p w14:paraId="00A001A1" w14:textId="00A001A1" w:rsidR="00473906" w:rsidRDefault="00473906" w:rsidP="7B885F59">
      <w:r>
        <w:rPr>
          <w:rFonts w:ascii="Aptos" w:hAnsi="Aptos" w:cs="Aptos"/>
          <w:b/>
          <w:bCs/>
        </w:rPr>
        <w:t xml:space="preserve">Mineral resource scarcity : </w:t>
      </w:r>
      <w:r>
        <w:rPr>
          <w:rFonts w:ascii="Aptos" w:hAnsi="Aptos" w:cs="Aptos"/>
        </w:rPr>
        <w:t xml:space="preserve">L’impact le plus élevé proportionnellement — extraction d’or, cuivre, lithium, cobalt. Surtout dô à la batterie LiPo et aux PCB multicouches.</w:t>
      </w:r>
    </w:p>
    <w:p w14:paraId="00A001A2" w14:textId="00A001A2" w:rsidR="00473906" w:rsidRDefault="00473906" w:rsidP="7B885F59">
      <w:r>
        <w:rPr>
          <w:rFonts w:ascii="Aptos" w:hAnsi="Aptos" w:cs="Aptos"/>
          <w:b/>
          <w:bCs/>
        </w:rPr>
        <w:t xml:space="preserve">Terrestrial ecotoxicity : </w:t>
      </w:r>
      <w:r>
        <w:rPr>
          <w:rFonts w:ascii="Aptos" w:hAnsi="Aptos" w:cs="Aptos"/>
        </w:rPr>
        <w:t xml:space="preserve">Indicateur à surveiller car les ruches sont en milieu naturel. L’impact survient si le boîtier se dégrade ou si le produit est mal recyclé (DEEE).</w:t>
      </w:r>
    </w:p>
    <w:p w14:paraId="00A001A3" w14:textId="00A001A3" w:rsidR="00473906" w:rsidRDefault="00473906"/>
    <w:p w14:paraId="00A001A4" w14:textId="00A001A4" w:rsidR="00473906" w:rsidRDefault="00473906" w:rsidP="7B885F59">
      <w:r>
        <w:rPr>
          <w:rFonts w:ascii="Aptos" w:hAnsi="Aptos" w:cs="Aptos"/>
        </w:rPr>
        <w:t xml:space="preserve">L’analyse de contribution confirme que les composants complexes (puces électroniques, PCB multicouches) et l’extraction des métaux constituent les “points chauds” prioritaires sur lesquels concentrer les efforts d’amélioration.</w:t>
      </w:r>
    </w:p>
    <w:p w14:paraId="00A001A5" w14:textId="00A001A5" w:rsidR="00473906" w:rsidRDefault="00473906"/>
    <w:p w14:paraId="00A001A6" w14:textId="00A001A6" w:rsidR="00473906" w:rsidRDefault="00473906" w:rsidP="7B885F59">
      <w:pPr>
        <w:pStyle w:val="Titre2"/>
      </w:pPr>
      <w:r>
        <w:t xml:space="preserve">Recommandations d’écoconception (ACV conséquentielle)</w:t>
      </w:r>
    </w:p>
    <w:p w14:paraId="00A001A7" w14:textId="00A001A7" w:rsidR="00473906" w:rsidRDefault="00473906" w:rsidP="7B885F59">
      <w:r>
        <w:rPr>
          <w:rFonts w:ascii="Aptos" w:hAnsi="Aptos" w:cs="Aptos"/>
        </w:rPr>
        <w:t xml:space="preserve">Sur la base de l’ACV attributionnelle, les pistes d’amélioration suivantes sont identifiées (approche conséquentielle, slide 21) :</w:t>
      </w:r>
    </w:p>
    <w:p w14:paraId="00A001A8" w14:textId="00A001A8" w:rsidR="00473906" w:rsidRDefault="00473906"/>
    <w:p w14:paraId="00A001A9" w14:textId="00A001A9" w:rsidR="00473906" w:rsidRDefault="00473906" w:rsidP="7B885F59">
      <w:r>
        <w:rPr>
          <w:rFonts w:ascii="Aptos" w:hAnsi="Aptos" w:cs="Aptos"/>
          <w:b/>
          <w:bCs/>
        </w:rPr>
        <w:t xml:space="preserve">1. Prolonger la durée de vie : </w:t>
      </w:r>
      <w:r>
        <w:rPr>
          <w:rFonts w:ascii="Aptos" w:hAnsi="Aptos" w:cs="Aptos"/>
        </w:rPr>
        <w:t xml:space="preserve">Passer de 5 à 10 ans diviserait l’impact fabrication par deux sur l’unité fonctionnelle. Cela implique de choisir des composants à MTBF élevé et de prévoir des mises à jour logicielles (firmware OTA).</w:t>
      </w:r>
    </w:p>
    <w:p w14:paraId="00A001AA" w14:textId="00A001AA" w:rsidR="00473906" w:rsidRDefault="00473906" w:rsidP="7B885F59">
      <w:r>
        <w:rPr>
          <w:rFonts w:ascii="Aptos" w:hAnsi="Aptos" w:cs="Aptos"/>
          <w:b/>
          <w:bCs/>
        </w:rPr>
        <w:t xml:space="preserve">2. Réduire la capacité de la batterie : </w:t>
      </w:r>
      <w:r>
        <w:rPr>
          <w:rFonts w:ascii="Aptos" w:hAnsi="Aptos" w:cs="Aptos"/>
        </w:rPr>
        <w:t xml:space="preserve">Le Deep Sleep permet d’évaluer si une batterie plus petite (1 000 mAh) suffit, réduisant l’impact du lithium et du cobalt.</w:t>
      </w:r>
    </w:p>
    <w:p w14:paraId="00A001AB" w14:textId="00A001AB" w:rsidR="00473906" w:rsidRDefault="00473906" w:rsidP="7B885F59">
      <w:r>
        <w:rPr>
          <w:rFonts w:ascii="Aptos" w:hAnsi="Aptos" w:cs="Aptos"/>
          <w:b/>
          <w:bCs/>
        </w:rPr>
        <w:t xml:space="preserve">3. Faciliter le démontage et le recyclage : </w:t>
      </w:r>
      <w:r>
        <w:rPr>
          <w:rFonts w:ascii="Aptos" w:hAnsi="Aptos" w:cs="Aptos"/>
        </w:rPr>
        <w:t xml:space="preserve">Utiliser des vis plutôt que de la colle, marquer clairement les plastiques (ABS), prévoir la séparabilité batterie/PCB pour le tri DEEE.</w:t>
      </w:r>
    </w:p>
    <w:p w14:paraId="00A001AC" w14:textId="00A001AC" w:rsidR="00473906" w:rsidRDefault="00473906" w:rsidP="7B885F59">
      <w:r>
        <w:rPr>
          <w:rFonts w:ascii="Aptos" w:hAnsi="Aptos" w:cs="Aptos"/>
          <w:b/>
          <w:bCs/>
        </w:rPr>
        <w:t xml:space="preserve">4. Optimiser le PCB : </w:t>
      </w:r>
      <w:r>
        <w:rPr>
          <w:rFonts w:ascii="Aptos" w:hAnsi="Aptos" w:cs="Aptos"/>
        </w:rPr>
        <w:t xml:space="preserve">Un PCB 2 couches au lieu de 4 réduit la quantité de cuivre et de résine époxy ; envisager un PCB sans halogène (halogen-free) pour limiter l’écotoxicité.</w:t>
      </w:r>
    </w:p>
    <w:p w14:paraId="00A001AD" w14:textId="00A001AD" w:rsidR="00473906" w:rsidRDefault="00473906" w:rsidP="7B885F59">
      <w:r>
        <w:rPr>
          <w:rFonts w:ascii="Aptos" w:hAnsi="Aptos" w:cs="Aptos"/>
          <w:b/>
          <w:bCs/>
        </w:rPr>
        <w:t xml:space="preserve">5. Localisation de la fabrication : </w:t>
      </w:r>
      <w:r>
        <w:rPr>
          <w:rFonts w:ascii="Aptos" w:hAnsi="Aptos" w:cs="Aptos"/>
        </w:rPr>
        <w:t xml:space="preserve">Assembler en Europe avec de l’électricité renouvelable réduit les émissions de fabrication.</w:t>
      </w:r>
    </w:p>
    <w:p w14:paraId="00A001AE" w14:textId="00A001AE" w:rsidR="00473906" w:rsidRDefault="00473906"/>
    <w:p w14:paraId="00A001AF" w14:textId="00A001AF" w:rsidR="00473906" w:rsidRDefault="00473906">
      <w:r>
        <w:br w:type="page"/>
      </w:r>
    </w:p>
    <w:p w14:paraId="00A001B0" w14:textId="00A001B0" w:rsidR="00473906" w:rsidRDefault="00473906" w:rsidP="7B885F59">
      <w:pPr>
        <w:pStyle w:val="Titre1"/>
      </w:pPr>
      <w:r>
        <w:t xml:space="preserve">Étape 9 — Comparaison avec l’exemple du cours (convertisseur Buck)</w:t>
      </w:r>
    </w:p>
    <w:p w14:paraId="00A001B1" w14:textId="00A001B1" w:rsidR="00473906" w:rsidRDefault="00473906"/>
    <w:p w14:paraId="00A001B2" w14:textId="00A001B2" w:rsidR="00473906" w:rsidRDefault="00473906" w:rsidP="7B885F59">
      <w:r>
        <w:rPr>
          <w:rFonts w:ascii="Aptos" w:hAnsi="Aptos" w:cs="Aptos"/>
        </w:rPr>
        <w:t xml:space="preserve">Le professeur utilise en cours (slides 37–38) un convertisseur Buck disponible sur GitHub comme exemple pratique d’ACV. La comparaison avec notre gateway est instructive :</w:t>
      </w:r>
    </w:p>
    <w:p w14:paraId="00A001B3" w14:textId="00A001B3" w:rsidR="00473906" w:rsidRDefault="00473906"/>
    <w:p w14:paraId="00A001B4" w14:textId="00A001B4" w:rsidR="00473906" w:rsidRDefault="00473906" w:rsidP="7B885F59">
      <w:r>
        <w:rPr>
          <w:rFonts w:ascii="Aptos" w:hAnsi="Aptos" w:cs="Aptos"/>
          <w:b/>
          <w:bCs/>
        </w:rPr>
        <w:t xml:space="preserve">Unité fonctionnelle du Buck (cours) : </w:t>
      </w:r>
      <w:r>
        <w:rPr>
          <w:rFonts w:ascii="Aptos" w:hAnsi="Aptos" w:cs="Aptos"/>
        </w:rPr>
        <w:t xml:space="preserve">“ Assurer la régulation d’une tension continue (abaissement de 12 V à 5 V) pour une charge de 5 W pendant 15 000 heures de fonctionnement. ”</w:t>
      </w:r>
    </w:p>
    <w:p w14:paraId="00A001B5" w14:textId="00A001B5" w:rsidR="00473906" w:rsidRDefault="00473906" w:rsidP="7B885F59">
      <w:r>
        <w:rPr>
          <w:rFonts w:ascii="Aptos" w:hAnsi="Aptos" w:cs="Aptos"/>
          <w:b/>
          <w:bCs/>
        </w:rPr>
        <w:t xml:space="preserve">Unité fonctionnelle de notre gateway : </w:t>
      </w:r>
      <w:r>
        <w:rPr>
          <w:rFonts w:ascii="Aptos" w:hAnsi="Aptos" w:cs="Aptos"/>
        </w:rPr>
        <w:t xml:space="preserve">“ Assurer la collecte et la transmission des données environnementales d’une ruche via LoRa et GSM/LTE, pendant 5 ans de fonctionnement extérieur. ”</w:t>
      </w:r>
    </w:p>
    <w:p w14:paraId="00A001B6" w14:textId="00A001B6" w:rsidR="00473906" w:rsidRDefault="00473906"/>
    <w:p w14:paraId="00A001B7" w14:textId="00A001B7" w:rsidR="00473906" w:rsidRDefault="00473906" w:rsidP="7B885F59">
      <w:r>
        <w:rPr>
          <w:rFonts w:ascii="Aptos" w:hAnsi="Aptos" w:cs="Aptos"/>
        </w:rPr>
        <w:t xml:space="preserve">Les mêmes questions que le prof pose pour le Buck s’appliquent à notre projet :</w:t>
      </w:r>
    </w:p>
    <w:p w14:paraId="00A001B8" w14:textId="00A001B8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La batterie est-elle bien dimensionnée pour 5 ans ? Si la durée de vie réelle est de 2–3 ans, l’impact de ce composant doit être multiplié.</w:t>
      </w:r>
    </w:p>
    <w:p w14:paraId="00A001B9" w14:textId="00A001B9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Le circuit est-il bien dimensionné pour la charge réelle ? Le mode Deep Sleep réduit fortement la consommation effective.</w:t>
      </w:r>
    </w:p>
    <w:p w14:paraId="00A001BA" w14:textId="00A001BA" w:rsidR="00473906" w:rsidRDefault="00473906" w:rsidP="7CC260F9">
      <w:pPr>
        <w:pStyle w:val="Paragraphedeliste"/>
        <w:numPr>
          <w:ilvl w:val="0"/>
          <w:numId w:val="2"/>
        </w:numPr>
      </w:pPr>
      <w:r>
        <w:rPr>
          <w:rFonts w:ascii="Aptos" w:hAnsi="Aptos" w:cs="Aptos"/>
        </w:rPr>
        <w:t xml:space="preserve">Où fonctionne le circuit ? Le mix électrique français est favorable (nucléaire + renouvelables = 0,057 kg CO₂eq/kWh vs &gt; 0,4 en Pologne ou Allemagne).</w:t>
      </w:r>
    </w:p>
    <w:p w14:paraId="00A001BB" w14:textId="00A001BB" w:rsidR="00473906" w:rsidRDefault="00473906"/>
    <w:p w14:paraId="00A001BC" w14:textId="00A001BC" w:rsidR="00473906" w:rsidRDefault="00473906">
      <w:r>
        <w:br w:type="page"/>
      </w:r>
    </w:p>
    <w:p w14:paraId="00A001BD" w14:textId="00A001BD" w:rsidR="00473906" w:rsidRDefault="00473906" w:rsidP="7B885F59">
      <w:pPr>
        <w:pStyle w:val="Titre1"/>
      </w:pPr>
      <w:r>
        <w:t xml:space="preserve">Étape 10 — Vocabulaire OpenLCA</w:t>
      </w:r>
    </w:p>
    <w:p w14:paraId="00A001BE" w14:textId="00A001BE" w:rsidR="00473906" w:rsidRDefault="00473906"/>
    <w:p w14:paraId="00A001BF" w14:textId="00A001BF" w:rsidR="00473906" w:rsidRDefault="00473906" w:rsidP="7B885F59">
      <w:r>
        <w:rPr>
          <w:rFonts w:ascii="Aptos" w:hAnsi="Aptos" w:cs="Aptos"/>
        </w:rPr>
        <w:t xml:space="preserve">Après démarrage d’OpenLCA et chargement de la base EcoInvent, les concepts clés utilisés dans ce projet sont les suivants :</w:t>
      </w:r>
    </w:p>
    <w:p w14:paraId="00A001C0" w14:textId="00A001C0" w:rsidR="00473906" w:rsidRDefault="00473906"/>
    <w:p w14:paraId="00A001C1" w14:textId="00A001C1" w:rsidR="00473906" w:rsidRDefault="00473906" w:rsidP="7B885F59">
      <w:r>
        <w:rPr>
          <w:rFonts w:ascii="Aptos" w:hAnsi="Aptos" w:cs="Aptos"/>
          <w:b/>
          <w:bCs/>
        </w:rPr>
        <w:t xml:space="preserve">Process : </w:t>
      </w:r>
      <w:r>
        <w:rPr>
          <w:rFonts w:ascii="Aptos" w:hAnsi="Aptos" w:cs="Aptos"/>
        </w:rPr>
        <w:t xml:space="preserve">Le processus de fabrication ou d’usage. Dans notre cas : “ Fabrication_LoRa_GSM ” (regroup e tous les composants du BOM) et “ Usage_LoRa_GSM ” (87,6 kWh d’électricité sur 5 ans).</w:t>
      </w:r>
    </w:p>
    <w:p w14:paraId="00A001C2" w14:textId="00A001C2" w:rsidR="00473906" w:rsidRDefault="00473906" w:rsidP="7B885F59">
      <w:r>
        <w:rPr>
          <w:rFonts w:ascii="Aptos" w:hAnsi="Aptos" w:cs="Aptos"/>
          <w:b/>
          <w:bCs/>
        </w:rPr>
        <w:t xml:space="preserve">Flow : </w:t>
      </w:r>
      <w:r>
        <w:rPr>
          <w:rFonts w:ascii="Aptos" w:hAnsi="Aptos" w:cs="Aptos"/>
        </w:rPr>
        <w:t xml:space="preserve">Les flux entrants (inputs : matériaux, énergie) et sortants (outputs : produit fini, déchets). Chaque ligne du BOM correspond à un flow entrant dans le processus de fabrication.</w:t>
      </w:r>
    </w:p>
    <w:p w14:paraId="00A001C3" w14:textId="00A001C3" w:rsidR="00473906" w:rsidRDefault="00473906" w:rsidP="7B885F59">
      <w:r>
        <w:rPr>
          <w:rFonts w:ascii="Aptos" w:hAnsi="Aptos" w:cs="Aptos"/>
          <w:b/>
          <w:bCs/>
        </w:rPr>
        <w:t xml:space="preserve">Product System : </w:t>
      </w:r>
      <w:r>
        <w:rPr>
          <w:rFonts w:ascii="Aptos" w:hAnsi="Aptos" w:cs="Aptos"/>
        </w:rPr>
        <w:t xml:space="preserve">L’assemblage de tous les processus liés au cycle de vie. Il connecte fabrication, usage et fin de vie en un seul système à évaluer.</w:t>
      </w:r>
    </w:p>
    <w:p w14:paraId="00A001C4" w14:textId="00A001C4" w:rsidR="00473906" w:rsidRDefault="00473906" w:rsidP="7B885F59">
      <w:r>
        <w:rPr>
          <w:rFonts w:ascii="Aptos" w:hAnsi="Aptos" w:cs="Aptos"/>
          <w:b/>
          <w:bCs/>
        </w:rPr>
        <w:t xml:space="preserve">Impact Assessment : </w:t>
      </w:r>
      <w:r>
        <w:rPr>
          <w:rFonts w:ascii="Aptos" w:hAnsi="Aptos" w:cs="Aptos"/>
        </w:rPr>
        <w:t xml:space="preserve">Le calcul des indicateurs environnementaux à partir des flux physiques. OpenLCA utilise les données EcoInvent pour convertir les masses de composants en kg CO₂eq, m³ d’eau, etc.</w:t>
      </w:r>
    </w:p>
    <w:p w14:paraId="00A001C5" w14:textId="00A001C5" w:rsidR="00473906" w:rsidRDefault="00473906" w:rsidP="7B885F59">
      <w:r>
        <w:rPr>
          <w:rFonts w:ascii="Aptos" w:hAnsi="Aptos" w:cs="Aptos"/>
          <w:b/>
          <w:bCs/>
        </w:rPr>
        <w:t xml:space="preserve">Reference Flow : </w:t>
      </w:r>
      <w:r>
        <w:rPr>
          <w:rFonts w:ascii="Aptos" w:hAnsi="Aptos" w:cs="Aptos"/>
        </w:rPr>
        <w:t xml:space="preserve">La quantité de référence du produit à évaluer. Ici : 1 unité de gateway LoRa-GSM.</w:t>
      </w:r>
    </w:p>
    <w:p w14:paraId="00A001C6" w14:textId="00A001C6" w:rsidR="00473906" w:rsidRDefault="00473906"/>
    <w:p w14:paraId="00A001C7" w14:textId="00A001C7" w:rsidR="00473906" w:rsidRDefault="00473906">
      <w:r>
        <w:br w:type="page"/>
      </w:r>
    </w:p>
    <w:p w14:paraId="20BF518C" w14:textId="3A70738E" w:rsidR="18B307A4" w:rsidRDefault="264D59D3">
      <w:r>
        <w:rPr>
          <w:rStyle w:val="Titre1Car"/>
        </w:rPr>
        <w:lastRenderedPageBreak/>
        <w:t xml:space="preserve">Annexe </w:t>
      </w:r>
      <w:r>
        <w:t xml:space="preserve">: </w:t>
      </w:r>
    </w:p>
    <w:p w14:paraId="25C947B5" w14:textId="2F6B7A39" w:rsidR="7B885F59" w:rsidRDefault="7B885F59"/>
    <w:p w14:paraId="52772721" w14:textId="25574480" w:rsidR="18B307A4" w:rsidRDefault="18B307A4" w:rsidP="7B885F59">
      <w:pPr>
        <w:pStyle w:val="Titre2"/>
      </w:pPr>
      <w:r>
        <w:t>Sources utilises :</w:t>
      </w:r>
    </w:p>
    <w:p w14:paraId="4D25ED35" w14:textId="602DBDB7" w:rsidR="7B885F59" w:rsidRDefault="7B885F59" w:rsidP="7B885F59">
      <w:pPr>
        <w:rPr>
          <w:rFonts w:ascii="Aptos" w:eastAsia="Aptos" w:hAnsi="Aptos" w:cs="Aptos"/>
        </w:rPr>
      </w:pPr>
    </w:p>
    <w:tbl>
      <w:tblPr>
        <w:tblStyle w:val="Grilledutableau"/>
        <w:tblW w:w="0" w:type="auto"/>
        <w:tblLook w:val="06A0" w:firstRow="1" w:lastRow="0" w:firstColumn="1" w:lastColumn="0" w:noHBand="1" w:noVBand="1"/>
      </w:tblPr>
      <w:tblGrid>
        <w:gridCol w:w="1452"/>
        <w:gridCol w:w="2204"/>
        <w:gridCol w:w="5360"/>
      </w:tblGrid>
      <w:tr w:rsidR="7B885F59" w14:paraId="0E068237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3ABA45C8" w14:textId="0F13CDBE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Composant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6088F568" w14:textId="564BC8C0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Information à extraire</w:t>
            </w:r>
          </w:p>
        </w:tc>
        <w:tc>
          <w:tcPr>
            <w:tcW w:w="3005" w:type="dxa"/>
            <w:shd w:val="clear" w:color="auto" w:fill="DAE9F7" w:themeFill="text2" w:themeFillTint="1A"/>
          </w:tcPr>
          <w:p w14:paraId="49743D00" w14:textId="1AB2DF40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Source</w:t>
            </w:r>
          </w:p>
        </w:tc>
      </w:tr>
      <w:tr w:rsidR="7B885F59" w14:paraId="468A4775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26F49F10" w14:textId="7AD88BB8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ESP32 WROOM</w:t>
            </w:r>
          </w:p>
        </w:tc>
        <w:tc>
          <w:tcPr>
            <w:tcW w:w="3005" w:type="dxa"/>
          </w:tcPr>
          <w:p w14:paraId="4464F08E" w14:textId="07B2AA0B" w:rsidR="4EDF37EE" w:rsidRDefault="4EDF37EE" w:rsidP="7B885F59">
            <w:r>
              <w:rPr>
                <w:rFonts w:ascii="Aptos" w:eastAsia="Aptos" w:hAnsi="Aptos" w:cs="Aptos"/>
              </w:rPr>
              <w:t>Consommation</w:t>
            </w:r>
          </w:p>
        </w:tc>
        <w:tc>
          <w:tcPr>
            <w:tcW w:w="3005" w:type="dxa"/>
          </w:tcPr>
          <w:p w14:paraId="06C41F13" w14:textId="33C48F40" w:rsidR="4EDF37EE" w:rsidRDefault="4EDF37EE" w:rsidP="7B885F59">
            <w:pPr>
              <w:rPr>
                <w:rFonts w:ascii="Aptos" w:eastAsia="Aptos" w:hAnsi="Aptos" w:cs="Aptos"/>
              </w:rPr>
            </w:pPr>
            <w:hyperlink r:id="rId16">
              <w:r>
                <w:rPr>
                  <w:rStyle w:val="Lienhypertexte"/>
                  <w:rFonts w:ascii="Aptos" w:eastAsia="Aptos" w:hAnsi="Aptos" w:cs="Aptos"/>
                </w:rPr>
                <w:t>ESP32 Wi-Fi &amp; Bluetooth Modules I Espressif</w:t>
              </w:r>
            </w:hyperlink>
          </w:p>
        </w:tc>
      </w:tr>
      <w:tr w:rsidR="7B885F59" w14:paraId="02265C95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3E4F79E7" w14:textId="6D4E27D5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SIM7000G</w:t>
            </w:r>
          </w:p>
        </w:tc>
        <w:tc>
          <w:tcPr>
            <w:tcW w:w="3005" w:type="dxa"/>
          </w:tcPr>
          <w:p w14:paraId="063A5D61" w14:textId="58D8CBB8" w:rsidR="4EDF37EE" w:rsidRDefault="4EDF37EE" w:rsidP="7B885F59">
            <w:r>
              <w:rPr>
                <w:rFonts w:ascii="Aptos" w:eastAsia="Aptos" w:hAnsi="Aptos" w:cs="Aptos"/>
              </w:rPr>
              <w:t>Courant de transmission LTE</w:t>
            </w:r>
          </w:p>
        </w:tc>
        <w:tc>
          <w:tcPr>
            <w:tcW w:w="3005" w:type="dxa"/>
          </w:tcPr>
          <w:p w14:paraId="441D1507" w14:textId="2FA31DEC" w:rsidR="4EDF37EE" w:rsidRDefault="4EDF37EE" w:rsidP="7B885F59">
            <w:pPr>
              <w:rPr>
                <w:rFonts w:ascii="Aptos" w:eastAsia="Aptos" w:hAnsi="Aptos" w:cs="Aptos"/>
              </w:rPr>
            </w:pPr>
            <w:hyperlink r:id="rId17">
              <w:r>
                <w:rPr>
                  <w:rStyle w:val="Lienhypertexte"/>
                  <w:rFonts w:ascii="Aptos" w:eastAsia="Aptos" w:hAnsi="Aptos" w:cs="Aptos"/>
                </w:rPr>
                <w:t>https://www.simcom.com/product/SIM7000G.html - Recherche Google</w:t>
              </w:r>
            </w:hyperlink>
          </w:p>
        </w:tc>
      </w:tr>
      <w:tr w:rsidR="7B885F59" w14:paraId="7C2AC680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4E6973DF" w14:textId="1253CCFF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Poids des CMS</w:t>
            </w:r>
          </w:p>
        </w:tc>
        <w:tc>
          <w:tcPr>
            <w:tcW w:w="3005" w:type="dxa"/>
          </w:tcPr>
          <w:p w14:paraId="611B1490" w14:textId="51A80C79" w:rsidR="4EDF37EE" w:rsidRDefault="4EDF37EE" w:rsidP="7B885F59">
            <w:r>
              <w:rPr>
                <w:rFonts w:ascii="Aptos" w:eastAsia="Aptos" w:hAnsi="Aptos" w:cs="Aptos"/>
              </w:rPr>
              <w:t>Masse des résistances/condos</w:t>
            </w:r>
          </w:p>
        </w:tc>
        <w:tc>
          <w:tcPr>
            <w:tcW w:w="3005" w:type="dxa"/>
          </w:tcPr>
          <w:p w14:paraId="62E25EDE" w14:textId="6CC585B2" w:rsidR="4EDF37EE" w:rsidRDefault="4EDF37EE" w:rsidP="7B885F59">
            <w:pPr>
              <w:rPr>
                <w:rFonts w:ascii="Aptos" w:eastAsia="Aptos" w:hAnsi="Aptos" w:cs="Aptos"/>
              </w:rPr>
            </w:pPr>
            <w:hyperlink r:id="rId18">
              <w:r>
                <w:rPr>
                  <w:rStyle w:val="Lienhypertexte"/>
                  <w:rFonts w:ascii="Aptos" w:eastAsia="Aptos" w:hAnsi="Aptos" w:cs="Aptos"/>
                </w:rPr>
                <w:t>mouser.fr</w:t>
              </w:r>
            </w:hyperlink>
          </w:p>
        </w:tc>
      </w:tr>
      <w:tr w:rsidR="7B885F59" w14:paraId="23B00CCC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496F91ED" w14:textId="19632078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Boitier ABS</w:t>
            </w:r>
          </w:p>
        </w:tc>
        <w:tc>
          <w:tcPr>
            <w:tcW w:w="3005" w:type="dxa"/>
          </w:tcPr>
          <w:p w14:paraId="7FD99931" w14:textId="76E2A124" w:rsidR="4EDF37EE" w:rsidRDefault="4EDF37EE" w:rsidP="7B885F59">
            <w:r>
              <w:rPr>
                <w:rFonts w:ascii="Aptos" w:eastAsia="Aptos" w:hAnsi="Aptos" w:cs="Aptos"/>
              </w:rPr>
              <w:t>Masse et Volume plastique</w:t>
            </w:r>
          </w:p>
        </w:tc>
        <w:tc>
          <w:tcPr>
            <w:tcW w:w="3005" w:type="dxa"/>
          </w:tcPr>
          <w:p w14:paraId="30240F0C" w14:textId="0B264E5C" w:rsidR="4EDF37EE" w:rsidRDefault="4EDF37EE" w:rsidP="7B885F59">
            <w:pPr>
              <w:rPr>
                <w:rFonts w:ascii="Aptos" w:eastAsia="Aptos" w:hAnsi="Aptos" w:cs="Aptos"/>
              </w:rPr>
            </w:pPr>
            <w:hyperlink r:id="rId19">
              <w:r>
                <w:rPr>
                  <w:rStyle w:val="Lienhypertexte"/>
                  <w:rFonts w:ascii="Aptos" w:eastAsia="Aptos" w:hAnsi="Aptos" w:cs="Aptos"/>
                </w:rPr>
                <w:t>https://www.hammondmfg.com/scpg.htm - Recherche Google</w:t>
              </w:r>
            </w:hyperlink>
          </w:p>
        </w:tc>
      </w:tr>
      <w:tr w:rsidR="7B885F59" w14:paraId="5DCE6CA3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4DBB4045" w14:textId="6DA17C73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Facteurs d'impact</w:t>
            </w:r>
          </w:p>
        </w:tc>
        <w:tc>
          <w:tcPr>
            <w:tcW w:w="3005" w:type="dxa"/>
          </w:tcPr>
          <w:p w14:paraId="0F2D1F65" w14:textId="7B365CB6" w:rsidR="4EDF37EE" w:rsidRDefault="4EDF37EE" w:rsidP="7B885F59">
            <w:r>
              <w:rPr>
                <w:rFonts w:ascii="Aptos" w:eastAsia="Aptos" w:hAnsi="Aptos" w:cs="Aptos"/>
              </w:rPr>
              <w:t>Emissions CO2 des matériaux</w:t>
            </w:r>
          </w:p>
        </w:tc>
        <w:tc>
          <w:tcPr>
            <w:tcW w:w="3005" w:type="dxa"/>
          </w:tcPr>
          <w:p w14:paraId="204CF746" w14:textId="232B75E2" w:rsidR="4EDF37EE" w:rsidRDefault="4EDF37EE" w:rsidP="7B885F59">
            <w:pPr>
              <w:rPr>
                <w:rFonts w:ascii="Aptos" w:eastAsia="Aptos" w:hAnsi="Aptos" w:cs="Aptos"/>
              </w:rPr>
            </w:pPr>
            <w:hyperlink r:id="rId20">
              <w:r>
                <w:rPr>
                  <w:rStyle w:val="Lienhypertexte"/>
                  <w:rFonts w:ascii="Aptos" w:eastAsia="Aptos" w:hAnsi="Aptos" w:cs="Aptos"/>
                </w:rPr>
                <w:t>Base Empreinte®</w:t>
              </w:r>
            </w:hyperlink>
          </w:p>
        </w:tc>
      </w:tr>
      <w:tr w:rsidR="7B885F59" w14:paraId="757413B9" w14:textId="77777777" w:rsidTr="7B885F59">
        <w:trPr>
          <w:trHeight w:val="300"/>
        </w:trPr>
        <w:tc>
          <w:tcPr>
            <w:tcW w:w="3005" w:type="dxa"/>
            <w:shd w:val="clear" w:color="auto" w:fill="DAE9F7" w:themeFill="text2" w:themeFillTint="1A"/>
          </w:tcPr>
          <w:p w14:paraId="18EC0EF0" w14:textId="6768D93B" w:rsidR="4EDF37EE" w:rsidRDefault="4EDF37EE" w:rsidP="7B885F59">
            <w:pPr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Mix Électrique</w:t>
            </w:r>
          </w:p>
        </w:tc>
        <w:tc>
          <w:tcPr>
            <w:tcW w:w="3005" w:type="dxa"/>
          </w:tcPr>
          <w:p w14:paraId="44B3EB88" w14:textId="1DD33856" w:rsidR="4EDF37EE" w:rsidRDefault="4EDF37EE" w:rsidP="7B885F59">
            <w:r>
              <w:rPr>
                <w:rFonts w:ascii="Aptos" w:eastAsia="Aptos" w:hAnsi="Aptos" w:cs="Aptos"/>
              </w:rPr>
              <w:t>Impact du kWh par pays</w:t>
            </w:r>
          </w:p>
        </w:tc>
        <w:tc>
          <w:tcPr>
            <w:tcW w:w="3005" w:type="dxa"/>
          </w:tcPr>
          <w:p w14:paraId="7B3AB766" w14:textId="4308D7C9" w:rsidR="4EDF37EE" w:rsidRDefault="4EDF37EE" w:rsidP="7B885F59">
            <w:pPr>
              <w:rPr>
                <w:rFonts w:ascii="Aptos" w:eastAsia="Aptos" w:hAnsi="Aptos" w:cs="Aptos"/>
              </w:rPr>
            </w:pPr>
            <w:hyperlink r:id="rId21">
              <w:r>
                <w:rPr>
                  <w:rStyle w:val="Lienhypertexte"/>
                  <w:rFonts w:ascii="Aptos" w:eastAsia="Aptos" w:hAnsi="Aptos" w:cs="Aptos"/>
                </w:rPr>
                <w:t>Carte | Electricity Maps</w:t>
              </w:r>
            </w:hyperlink>
          </w:p>
        </w:tc>
      </w:tr>
    </w:tbl>
    <w:p w14:paraId="27617D5A" w14:textId="30D52618" w:rsidR="7B885F59" w:rsidRDefault="7B885F59" w:rsidP="7B885F59">
      <w:pPr>
        <w:rPr>
          <w:rFonts w:ascii="Aptos" w:eastAsia="Aptos" w:hAnsi="Aptos" w:cs="Aptos"/>
        </w:rPr>
      </w:pPr>
    </w:p>
    <w:sectPr w:rsidR="7B885F59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8711EE" w14:textId="77777777" w:rsidR="00644761" w:rsidRDefault="00644761">
      <w:pPr>
        <w:spacing w:after="0" w:line="240" w:lineRule="auto"/>
      </w:pPr>
      <w:r>
        <w:separator/>
      </w:r>
    </w:p>
  </w:endnote>
  <w:endnote w:type="continuationSeparator" w:id="0">
    <w:p w14:paraId="5075FFC7" w14:textId="77777777" w:rsidR="00644761" w:rsidRDefault="0064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667B4" w14:textId="145F364A" w:rsidR="7B885F59" w:rsidRDefault="7B885F59">
    <w:r>
      <w:t>_________________________________________________________________________________</w:t>
    </w:r>
  </w:p>
  <w:p w14:paraId="2AD81D93" w14:textId="3ADE10AD" w:rsidR="7B885F59" w:rsidRDefault="7B885F59" w:rsidP="7B885F59">
    <w:pPr>
      <w:pStyle w:val="Pieddepage"/>
      <w:jc w:val="center"/>
    </w:pPr>
    <w:r>
      <w:fldChar w:fldCharType="begin"/>
    </w:r>
    <w:r>
      <w:instrText>PAGE</w:instrText>
    </w:r>
    <w:r>
      <w:fldChar w:fldCharType="separate"/>
    </w:r>
    <w:r w:rsidR="00A670C0">
      <w:rPr>
        <w:noProof/>
      </w:rPr>
      <w:t>2</w:t>
    </w:r>
    <w:r>
      <w:fldChar w:fldCharType="end"/>
    </w:r>
  </w:p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885F59" w14:paraId="634D2209" w14:textId="77777777" w:rsidTr="7B885F59">
      <w:trPr>
        <w:trHeight w:val="300"/>
      </w:trPr>
      <w:tc>
        <w:tcPr>
          <w:tcW w:w="3005" w:type="dxa"/>
        </w:tcPr>
        <w:p w14:paraId="017876E5" w14:textId="72577E67" w:rsidR="7B885F59" w:rsidRDefault="7B885F59" w:rsidP="7B885F59">
          <w:pPr>
            <w:pStyle w:val="En-tte"/>
            <w:ind w:left="-115"/>
          </w:pPr>
        </w:p>
      </w:tc>
      <w:tc>
        <w:tcPr>
          <w:tcW w:w="3005" w:type="dxa"/>
        </w:tcPr>
        <w:p w14:paraId="6DAFE359" w14:textId="6D892847" w:rsidR="7B885F59" w:rsidRDefault="7B885F59" w:rsidP="7B885F59">
          <w:pPr>
            <w:pStyle w:val="En-tte"/>
            <w:jc w:val="center"/>
          </w:pPr>
        </w:p>
      </w:tc>
      <w:tc>
        <w:tcPr>
          <w:tcW w:w="3005" w:type="dxa"/>
        </w:tcPr>
        <w:p w14:paraId="3280CFFF" w14:textId="66005986" w:rsidR="7B885F59" w:rsidRDefault="7B885F59" w:rsidP="7B885F59">
          <w:pPr>
            <w:pStyle w:val="En-tte"/>
            <w:jc w:val="right"/>
          </w:pP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94C1" w14:textId="17DB1904" w:rsidR="7B885F59" w:rsidRDefault="7B885F59" w:rsidP="7B885F59">
    <w:pPr>
      <w:pStyle w:val="Pieddepage"/>
      <w:rPr>
        <w:b/>
        <w:bCs/>
      </w:rPr>
    </w:pPr>
    <w:r w:rsidRPr="7B885F59">
      <w:rPr>
        <w:sz w:val="20"/>
        <w:szCs w:val="20"/>
      </w:rPr>
      <w:t>CEBAN Daniel &amp; MIRRIONE Xavier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04B0F" w14:textId="77777777" w:rsidR="00644761" w:rsidRDefault="00644761">
      <w:pPr>
        <w:spacing w:after="0" w:line="240" w:lineRule="auto"/>
      </w:pPr>
      <w:r>
        <w:separator/>
      </w:r>
    </w:p>
  </w:footnote>
  <w:footnote w:type="continuationSeparator" w:id="0">
    <w:p w14:paraId="033C6B5E" w14:textId="77777777" w:rsidR="00644761" w:rsidRDefault="00644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4BF90" w14:textId="56CCE719" w:rsidR="7B885F59" w:rsidRDefault="7B885F59" w:rsidP="7B885F59">
    <w:pPr>
      <w:pStyle w:val="En-tte"/>
      <w:ind w:left="-115"/>
    </w:pPr>
    <w:r w:rsidRPr="7B885F59">
      <w:rPr>
        <w:sz w:val="20"/>
        <w:szCs w:val="20"/>
      </w:rPr>
      <w:t xml:space="preserve">Éco conception 2025-2026 </w:t>
    </w:r>
    <w:r>
      <w:tab/>
    </w:r>
    <w:r>
      <w:tab/>
    </w:r>
    <w:r w:rsidRPr="7B885F59">
      <w:rPr>
        <w:sz w:val="20"/>
        <w:szCs w:val="20"/>
      </w:rPr>
      <w:t>CEBAN Daniel &amp; MIRRIONE Xavier</w:t>
    </w:r>
    <w:r>
      <w:t xml:space="preserve"> </w:t>
    </w:r>
    <w:r w:rsidRPr="7B885F59">
      <w:rPr>
        <w:b/>
        <w:bCs/>
      </w:rPr>
      <w:t>_________________________________________________________________________________</w:t>
    </w:r>
  </w:p>
  <w:p w14:paraId="1D0466B0" w14:textId="093E0A90" w:rsidR="7B885F59" w:rsidRDefault="7B885F59" w:rsidP="7B885F59">
    <w:pPr>
      <w:pStyle w:val="En-tte"/>
      <w:ind w:left="-115"/>
      <w:rPr>
        <w:b/>
        <w:bCs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B885F59" w14:paraId="3237F478" w14:textId="77777777" w:rsidTr="7B885F59">
      <w:trPr>
        <w:trHeight w:val="300"/>
      </w:trPr>
      <w:tc>
        <w:tcPr>
          <w:tcW w:w="3005" w:type="dxa"/>
        </w:tcPr>
        <w:p w14:paraId="6CB5B013" w14:textId="3DFFDF07" w:rsidR="7B885F59" w:rsidRDefault="7B885F59" w:rsidP="7B885F59">
          <w:pPr>
            <w:pStyle w:val="En-tte"/>
            <w:ind w:left="-115"/>
          </w:pPr>
        </w:p>
      </w:tc>
      <w:tc>
        <w:tcPr>
          <w:tcW w:w="3005" w:type="dxa"/>
        </w:tcPr>
        <w:p w14:paraId="7B811057" w14:textId="57892F2A" w:rsidR="7B885F59" w:rsidRDefault="7B885F59" w:rsidP="7B885F59">
          <w:pPr>
            <w:pStyle w:val="En-tte"/>
            <w:jc w:val="center"/>
          </w:pPr>
        </w:p>
      </w:tc>
      <w:tc>
        <w:tcPr>
          <w:tcW w:w="3005" w:type="dxa"/>
        </w:tcPr>
        <w:p w14:paraId="3EA25756" w14:textId="0F63E505" w:rsidR="7B885F59" w:rsidRDefault="7B885F59" w:rsidP="7B885F59">
          <w:pPr>
            <w:pStyle w:val="En-tte"/>
            <w:ind w:right="-115"/>
            <w:jc w:val="right"/>
          </w:pPr>
        </w:p>
      </w:tc>
    </w:tr>
  </w:tbl>
  <w:p w14:paraId="32E11E91" w14:textId="5BB8C7C5" w:rsidR="7B885F59" w:rsidRDefault="7B885F59" w:rsidP="7B885F59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4BC7A0"/>
    <w:multiLevelType w:val="hybridMultilevel"/>
    <w:tmpl w:val="418E6612"/>
    <w:lvl w:ilvl="0" w:tplc="5DBC54D0">
      <w:start w:val="1"/>
      <w:numFmt w:val="decimal"/>
      <w:lvlText w:val="%1."/>
      <w:lvlJc w:val="left"/>
      <w:pPr>
        <w:ind w:left="720" w:hanging="360"/>
      </w:pPr>
    </w:lvl>
    <w:lvl w:ilvl="1" w:tplc="2E501760">
      <w:start w:val="1"/>
      <w:numFmt w:val="lowerLetter"/>
      <w:lvlText w:val="%2."/>
      <w:lvlJc w:val="left"/>
      <w:pPr>
        <w:ind w:left="1440" w:hanging="360"/>
      </w:pPr>
    </w:lvl>
    <w:lvl w:ilvl="2" w:tplc="30CC79FA">
      <w:start w:val="1"/>
      <w:numFmt w:val="lowerRoman"/>
      <w:lvlText w:val="%3."/>
      <w:lvlJc w:val="right"/>
      <w:pPr>
        <w:ind w:left="2160" w:hanging="180"/>
      </w:pPr>
    </w:lvl>
    <w:lvl w:ilvl="3" w:tplc="029201DC">
      <w:start w:val="1"/>
      <w:numFmt w:val="decimal"/>
      <w:lvlText w:val="%4."/>
      <w:lvlJc w:val="left"/>
      <w:pPr>
        <w:ind w:left="2880" w:hanging="360"/>
      </w:pPr>
    </w:lvl>
    <w:lvl w:ilvl="4" w:tplc="D61C725E">
      <w:start w:val="1"/>
      <w:numFmt w:val="lowerLetter"/>
      <w:lvlText w:val="%5."/>
      <w:lvlJc w:val="left"/>
      <w:pPr>
        <w:ind w:left="3600" w:hanging="360"/>
      </w:pPr>
    </w:lvl>
    <w:lvl w:ilvl="5" w:tplc="FBAC8802">
      <w:start w:val="1"/>
      <w:numFmt w:val="lowerRoman"/>
      <w:lvlText w:val="%6."/>
      <w:lvlJc w:val="right"/>
      <w:pPr>
        <w:ind w:left="4320" w:hanging="180"/>
      </w:pPr>
    </w:lvl>
    <w:lvl w:ilvl="6" w:tplc="5194EFBC">
      <w:start w:val="1"/>
      <w:numFmt w:val="decimal"/>
      <w:lvlText w:val="%7."/>
      <w:lvlJc w:val="left"/>
      <w:pPr>
        <w:ind w:left="5040" w:hanging="360"/>
      </w:pPr>
    </w:lvl>
    <w:lvl w:ilvl="7" w:tplc="8BEEC9B6">
      <w:start w:val="1"/>
      <w:numFmt w:val="lowerLetter"/>
      <w:lvlText w:val="%8."/>
      <w:lvlJc w:val="left"/>
      <w:pPr>
        <w:ind w:left="5760" w:hanging="360"/>
      </w:pPr>
    </w:lvl>
    <w:lvl w:ilvl="8" w:tplc="E8DE0A5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041A56"/>
    <w:multiLevelType w:val="hybridMultilevel"/>
    <w:tmpl w:val="CD66554C"/>
    <w:lvl w:ilvl="0" w:tplc="B9E28C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E3032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EE0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611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B6A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4490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C2FE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BEC7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068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9885463">
    <w:abstractNumId w:val="0"/>
  </w:num>
  <w:num w:numId="2" w16cid:durableId="5144175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3D611F0"/>
    <w:rsid w:val="00212201"/>
    <w:rsid w:val="00214981"/>
    <w:rsid w:val="0030D826"/>
    <w:rsid w:val="0034318A"/>
    <w:rsid w:val="00363A61"/>
    <w:rsid w:val="00473906"/>
    <w:rsid w:val="004E5D89"/>
    <w:rsid w:val="00580374"/>
    <w:rsid w:val="00644761"/>
    <w:rsid w:val="00A670C0"/>
    <w:rsid w:val="00A918DC"/>
    <w:rsid w:val="00AD43A8"/>
    <w:rsid w:val="00DE27EC"/>
    <w:rsid w:val="00EF5742"/>
    <w:rsid w:val="00F50525"/>
    <w:rsid w:val="024C3BE5"/>
    <w:rsid w:val="02A5318C"/>
    <w:rsid w:val="04999987"/>
    <w:rsid w:val="059460C6"/>
    <w:rsid w:val="0F73CBCD"/>
    <w:rsid w:val="0FD5E9C6"/>
    <w:rsid w:val="13DB6865"/>
    <w:rsid w:val="18B307A4"/>
    <w:rsid w:val="1A496D4C"/>
    <w:rsid w:val="1AA1E09D"/>
    <w:rsid w:val="1C5B73EC"/>
    <w:rsid w:val="1E521AAB"/>
    <w:rsid w:val="2158D52E"/>
    <w:rsid w:val="23CE549D"/>
    <w:rsid w:val="245257BC"/>
    <w:rsid w:val="264D59D3"/>
    <w:rsid w:val="27791A95"/>
    <w:rsid w:val="2996B392"/>
    <w:rsid w:val="2C8A0059"/>
    <w:rsid w:val="2CEA4F18"/>
    <w:rsid w:val="2EA41544"/>
    <w:rsid w:val="317503C4"/>
    <w:rsid w:val="32AECD16"/>
    <w:rsid w:val="35F3B2C8"/>
    <w:rsid w:val="3C268F5A"/>
    <w:rsid w:val="3C2F5F00"/>
    <w:rsid w:val="4099D61D"/>
    <w:rsid w:val="43D611F0"/>
    <w:rsid w:val="44E7A6D5"/>
    <w:rsid w:val="495DAA2C"/>
    <w:rsid w:val="4C2B73AA"/>
    <w:rsid w:val="4CB23353"/>
    <w:rsid w:val="4DF1E840"/>
    <w:rsid w:val="4EDF37EE"/>
    <w:rsid w:val="4F143FDB"/>
    <w:rsid w:val="50106B40"/>
    <w:rsid w:val="50A11AEE"/>
    <w:rsid w:val="52F94D8D"/>
    <w:rsid w:val="5313CA0A"/>
    <w:rsid w:val="549D676C"/>
    <w:rsid w:val="559C89D5"/>
    <w:rsid w:val="564C946E"/>
    <w:rsid w:val="569FF6A2"/>
    <w:rsid w:val="5AB5C110"/>
    <w:rsid w:val="5B7CCB62"/>
    <w:rsid w:val="5BCBFFD1"/>
    <w:rsid w:val="5CEA1DD1"/>
    <w:rsid w:val="5D1AB2B6"/>
    <w:rsid w:val="5D2C5C60"/>
    <w:rsid w:val="5F936A5E"/>
    <w:rsid w:val="5FA854BA"/>
    <w:rsid w:val="6078E49F"/>
    <w:rsid w:val="62CD15D0"/>
    <w:rsid w:val="641594AA"/>
    <w:rsid w:val="647A7386"/>
    <w:rsid w:val="66180DE8"/>
    <w:rsid w:val="6621C3ED"/>
    <w:rsid w:val="67794253"/>
    <w:rsid w:val="678F70BE"/>
    <w:rsid w:val="679BF290"/>
    <w:rsid w:val="68C76609"/>
    <w:rsid w:val="6992040F"/>
    <w:rsid w:val="6A9DB97B"/>
    <w:rsid w:val="6BBC5DA2"/>
    <w:rsid w:val="6E306869"/>
    <w:rsid w:val="6F1053AF"/>
    <w:rsid w:val="700BA0E2"/>
    <w:rsid w:val="70A39765"/>
    <w:rsid w:val="72053938"/>
    <w:rsid w:val="73705F07"/>
    <w:rsid w:val="743CECDF"/>
    <w:rsid w:val="74C992FB"/>
    <w:rsid w:val="75B6445E"/>
    <w:rsid w:val="77B67D43"/>
    <w:rsid w:val="79634B23"/>
    <w:rsid w:val="7AED9E5F"/>
    <w:rsid w:val="7B885F59"/>
    <w:rsid w:val="7CC260F9"/>
    <w:rsid w:val="7F687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1B894"/>
  <w15:chartTrackingRefBased/>
  <w15:docId w15:val="{4CF49D1A-613B-4303-81B5-A64C2C276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7B885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sid w:val="7B885F59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En-tte">
    <w:name w:val="header"/>
    <w:basedOn w:val="Normal"/>
    <w:uiPriority w:val="99"/>
    <w:unhideWhenUsed/>
    <w:rsid w:val="7B885F59"/>
    <w:pPr>
      <w:tabs>
        <w:tab w:val="center" w:pos="4680"/>
        <w:tab w:val="right" w:pos="9360"/>
      </w:tabs>
      <w:spacing w:after="0" w:line="240" w:lineRule="auto"/>
    </w:pPr>
  </w:style>
  <w:style w:type="paragraph" w:styleId="Pieddepage">
    <w:name w:val="footer"/>
    <w:basedOn w:val="Normal"/>
    <w:uiPriority w:val="99"/>
    <w:unhideWhenUsed/>
    <w:rsid w:val="7B885F5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7B885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styleId="Lienhypertexte">
    <w:name w:val="Hyperlink"/>
    <w:basedOn w:val="Policepardfaut"/>
    <w:uiPriority w:val="99"/>
    <w:unhideWhenUsed/>
    <w:rsid w:val="7B885F59"/>
    <w:rPr>
      <w:color w:val="467886"/>
      <w:u w:val="single"/>
    </w:rPr>
  </w:style>
  <w:style w:type="paragraph" w:styleId="Paragraphedeliste">
    <w:name w:val="List Paragraph"/>
    <w:basedOn w:val="Normal"/>
    <w:uiPriority w:val="34"/>
    <w:qFormat/>
    <w:rsid w:val="7B885F59"/>
    <w:pPr>
      <w:ind w:left="720"/>
      <w:contextualSpacing/>
    </w:p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mouser.fr/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app.electricitymaps.com/map/live/fifteen_minutes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google.com/search?q=https://www.simcom.com/product/SIM7000G.html" TargetMode="External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www.espressif.com/en/products/modules/esp32" TargetMode="External"/><Relationship Id="rId20" Type="http://schemas.openxmlformats.org/officeDocument/2006/relationships/hyperlink" Target="https://base-empreinte.ademe.fr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hyperlink" Target="https://www.google.com/search?q=https://www.hammondmfg.com/scpg.ht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370</Words>
  <Characters>2036</Characters>
  <Application>Microsoft Office Word</Application>
  <DocSecurity>0</DocSecurity>
  <Lines>16</Lines>
  <Paragraphs>4</Paragraphs>
  <ScaleCrop>false</ScaleCrop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Ceban</dc:creator>
  <cp:keywords/>
  <dc:description/>
  <cp:lastModifiedBy>Xavier Mirrione</cp:lastModifiedBy>
  <cp:revision>2</cp:revision>
  <dcterms:created xsi:type="dcterms:W3CDTF">2026-04-22T14:37:00Z</dcterms:created>
  <dcterms:modified xsi:type="dcterms:W3CDTF">2026-04-22T14:37:00Z</dcterms:modified>
</cp:coreProperties>
</file>