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Attorney-General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Ssemogerere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 September 2004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1/02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Adriko</w:t>
      </w:r>
      <w:proofErr w:type="spellEnd"/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Appeals – Procedure – Application for leave to adduce fresh evidence after</w:t>
      </w:r>
      <w:r w:rsidR="0098299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disposal of appeal – Whether such application may be granted – Grounds upon which such application</w:t>
      </w:r>
      <w:r w:rsidR="0098299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may be allowed – Rule 1(3) – Rules of the Supreme Court.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29 January 2004, the Supreme Court of Uganda delivered its judgment in a constitutional appeal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respondents in this application had lodged challenging the decision of the constitutional court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had held that the Constitution (Amendment) Act number 13 of 2000 was unconstitutional and had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been validly passed as legislation amending the Constitution of Uganda of 1995. In its decision, the</w:t>
      </w:r>
      <w:r w:rsidR="00AE67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declared Act number 13 of 2000 unconstitutional, firstly, because it had been passed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Parliament following the proper method of voting and, secondly, because it sought to amend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 provisions of the Constitution without following the constitutional provisions on amendment of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Constitution.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22 July 2004, the Attorney-General filed this application imploring the Supreme Court to recall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later, vary and or review or reverse its judgment nullifying Act number 13 of 2000. The applicant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argued,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that decision had caused a paralysis in legislative activity and that, subsequent to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 w:rsidR="00AE6796">
        <w:rPr>
          <w:rFonts w:ascii="Times New Roman" w:hAnsi="Times New Roman" w:cs="Times New Roman"/>
          <w:color w:val="000000"/>
        </w:rPr>
        <w:t>its delivery</w:t>
      </w:r>
      <w:r>
        <w:rPr>
          <w:rFonts w:ascii="Times New Roman" w:hAnsi="Times New Roman" w:cs="Times New Roman"/>
          <w:color w:val="000000"/>
        </w:rPr>
        <w:t>, evidence emerged that his counsel in the constitutional appeal number 1 of 2000 had not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tendered before the Supreme Court a certificate by the Speaker of Parliament showing that Act 13 of</w:t>
      </w:r>
      <w:r w:rsidR="00AE67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2000 had been passed in due compliance with the constitutional provisions on amendment of the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He therefore submitted that the mistake of counsel should not be visited upon the State.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made an informal application under rule 1(3) of the Rules of the Supreme Court to be</w:t>
      </w:r>
      <w:r w:rsidR="00AE67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to present this additional evidence to court in the course of hearing this application.</w:t>
      </w:r>
    </w:p>
    <w:p w:rsidR="00AE6796" w:rsidRDefault="00AE6796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There are no authorities on what principles or conditions a court may allow an applicant to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adduce additional evidence in a constitutional application. However, decided authorities on court’s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to admit additional evidence on appeals can provide a useful guide and are of persuasive value.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Elgood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Regina </w:t>
      </w:r>
      <w:r>
        <w:rPr>
          <w:rFonts w:ascii="Times New Roman" w:hAnsi="Times New Roman" w:cs="Times New Roman"/>
          <w:color w:val="000000"/>
        </w:rPr>
        <w:t xml:space="preserve">[1968] EA 274; </w:t>
      </w:r>
      <w:r>
        <w:rPr>
          <w:rFonts w:ascii="Times New Roman" w:hAnsi="Times New Roman" w:cs="Times New Roman"/>
          <w:i/>
          <w:iCs/>
          <w:color w:val="000000"/>
        </w:rPr>
        <w:t xml:space="preserve">American Express International v Patel </w:t>
      </w:r>
      <w:r>
        <w:rPr>
          <w:rFonts w:ascii="Times New Roman" w:hAnsi="Times New Roman" w:cs="Times New Roman"/>
          <w:color w:val="000000"/>
        </w:rPr>
        <w:t>application number 8B of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1986 SCU (UR),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Karmali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Lakhani </w:t>
      </w:r>
      <w:r>
        <w:rPr>
          <w:rFonts w:ascii="Times New Roman" w:hAnsi="Times New Roman" w:cs="Times New Roman"/>
          <w:color w:val="000000"/>
        </w:rPr>
        <w:t>[1958] EA 567 followed.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These authorities show that an appellate court may exercise its discretion to admit additional evidence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in exceptional circumstances, which include: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Discovery of new and important matters of evidence which, after the exercise of due diligence, was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within the knowledge of, or could not have been produced at the time of the suit or petition by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party seeking to adduce the additional evidence;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The additional evidence must be relevant to the issues in the case;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) </w:t>
      </w:r>
      <w:r w:rsidR="00982998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evidence must be credible in the sense that it is capable of belief;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The evidence must be such that it would probably have influence on the result of the case albeit it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need not be decisive;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) </w:t>
      </w:r>
      <w:r w:rsidR="00982998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additional evidence sought to be adduced must be proved by affidavit supporting the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to adduce it; and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) The application to admit additional evidence must be brought without undue delay.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Speaker of Parliament’s certificate of compliance was available at the time of the constitutional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 and the subsequent constitutional appeal number 1 of 2002. Thus, with due diligence, it could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adduced at the trial of the petition or appeal, but it was not.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Further, the application to adduce additional evidence was made several months after the Supreme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lastRenderedPageBreak/>
        <w:t>Court delivered is judgment in constitutional appeal number 1 of 2002. Therefore it was not brought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undue delay.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to adduce fresh evidence dismissed. Application to vary or reverse the judgment in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appeal number 1 of 2002 too is dismissed.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ruling: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9829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30E38" w:rsidRDefault="00330E38" w:rsidP="00AE6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bookmarkEnd w:id="0"/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American Express International v Patel </w:t>
      </w:r>
      <w:r>
        <w:rPr>
          <w:rFonts w:ascii="Times New Roman" w:hAnsi="Times New Roman" w:cs="Times New Roman"/>
          <w:color w:val="000000"/>
        </w:rPr>
        <w:t xml:space="preserve">application number 8B of 1986 (SCU)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Elgood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Regian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[1968] EA 274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Karmali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Lakhani </w:t>
      </w:r>
      <w:r>
        <w:rPr>
          <w:rFonts w:ascii="Times New Roman" w:hAnsi="Times New Roman" w:cs="Times New Roman"/>
          <w:color w:val="000000"/>
        </w:rPr>
        <w:t xml:space="preserve">[1958] EA 567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Kawoya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Joseph v Uganda </w:t>
      </w:r>
      <w:proofErr w:type="spellStart"/>
      <w:r>
        <w:rPr>
          <w:rFonts w:ascii="Times New Roman" w:hAnsi="Times New Roman" w:cs="Times New Roman"/>
          <w:color w:val="000000"/>
        </w:rPr>
        <w:t>Crim</w:t>
      </w:r>
      <w:proofErr w:type="spellEnd"/>
      <w:r>
        <w:rPr>
          <w:rFonts w:ascii="Times New Roman" w:hAnsi="Times New Roman" w:cs="Times New Roman"/>
          <w:color w:val="000000"/>
        </w:rPr>
        <w:t xml:space="preserve"> App No. 50/99 (SCU)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Npart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General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Parts(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Uganda Ltd.) </w:t>
      </w:r>
      <w:r>
        <w:rPr>
          <w:rFonts w:ascii="Times New Roman" w:hAnsi="Times New Roman" w:cs="Times New Roman"/>
          <w:color w:val="000000"/>
        </w:rPr>
        <w:t xml:space="preserve">Misc. App No. 8/2000 (SCU)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Sadrudin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Shariff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Tarlochan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Singh </w:t>
      </w:r>
      <w:r>
        <w:rPr>
          <w:rFonts w:ascii="Times New Roman" w:hAnsi="Times New Roman" w:cs="Times New Roman"/>
          <w:color w:val="000000"/>
        </w:rPr>
        <w:t xml:space="preserve">[1961] EA 72 -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Corbett </w:t>
      </w:r>
      <w:r>
        <w:rPr>
          <w:rFonts w:ascii="Times New Roman" w:hAnsi="Times New Roman" w:cs="Times New Roman"/>
          <w:color w:val="000000"/>
        </w:rPr>
        <w:t xml:space="preserve">[1953] 2 All ER 69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Ladd v Marshall </w:t>
      </w:r>
      <w:r>
        <w:rPr>
          <w:rFonts w:ascii="Times New Roman" w:hAnsi="Times New Roman" w:cs="Times New Roman"/>
          <w:color w:val="000000"/>
        </w:rPr>
        <w:t xml:space="preserve">[1954] 3 All ER 745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30E38" w:rsidRDefault="00330E38" w:rsidP="00330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Langdale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Danby </w:t>
      </w:r>
      <w:r>
        <w:rPr>
          <w:rFonts w:ascii="Times New Roman" w:hAnsi="Times New Roman" w:cs="Times New Roman"/>
          <w:color w:val="000000"/>
        </w:rPr>
        <w:t xml:space="preserve">[1982] 3 All ER 129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97396" w:rsidRDefault="00330E38" w:rsidP="00330E38">
      <w:proofErr w:type="spellStart"/>
      <w:r>
        <w:rPr>
          <w:rFonts w:ascii="Times New Roman" w:hAnsi="Times New Roman" w:cs="Times New Roman"/>
          <w:i/>
          <w:iCs/>
          <w:color w:val="000000"/>
        </w:rPr>
        <w:t>Skone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38"/>
    <w:rsid w:val="00330E38"/>
    <w:rsid w:val="00982998"/>
    <w:rsid w:val="00AE6796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4DFF2-2D86-44F1-986F-4F8D7B43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2018-07-03T13:15:00Z</dcterms:created>
  <dcterms:modified xsi:type="dcterms:W3CDTF">2018-07-09T09:37:00Z</dcterms:modified>
</cp:coreProperties>
</file>