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2C" w:rsidRDefault="00BF44B9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ATTORNEY-GENERAL V SSEMOGERERE AND OTHERS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 September 2004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 w:rsidR="00BF44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Appeals – Procedure – Application for leave to adduce fresh evidence after</w:t>
      </w:r>
      <w:r w:rsidR="00BF44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disposal of appeal – Whether such application may be granted – Grounds upon which such application</w:t>
      </w:r>
      <w:r w:rsidR="00BF44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may be allowed – Rule 1(3) – Rules of the Supreme Court.</w:t>
      </w:r>
    </w:p>
    <w:p w:rsidR="003E562C" w:rsidRDefault="00BF44B9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ODOKI CJ, ODER, TSEKOOKO, KAROKORA, MULENGA, KANYEIHAMBA JJSC AND</w:t>
      </w:r>
    </w:p>
    <w:p w:rsidR="003E562C" w:rsidRDefault="003E562C" w:rsidP="003E5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BYAMUGISHA AJSC: </w:t>
      </w:r>
      <w:r>
        <w:rPr>
          <w:rFonts w:ascii="Times New Roman" w:hAnsi="Times New Roman" w:cs="Times New Roman"/>
          <w:color w:val="000000"/>
        </w:rPr>
        <w:t>The Attorney-General brought this application under article 132(4) of the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 and rules 1(3), 41(1) and (2) of the Rules of this Court for orders that: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BF44B9" w:rsidRPr="00BF44B9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Honourable Court be pleased to recall and alter, vary and/or review/reverse its judgment in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constitutional appeal number 1 of 2002.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BF44B9" w:rsidRPr="00BF44B9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Honourable Court be pleased to vary and/or review/ reverse its declaration and order for costs in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said constitutional appeal number 1 of 2002, so that amendments to articles 88, 89, 90 and 257 of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Constitution are held to have been validly made.</w:t>
      </w:r>
    </w:p>
    <w:p w:rsidR="003E562C" w:rsidRPr="00BF44B9" w:rsidRDefault="00BF44B9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C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osts of this application be provided for.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notice of motion states that the grounds of the application are set out in the affidavits of the Clerk to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Parliament,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Anis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Tandekwire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and or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Mike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Chibita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 Principal State Attorney, both of which are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attached to the notice of motion. The grounds also provide a background to the application. They are set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out as follows: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The constitutional appeal number 1 of 2002 challenged the Constitution (Amendment) Act 2000, on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grounds that in amending articles 88, 89, 90, 97 and 259 of the constitution, the right procedure was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not followed by Parliament.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The amendments to articles 88, 89, 90 and 257 were declared null and void for the reason that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method of voting used by Parliament in passing the bill was not the head count method, and that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bill for assent by the President for those amendments was not accompanied by a certificate of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Speaker of Parliament showing that the provisions of Chapter 18 of the Constitution had been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complied with.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In actual fact, during the debate on the Constitution Amendment Bill 2000, Parliament did not use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voice voting method of “Ayes” and “Noes”, but the head count method.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In actual fact on the said bill for amendment of articles 88, 89, 90 and 257 was accompanied by a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certificate of the deputy speaker of the sixth Parliament showing that the requirements of Chapter 18 of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Constitution had been complied with.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 Commissioner for civil litigation, who represented the applicant in constitutional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appeal number 1 of 2002 and in the constitutional petition number 7 of 2000 did not seek prior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instructions from Parliament on the two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matters and did not therefore adduce evidence in this or the Constitutional Court to show that head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count methods of voting was used in the Constitution (Amendment) Act of 2000, and to show that a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certificate showing compliance with Chapter 18 of the Constitution accompanied the said bill to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thePresident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before it was assented to.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) Had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presented the Hansard relating to the passing of the Bill for Amendments, and the said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certificate, the amendments to Articles 88, 89, 90 and 257 would have been upheld.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Constitutional appeal number 1 of 2002 was a matter of great national and public importance in that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the amendments to articles 88, 89 and 90 of the Constitution were intended to remove the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paralysis in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Parliament caused by the decision of the Constitutional Court delivered on 10 August 2000, in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constitutional petition number 3 of 1999, with regard to quorum and voting in Parliament, and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functioning of the committees of Parliament when handling bills.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h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) Therefore the mistake of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should not prejudice the amendments of the said Articles 88, 89, 90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and 257 when the Constitution (Amendment) Bill was passed using the head count method of voting,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and was sent to the President for assent accompanied by the certificate of the Speaker showing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compliance with Chapter 18 of the constitution.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) The declarations made by this Court in the said constitutional appeal number 1 of 2002 have not been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enforced, in that order or decree has been served on the applicant by the respondents in the said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constitutional appeal number 1 of 2002, for the purpose of effecting a formal repeal by Parliament, of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Impugned Constitution (Amendment) Act of 2000.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The declarations made by this Court have not been enforced and this Court has power under Article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132(4) of the Constitution and/or rule 1(3) of the Rules of this Court to grant the orders sought.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It is in the interest of justice that this Court recalls and alters, varies and/or reviews its decisions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nullifying the amendments to the said Articles 88, 89, 90 and 257 and awarding costs to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respondents in the said constitutional appeal number 1 of 2002.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The applicant was represented by the Learned Solicitor General,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Tibaruha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, who was assisted by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Joseph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Matsiko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, Learned Ag Commissioner for civil litigation. The respondents were represented by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GS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SC who was assisted by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Balikuddembe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Following guidance from the Court, the Learned Solicitor General dropped Article 132(4) of the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 from the notice of motion. He also conceded that the application would be incompetent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without leave of court to adduce additional evidence, and he proceeded to make an informal application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under rule 1(3) of the rules of this Court, to be allowed to present additional evidence which was the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basis of the application by motion.</w:t>
      </w:r>
    </w:p>
    <w:p w:rsid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Learned Solicitor General commenced his submissions by stating that the application concerns a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matter of great public and national importance, namely the Constitution (Amendment) Act of 2000,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which was annulled by this Court in its judgment of 29 January 2004 in constitutional appeal number 1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of 2002. He contended that had this Court received the additional evidence, which he wishes to be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admitted now, the Court’s decision and declarations in constitutional appeal number 1 of 2002 would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have been different. He submitted that the pieces of additional evidence he sought to adduce were: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Copy of Hansard containing the proceedings of Parliament in passing the Constitution (Amendment)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bill number 13 of 2000, showing that voting was by head count;</w:t>
      </w:r>
    </w:p>
    <w:p w:rsidR="003E562C" w:rsidRPr="00BF44B9" w:rsidRDefault="00BF44B9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E562C"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) The Speaker’s certificate which accompanied the bill for presidential assent, signifying compliance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with Chapter 18 of the Constitution in passing the bill.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Both the documents were attached as annextures to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Tandekwire’s affidavit supporting the notice of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motion.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learned Solicitor General contended that the reason why the evidence was not produced was</w:t>
      </w:r>
      <w:r w:rsid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because of the incompetence of counsel who represented the applicant in both the Constitutional Court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and this Court. The counsel concerned was named by the Solicitor General as one 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commissioner for civil litigation in the applicant’s chambers.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Tibaruha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contended that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who represented the applicant in constitutional appeal number 1 of 2002 and in constitutional petition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number 7 of 2000, did not seek instructions from Parliament on the two instruments and did not tender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them as evidence in either of the two Courts. The Solicitor General contended that had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done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so and presented the Hansard relating to the passing of the bill,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lastRenderedPageBreak/>
        <w:t>certain amendments in it which were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properly passed would have been severed from the rest of the Act and upheld by this Court as having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been validly passed by Parliament. He submitted that this Court should invoke the principle that the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failings of counsel should not be visited on to the client; and exercise its inherent powers to remove a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miscarriage of justice which has occurred as a result of the annulment of the Constitution (Amendment)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Act of 2000.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Tibaruha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contended that as a result of that annulment there exists a paralysis in Parliament, which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would cease if the main application is granted. He maintained that it was therefore in the public interest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that the judgment be revisited to remove the paralysis in Parliament. He cited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Npart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General Parts</w:t>
      </w:r>
      <w:r w:rsidR="00F27D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(Uganda Ltd)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miscellaneous application number 8 of 2000 (SCU); the government Proceedings Act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(Chapter 79) and Article 126(2</w:t>
      </w: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c) of the Constitution of 1995; and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Kawoya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Joseph v Uganda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Criminal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Appeal Number 50 of 1999 (SCU); as authorities for his submissions and to show that this Court has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powers to recall its judgment as that judgment has not yet been the subject of execution.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SC lead counsel for the respondents, opposed the application for leave to adduce additional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evidence. In effect he argued that the Solicitor General had not shown good cause to justify reception of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additional evidence by this Court during the hearing of this application, six months after the conclusion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of the appeal. In his view, the case of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General Parts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is inapplicable and distinguishable, while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that of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Kawoya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Joseph (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) supports his clients’ case.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contended that the first issue of the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procedure adopted in Parliament during the debate and the eventual passing of the bill resulting in to the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 (Amendment) Act of 2000 and the second issue of the absence of the Speaker’s certificate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for the Presidential Assent to the Act were raised by the respondents at the earliest available opportunity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when the petition was lodged in court. The two issues were raised during the trial of the petition and later</w:t>
      </w:r>
      <w:r w:rsidR="00F27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during the hearing in this Court of the appeal therefrom. At no stage did the applicant attempt to adduce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either of the two pieces of evidence.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contended that the applicant has failed to justify the need to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admit additional evidence.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Having heard both counsel and examined the background to this application and the evidence on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which we based our findings and decisions in our judgment in constitutional appeal number 10 of 2002,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we are in a position to consider and resolve the pertinent issues raised in the oral application for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tendering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additional evidence. We shall consider and rule on the oral application as preliminary matter. Rule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29(2</w:t>
      </w: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of the rules of this Court does not apply to application for leave to adduce additional evidence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after the disposal of an appeal, which the applicant seeks to do by his oral application.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rule provides: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“2(2</w:t>
      </w: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) When an appeal emanates from a decision of the Constitutional Court: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In the case of an appeal on a petition to the Constitutional Court, the Court, may appraise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evidence and decide matters of fact, or law or mixed law and fact, and </w:t>
      </w: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gram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in its discretion take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additional evidence.”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rule permits additional evidence in an appeal from the Constitutional Court to this Court in a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constitutional appeal. It does not apply to a situation, as now in the instant case, where the appeal has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been disposed of and the party who lost the appeal is applying for a review and reversal of the judgment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in the appeal. Consequently, the applicant has relied on rule 1(3) of the rules of this Court, which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provides: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“1(3) Nothing in these rules shall be taken to limit or otherwise affect the inherent power of the Court, and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Court of Appeal to make such orders as may be necessary for achieving the ends of justice or to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prevent abuse of the process of any such court, and that power shall extend to setting aside judgments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which have been proved null and void after they have been passed, and shall be exercised to prevent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buse of the process of any court caused by delay”.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There are no authorities on what principles or conditions this Court may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lastRenderedPageBreak/>
        <w:t>allow an application such as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present, but our opinion is that authorities or decided cases which are relevant to this Court’s discretion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to admit additional evidence on appeals to it do provide useful guidance for that purpose, and are of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persuasive value. We have in mind: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Ladd v Marshall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[1954] 3 All ER 745 at 148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Skone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Skone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[1971] 2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All ER 582 at 586;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Langdale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Danby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[1982] 3 All ER 129 at 137;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Sadrudin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Shariff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Tarlochan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Singh</w:t>
      </w:r>
      <w:r w:rsidR="00F35EC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[1961] EA 72,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Elgood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Regian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[1968] EA 274;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American Express International v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Atulkimar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 Patel</w:t>
      </w:r>
      <w:r w:rsidR="00F35EC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application number 8B of 1986 (SCU) (UR);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Karmali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Lakhani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[1958] EA 567 and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Corbett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[1953] 2 All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ER 69. A summary of these authorities is that an appellate court may exercise its discretion to admit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additional evidence only in exceptional circumstances, which include: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BF44B9">
        <w:rPr>
          <w:rFonts w:ascii="Times New Roman" w:hAnsi="Times New Roman" w:cs="Times New Roman"/>
          <w:color w:val="000000"/>
          <w:sz w:val="24"/>
          <w:szCs w:val="24"/>
        </w:rPr>
        <w:t>) Discovery of new and important matters of evidence which, after the exercise of due diligence, was not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within the knowledge of, or could not have been produced at the time of the suit or petition by,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party seeking to adduce the additional evidence;</w:t>
      </w:r>
    </w:p>
    <w:p w:rsidR="003E562C" w:rsidRPr="00BF44B9" w:rsidRDefault="00F35EC7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(ii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) It must be evidence relevant to the issues;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(iii) It must be evidence which is credible in the sense that it is capable of belief;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(iv) 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evidence must be such that, if given, it would probably have influence on the result of the case,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although it need not be decisive;</w:t>
      </w:r>
    </w:p>
    <w:p w:rsidR="003E562C" w:rsidRPr="00BF44B9" w:rsidRDefault="00F35EC7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(v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) The affidavit in support of an application to admit additional evidence should have attached to it, proof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of the evidence sought to be given;</w:t>
      </w:r>
    </w:p>
    <w:p w:rsidR="003E562C" w:rsidRPr="00BF44B9" w:rsidRDefault="00F35EC7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(vi)</w:t>
      </w:r>
      <w:proofErr w:type="gramEnd"/>
      <w:r w:rsidR="003E562C" w:rsidRPr="00BF44B9">
        <w:rPr>
          <w:rFonts w:ascii="Times New Roman" w:hAnsi="Times New Roman" w:cs="Times New Roman"/>
          <w:color w:val="000000"/>
          <w:sz w:val="24"/>
          <w:szCs w:val="24"/>
        </w:rPr>
        <w:t>The application to admit additional evidence must be brought without undue delay.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These have remained the stand taken by the Courts, for obvious reasons that there would be no end to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litigation unless a court can expect a party to put its full case before the Court. We must stress that for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same reason, courts should be even more stringent to allow a party to adduce additional evidence </w:t>
      </w:r>
      <w:r w:rsidR="00F35EC7" w:rsidRPr="00BF44B9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re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-open a case, which has already been completed on appeal.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applicant’s explanation why the additional evidence now sought to be admitted was not adduced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at the trial of the petition or at the appeal to this Court is alleged negligence and incompetence of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 Commissioner of Civil Litigation in the applicant’s chambers, who was one of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counsel who represented the applicant in both courts. To us, this means that the evidence was available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and that with due diligence it could have been adduced at the trial of the petition or on the appeal to this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Court, but it was not.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The record shows, that the applicant’s answer to the petition was draw by “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Cheborion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Barishaki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director for civil litigation in the applicant’s chambers, not 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. More importantly when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hearing of the petition commenced, the applicant was represented by another senior counsel,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Byamugisha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, AA Director of Civil Litigation, assisted by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Samu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Serwanga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, SSA,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Kahwa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SSA</w:t>
      </w:r>
      <w:proofErr w:type="gram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Byamugisha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raised and argued two preliminary points of objection to the petition. The first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was that the petition was incompetent, because the affidavits which supported it were defective.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second was that in this case, the Constitutional Court had no jurisdiction to interpret Act 13 of 2000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because the Act had become part and parcel of the Constitution as all the constitutional procedural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requirements for enacting it had been complied with counsel for the respondents,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GS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>, opposed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objections. The Constitutional Court overruled the objections and proceeded to hear the petition. In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circumstances with due respect, we are unable to agree with the learned Solicitor General’s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contention that it was the fault of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alone that evidence now sought to be admitted as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additional evidence was not produced at the trial of the petition or at the appeal hearing. It 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inconceivable that a petition and an appeal of this importance could have been left to the whims of, or to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put it in the words of the learned Solicitor General, to the incompetence of one commissioner who,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notwithstanding the judgment of him by the Solicitor General, had risen steadily in the promotional ranks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lastRenderedPageBreak/>
        <w:t>Attorney-General’s chambers, presumably on merit. Further, the applicant’s case both in the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Constitutional Court and on appeal to this Court having been handled, according to the record, by Dennis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and other quite senior officers in the applicant’s chambers we would have expected Dennis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or any one or more of the other officers who handled the petition and the appeal to have explained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by affidavit why copies of the speaker’s certificate and of the Hansard were not produced as evidence at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the hearing of the petition or as additional evidence on appeal to this Court. When the Court questioned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the learned Solicitor General on this point his answer was that Dennis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was on suspension. He did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not say what efforts had been made to get </w:t>
      </w:r>
      <w:proofErr w:type="spellStart"/>
      <w:r w:rsidRPr="00BF44B9">
        <w:rPr>
          <w:rFonts w:ascii="Times New Roman" w:hAnsi="Times New Roman" w:cs="Times New Roman"/>
          <w:color w:val="000000"/>
          <w:sz w:val="24"/>
          <w:szCs w:val="24"/>
        </w:rPr>
        <w:t>Bireije</w:t>
      </w:r>
      <w:proofErr w:type="spellEnd"/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 to give such explanation by affidavit even though he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was on suspension or why the others had not done so.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Lastly another factor we must take into account is that this application to admit additional evidence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was brought several months after the appeal was completed. The judgments in the appeal were delivered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on 29 January 2004, and this application was filed in court on 22 July 2004. That was not bringing this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application without undue delay.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For these reasons, we are unable to say that the oral application to adduce additional evidence in this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case fulfils the special conditions we have referred to above. It must therefore fail and it is accordingly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dismissed with costs to the respondents.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As the additional evidence sought to be adduced forms the only basis of the application by notice of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>motion for recalling the judgment of the Court in constitutional appeal number 1 of 2000, that application</w:t>
      </w:r>
      <w:r w:rsidR="00F35E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BF44B9">
        <w:rPr>
          <w:rFonts w:ascii="Times New Roman" w:hAnsi="Times New Roman" w:cs="Times New Roman"/>
          <w:color w:val="000000"/>
          <w:sz w:val="24"/>
          <w:szCs w:val="24"/>
        </w:rPr>
        <w:t>has no basis. It must fail, and it is dismissed with costs to the respondents.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Tibaruha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J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Matsiko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Adv</w:t>
      </w:r>
      <w:proofErr w:type="spellEnd"/>
    </w:p>
    <w:p w:rsidR="003E562C" w:rsidRPr="00BF44B9" w:rsidRDefault="003E562C" w:rsidP="00BF4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44B9">
        <w:rPr>
          <w:rFonts w:ascii="Times New Roman" w:hAnsi="Times New Roman" w:cs="Times New Roman"/>
          <w:color w:val="000000"/>
          <w:sz w:val="24"/>
          <w:szCs w:val="24"/>
        </w:rPr>
        <w:t>For the respondents:</w:t>
      </w:r>
    </w:p>
    <w:p w:rsidR="00E97396" w:rsidRDefault="003E562C" w:rsidP="00BF44B9">
      <w:pPr>
        <w:jc w:val="both"/>
      </w:pPr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GS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Lule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Balikuddembe</w:t>
      </w:r>
      <w:proofErr w:type="spellEnd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44B9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Kalenge</w:t>
      </w:r>
      <w:proofErr w:type="gramStart"/>
      <w:r w:rsidRPr="00BF44B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,Bwa</w:t>
      </w:r>
      <w:r>
        <w:rPr>
          <w:rFonts w:ascii="Times New Roman" w:hAnsi="Times New Roman" w:cs="Times New Roman"/>
          <w:i/>
          <w:iCs/>
          <w:color w:val="000000"/>
        </w:rPr>
        <w:t>nika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Kimuli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2C"/>
    <w:rsid w:val="003E562C"/>
    <w:rsid w:val="00BF44B9"/>
    <w:rsid w:val="00E97396"/>
    <w:rsid w:val="00F27DC1"/>
    <w:rsid w:val="00F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B9382-0FEB-4E4D-82FB-EF2FA70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2018-07-03T13:20:00Z</dcterms:created>
  <dcterms:modified xsi:type="dcterms:W3CDTF">2018-07-09T10:03:00Z</dcterms:modified>
</cp:coreProperties>
</file>