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Aberdare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Investments Ltd v Housing Finance Co of Kenya Ltd and another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March 1999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227/98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Application for temporary injunctions – Whether application for temporary</w:t>
      </w:r>
      <w:r w:rsidR="00BE6E8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injunction can be founded on a claim for a declaration – Order XXXIX, rules 1, 2, 3 and 9 of the Civil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Rules.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Mortgage – Mortgagee’s statutory power of sale – Whether mortgagee under obligation to exhaust</w:t>
      </w:r>
      <w:r w:rsidR="00BE6E8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other remedies to recover money first before exercising power of sale.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charged its property to the first respondent to secure a loan. The appellant at some point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fell in arrears and the first respondent, upon giving statutory notice, appointed the second respondent to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 the property to recover the arrears.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filed suit seeking first, a declaration that the first respondent was not entitled to exercise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power of sale without exhausting other remedies and secondly, a permanent injunction to restrain the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and second respondent from selling the property.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Simultaneously with the suit, the appellant filed an application under Order XXXIX, rules 1, 2, 3, and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 of the Civil Procedure Rules seeking a temporary injunction to restrain the respondents from selling the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The High Court dismissed the application on the ground that it appeared to him the appellant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seeking an “interim declaration” under the guise of seeking an interim injunction. He also ruled that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interim injunction could not be founded on a declaration.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to the Court of Appeal.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choice of a remedy for recovery of an unpaid loan under a mortgage is that of the mortgagee,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mortgagor cannot tell the mortgagee to take such action as may suit the mortgagor: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Lavuna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BE6E8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Civil Servants Housing Co Ltd and another </w:t>
      </w:r>
      <w:r>
        <w:rPr>
          <w:rFonts w:ascii="Times New Roman" w:hAnsi="Times New Roman" w:cs="Times New Roman"/>
          <w:color w:val="000000"/>
        </w:rPr>
        <w:t xml:space="preserve">[1995] LLR 3021 (CAK) followed. An offer </w:t>
      </w:r>
      <w:r w:rsidR="00BE6E8E">
        <w:rPr>
          <w:rFonts w:ascii="Times New Roman" w:hAnsi="Times New Roman" w:cs="Times New Roman"/>
          <w:color w:val="000000"/>
        </w:rPr>
        <w:t>of redemption</w:t>
      </w:r>
      <w:r>
        <w:rPr>
          <w:rFonts w:ascii="Times New Roman" w:hAnsi="Times New Roman" w:cs="Times New Roman"/>
          <w:color w:val="000000"/>
        </w:rPr>
        <w:t xml:space="preserve"> based upon probable or possible future sales of other properties is no redemption offer. The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did not have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dismissed.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BE6E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Lavuna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Civil Servants Housing Co Ltd and another </w:t>
      </w:r>
      <w:r>
        <w:rPr>
          <w:rFonts w:ascii="Times New Roman" w:hAnsi="Times New Roman" w:cs="Times New Roman"/>
          <w:color w:val="000000"/>
        </w:rPr>
        <w:t xml:space="preserve">[1995] LLR 3021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FA32F7" w:rsidRDefault="00FA32F7" w:rsidP="00FA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817F1" w:rsidRDefault="00FA32F7" w:rsidP="00FA32F7">
      <w:r>
        <w:rPr>
          <w:rFonts w:ascii="Times New Roman" w:hAnsi="Times New Roman" w:cs="Times New Roman"/>
          <w:i/>
          <w:iCs/>
          <w:color w:val="000000"/>
        </w:rPr>
        <w:t xml:space="preserve">International General Electric Co of New York Ltd and another v </w:t>
      </w:r>
      <w:r w:rsidR="00BE6E8E">
        <w:rPr>
          <w:rFonts w:ascii="Times New Roman" w:hAnsi="Times New Roman" w:cs="Times New Roman"/>
          <w:i/>
          <w:iCs/>
          <w:color w:val="000000"/>
        </w:rPr>
        <w:t>Commissioner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 of Customs and Excise</w:t>
      </w:r>
    </w:p>
    <w:sectPr w:rsidR="00E8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F7"/>
    <w:rsid w:val="00BE6E8E"/>
    <w:rsid w:val="00E817F1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363B3-EA2B-4153-9750-2883C71B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2018-07-06T07:41:00Z</dcterms:created>
  <dcterms:modified xsi:type="dcterms:W3CDTF">2018-07-07T18:50:00Z</dcterms:modified>
</cp:coreProperties>
</file>