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7F7" w:rsidRPr="006124F0" w:rsidRDefault="006124F0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 w:rsidRPr="006124F0">
        <w:rPr>
          <w:rFonts w:ascii="Times New Roman" w:hAnsi="Times New Roman" w:cs="Times New Roman"/>
          <w:b/>
          <w:bCs/>
          <w:color w:val="000080"/>
          <w:sz w:val="24"/>
          <w:szCs w:val="24"/>
        </w:rPr>
        <w:t>ADMINISTRATOR-GENERAL V BWANIKA AND OTHERS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Division: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Supreme Court of Uganda at Mengo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 of judgment: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12 October 2004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Case Number: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7/03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Before: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Odoki CJ, Oder, Tsekooko, Karokora and Kanyeihamba JJSC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Sourced by: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LawAfrica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Summarised by: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M Kibanga</w:t>
      </w:r>
    </w:p>
    <w:p w:rsidR="006124F0" w:rsidRPr="006124F0" w:rsidRDefault="006124F0" w:rsidP="006124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67F7" w:rsidRPr="006124F0" w:rsidRDefault="006124F0" w:rsidP="006124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JUDGMENT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Oder JSC: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This is a second appeal. It is brought against the judgment of the Court of Appeal dismissing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appellant’s appeal against a judgment of the High Court in a suit instituted by the respondents against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appellant.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background to the appeal is as follows: The High Court granted the appellant letters of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administration to administer the estate of the deceased, Francis Drake Mayiga, in administration cause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number 851 of 1978. The estate consisted mainly of a commercial building in Masaka Municipality. The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respondents were the children of Francis Drake Mayiga (deceased) and the beneficiaries of his estate.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With the agreement of the respondents; the appellant authorised the law firm of Messrs Ntume Nyanzi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and Company Advocates to sell the building and remit the proceeds of the sale therefrom to the appellant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for distribution to, or management for, the respondents, most of whom were minors at the material time.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On 9 May 1996, the law firm issued a cheque, the proceeds of sale, for Ushs83 995 560. The cheque was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collected by one Katamba-Mukiibi, a member of staff and a state attorney in the appellant’s department.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The cheque was later banked by a senior accountant of the appellant, one Lawrence Lagara, on the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appellant’s Bankruptcy Estate Account number 3506, instead of in the appellant’s general account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number 3432. Both the accounts were in the Kampala main branch of the former Uganda Commercial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Bank Limited (hereinafter referred to as “the Bank”). Lawrence Lagara and the appellant’s account called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JB Mukasa were the signatories to the Bankruptcy Estate Account. They withdrew all the money over a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period of two years and disappeared. The beneficiaries of the estate, the respondents, never received a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single cent from the proceeds of sale of the estate. In 1991, they jointly instituted the suit in this case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against the appellant only. In view of the parties’ respective cases as canvassed at the trial and on appeals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in this Court and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Court below it was necessary, in my view, to refer to what they stated in their pleadings. The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respondents’ amended plaint stated,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 alia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“6. In the course of the administration of the said estate the defendant received on or about 9 May 1996, a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sum of Ushs83 995 560 for and on behalf of and on account of the plaintiffs, the said sum being part of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proceeds out of the sale by the defendant as administrator of the estate of late Francis Drake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Mayiga’s property comprised in leasehold register Volume 643 folio 18, plot 31, Kampala road,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Masaka municipality.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7. 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defendant in breach of his duties and obligations to the plaintiffs as administrator and trustees has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failed and/or ignored and/or refused to effect payment of the said sum to the plaintiffs, but has instead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converted the same to his (defendant) use and has thus caused each and every plaintiff to suffer loss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and damage and plaintiffs claim damages by reason thereof.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8. 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plaintiffs demand from the defendant payment of Ushs83 995 560 as money had and received for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and on behalf of and on account and in trust of the plaintiffs and which the defendant is not at all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entitled to keep for himself.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9. 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plaintiffs contend that whatever is complained of herein was carried out by the defendant’s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servants/agents/employees authorised agents acting in the course and within the scope of their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employment with the defendant and as such the defendant is vicariously liable by reason thereof . . 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Wherefor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it is prayed that judgment be entered for the plaintiffs against the defendant for:</w:t>
      </w:r>
    </w:p>
    <w:p w:rsidR="008767F7" w:rsidRPr="006124F0" w:rsidRDefault="006124F0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(a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) Principal sum of Ushs83 995 560 and in the alternative the proportionate present monetary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value of the plaintiffs’ interests in the said property.</w:t>
      </w:r>
    </w:p>
    <w:p w:rsidR="008767F7" w:rsidRPr="006124F0" w:rsidRDefault="006124F0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(b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) General damages for conversion. Interest on the sums in (</w:t>
      </w:r>
      <w:r w:rsidR="008767F7"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) above at the rate of 50% per annum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from 1 May 1996, till payment in full.</w:t>
      </w:r>
    </w:p>
    <w:p w:rsidR="008767F7" w:rsidRPr="006124F0" w:rsidRDefault="006124F0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(c</w:t>
      </w:r>
      <w:r>
        <w:rPr>
          <w:rFonts w:ascii="Times New Roman" w:hAnsi="Times New Roman" w:cs="Times New Roman"/>
          <w:color w:val="000000"/>
          <w:sz w:val="24"/>
          <w:szCs w:val="24"/>
        </w:rPr>
        <w:t>) C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osts of the suit.”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The gist of the appellant’s defence to the suit was set out in the following paragraphs of the written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statement of defence: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“5. The defendant states that this suit is misconceived and is bad in law so far as: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(i) The plaint discloses no cause of action.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(ii) The orders and declarations sought by the plaintiffs are the subject of criminal proceedings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against the defendant’s former employee Mr Lagara who acted fraudulently, illegally and out of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course of duties in converting and putting to his personal use money intended for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plaintiffs, see a copy of a report of the police investigation officer attached hereto and marked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annexure “A”.</w:t>
      </w:r>
    </w:p>
    <w:p w:rsidR="008767F7" w:rsidRPr="006124F0" w:rsidRDefault="006124F0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(iii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) The defendant has at all times material exercised due diligence and has never at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any time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been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negligent and/or been in breach of its duties and obligations.</w:t>
      </w:r>
    </w:p>
    <w:p w:rsidR="008767F7" w:rsidRPr="006124F0" w:rsidRDefault="006124F0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7. P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aragraph 5 is accepted insofar as it relates to the administration of the estate but the rest of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paragraph is denied and the plaintiffs will be put to strict proof thereof.</w:t>
      </w:r>
    </w:p>
    <w:p w:rsidR="008767F7" w:rsidRPr="006124F0" w:rsidRDefault="006124F0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8. P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aragraph 6 is denied and the plaintiffs will be put to strict proof thereof.</w:t>
      </w:r>
    </w:p>
    <w:p w:rsidR="008767F7" w:rsidRPr="006124F0" w:rsidRDefault="006124F0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 P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aragraph 7 is denied and the defendant shall aver in reply that he has exercised due diligence and has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never at any time been in breach of his duties and obligations and/or converted any money to his own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use.</w:t>
      </w:r>
    </w:p>
    <w:p w:rsidR="008767F7" w:rsidRPr="006124F0" w:rsidRDefault="006124F0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10. P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aragraph 8 is denied and the plaintiffs will be put to strict proof thereof.</w:t>
      </w:r>
    </w:p>
    <w:p w:rsidR="008767F7" w:rsidRPr="006124F0" w:rsidRDefault="006124F0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11. P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aragraph 9 is denied and the defendant avers in reply that never has he authorised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agents/servants/employees acting in the course of their employment performed any act or omission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rendering him vicariously liable and the plaintiffs will be put to strict proof thereof.”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About three years after the pleadings had closed the appellant applied for a third party notice to issue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against the bank. The purpose of the third party notice was to join the bank as a party to the suit and to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claim indemnity from it for the respondent’s money, which had been lost in the bank. The trial Judge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granted the application and the third party notice was served on the bank but it neither entered an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appearance nor filed a defence. The suit was therefore tried with only the appellant and the respondents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as parties to it. Three issues were agreed and framed at the commencement of the trial. They were: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“1. Whether the Administrator-General is responsible for the sale and distribution of the proceeds in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respect of the property comprised in leasehold register 643 folio 18, plot 311, Kampala road, Masaka.</w:t>
      </w:r>
    </w:p>
    <w:p w:rsidR="008767F7" w:rsidRPr="006124F0" w:rsidRDefault="006124F0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W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hether the Administrator-General is liable to pay the proceeds therefrom and or the proportionate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monetary value of the property to the plaintiffs.</w:t>
      </w:r>
    </w:p>
    <w:p w:rsidR="008767F7" w:rsidRPr="006124F0" w:rsidRDefault="006124F0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O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ther remedies if any to the plaintiff.”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learned trial Judge heard evidence from both parties. In her judgment, she answered the first and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second issues in the positive and ordered that the appellant should pay to the respondents: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The current value of US dollars equivalent to Ushs83 995 560;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Interest on the decretal sum at the rate of 6% per annum form 1 May 1986 till payment in full;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The costs of the suit.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The appellant’s subsequent appeal to the Court of Appeal was unsuccessful. That Court, however, varied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award of damages made by the learned trial Judge and ordered the appellant to pay to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respondents: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Ushs424 891 540 being the amount of money the respondents would have received if the original sum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of Ushs83 995 560 had been invested by the appellant in a fixed account at the interest rate of 10% per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annum for 17 years.</w:t>
      </w:r>
    </w:p>
    <w:p w:rsid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General damages of Ushs10 million for each of the ten respondents making a total of Ushs100 million.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Interest of 6% per annum on the decretal amount of Ushs524 891 540.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Cost of the suit in the High Court and of the appeal in the Court of Appeal.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This appeal is against that judgment.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There are three grounds of appeal, which are similar to those, which were argued for the appellant in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Court below.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The grounds are: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“1. The learned Justice of Appeal erred in law in upholding the trial Judge’s finding that there was no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evidence of negligence on the part of the Uganda Commercial Bank Limited when it accepted a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cheque drawn and clearly marked ‘pay the Administrator-General’ to be banked on a bankruptcy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account, which did not belong to the appellant.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learned Justices of Appeal erred in law in not holding Uganda Commercial Bank Limited liable to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indemnify the appellant for the loss he incurred.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learned Justices of Appeal misdirected themselves by applying a wrong formular in awarding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damages of Ushs524 891 540 which in the circumstances is excessive.”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The memorandum of appeal then prayed for orders that: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The judgments of the High Court and of the Court of Appeal be set aside.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The appellant be indemnified by the Uganda Commercial Bank Limited, for the loss it incurred.</w:t>
      </w:r>
    </w:p>
    <w:p w:rsidR="008767F7" w:rsidRPr="006124F0" w:rsidRDefault="006124F0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8767F7"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) The appellant be granted declarations that this Court deems fit under rule 1(3) of the Supreme Court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Rules.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The appellant be awarded the costs of this appeal and costs in the Courts below.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Both parties filed their respective arguments of the grounds of appeal. At the commencement of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hearing Mr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Francis Atoke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, Principal State Attorney, the counsel for the appellant filed a supplementary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record of appeal with leave of the Court. It was a short one, containing only the trial Court’s record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granting the appellant’s application for issue of a third party notice against the bank.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The appellant’s written arguments in support of the appeal were filed by the Administrator-General’s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department. The appellant’s submission regarding ground one reiterated the arguments on the ground one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of the appeal in the lower Court. The arguments are that the evidence adduced at the trial by the appellant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was sufficient to support a finding that the bank was negligent in allowing a cheque drawn in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appellant’s name to be banked on a different account; evidence was provided by a report dated 24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February 1994, complied by deputy superintendent of police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lastRenderedPageBreak/>
        <w:t>(DSP) JB Kaunda of Frauds CID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headquarters, who was not called as a witness. The report was listed as one of the agreed documents at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trial.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The second paragraph of the report by JB Kaunda, DSP is the most relevant to the appellant’s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submission. It states: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“Inquiries have shown that Mr Lagara banked the cheque on account number 3506 with UCB Kampala main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branch (Bankruptcy Estate) on which he (Lagara) and Mr JB Mukasa were the only signatories. It should be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noted that account number 3506 (Bankruptcy Estates) is for the Registrar-General of companies and has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nothing to do with the Administrator-General’s department. It should also be noted that the cheque in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question had the payee clearly marked: ‘credit Administrator-General’ and the bank should not have accepted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to credit this money on the account of a wrong payee that is bankruptcy estates.”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It is contended in the appellant’s submission that the CID report having been admitted in evidence by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agreement of both parties; section 57 of the Evidence Act applied to it. There was therefore no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requirement for the appellant to prove it by calling its author as a witness. Consequently, the CID report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should have been relied on by the Honourable Justices of Appeal in determining whether the bank was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negligent or not.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In view of the stated names of the payee of the cheque, the bank should have rejected payments of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cash out of the cheque over the counter since the cheque was marked “credit Administrator-General.” But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instead the bank paid some cash over the counter out of the cheque to Lagara and Mukasa until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money was exhausted.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It is further contended in the appellant’s submission that as Omara Obel (DW2) testified: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“the cheque was fraudulently banked on a different account . . . if it had been banked in the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Administrator-General’s account, cash would not have been withdrawn.”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The appellant relied on certain authorities in support of his case. These are: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Marrice Megrah and FK</w:t>
      </w:r>
      <w:r w:rsid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Ryder on Paget’s Law of Banking,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Butterworths (9ed) at 89-90, regarding a banker’s role in respect of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trust accounts;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Commissions of Taxation v English, Scottish and Australian Bank Limited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[1970] AC 683,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regarding the test of negligence;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AL Under Wood Limited v Bank of Liverpool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[1924] AC 776, in which a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sole director of a company banked cheques meant for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company on his private account to defraud the company’s bankers and the recipient bank did not query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the transaction and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House Property v London County and Westminister Bank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[1951] 84 LJ KB 1846.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The respondent’s written submission in opposition to the appellant’s submission was filed by Messrs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Lwere, Lwanyaga and Company Advocates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. On ground one of the appeal the respondent reiterated and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adopted their arguments in the High Court and the Court of Appeal, since it is contended that,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appellant’s ground is similar to the equivalent grounds of appeal in the Court below. The respondents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now contended that an answer to certain issues would effectively and completely dispose of all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arguments made in the appellant’s submission under ground one of the appeal.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The first is whether or not the bank was a party to the suit at the trial to the appeal in the Court below,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and to this appeal. The respondents contended that although the appellant applied for a third party notice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to issue against the bank, he omitted to take important steps to join the bank as a party to the suit. Nor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was the bank ever made a party to the first appeal. It would therefore be inconsequential for this Court to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find negligence on the part of the bank when it was not a party to the suit, to the first appeal and to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present one. I shall comment more on this point later when considering ground two of the appeal, to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which it is more relevant.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Secondly, it was not framed as an issue for determination of the trial Court whether or not the bank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was negligent in processing the cheque through account number 3506. Nor did the appellant apply to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trial Court under Order XIII, rule 1 of the Civil Procedure Rules to amend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agreed issues; or the trial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Court on its own motion amend the issues. The respondent’s contention therefore is that liability for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negligence cannot be found against the bank as it was not an issue at the trial.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Thirdly, whether or not the appellant adduced sufficient evidence or any evidence at all at the trial of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suit to prove that the Bank was negligent in the way it dealt with the suit cheque. According to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respondents, no such evidence was adduced by the appellant. On the contrary, evidence available proved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the plaintiff’s negligence. The suit cheque was paid on account number 3506, which also belonged to </w:t>
      </w:r>
      <w:r w:rsidR="006124F0" w:rsidRPr="006124F0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appellant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; exhibit D2, the Banks paying in slip, clearly stated “credit Administrator-General”. Whether or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not there was a mis-posting of the cheque, it is contended that this was not evidence of negligence on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part of the Bank. It was the appellant’s principal accountant, Lagara who banked the suit cheque on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account number 3506. Lagara had the authority as an officer of the appellant’s department to bank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cheque and did so in the course of his employment. If it was the wrong account and Lagara acted for his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own benefit or for the benefit of this employer in the course of his duty, his employer, the appellant was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vicariously liable for his action. See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Lloyd v Grace Smith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[1912] HL 716; and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Cassidy v Ministry of</w:t>
      </w:r>
      <w:r w:rsid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Health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[1951] 2 KB 343.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Fourthly, since both accounts 3506 and 3432 belonged to the appellant, it was not proved by evidence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whether cheques written “credit Administrator-General” could not be banked on the bankruptcy estate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account.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Fifthly, the appellant did not make a written complaint to the bank about the cheque having been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banked on account number 3506 if indeed it was the wrong account. The cheque was banked on 13 May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1986, and money was withdrawn by Lagara and Mukasa for a period of two years, up to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March/April 1988. The respondents continued to check on the appellant during this period but were not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informed of what had happened to the suit cheque. This means that the appellant could not have been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ignorant of what had happened to the cheque. The beneficiaries of a trust fund, like the respondents in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the instant case, are entitled to information relating to documents concerning the trust account. See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</w:t>
      </w:r>
      <w:r w:rsid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Londonderry Settlement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[1964] 3 All ER 855.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Regarding the CID report written by Kaunda DSP number five on the list of agreed documents, it is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contended for the respondents that the report did not prove negligence on the part of the Bank.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Documents merely agreed upon during the scheduling conference of a trial are not by themselves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admissions within the meaning of section 57 of the Evidence Act. They are documents, which the parties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have agreed to rely on during the trial. It is still left to the parties to adduce evidence on such documents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because they have been admitted in evidence as exhibits.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It is contended that the learned Justices of Appeal were correct in rejecting the CID report dated 24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February 1994.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Finally, on ground one the respondents submitted that as this is a second appeal from the judgment of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first appeal Court upholding the trial Court’s finding of fact, it is contended that this Court, as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second appellate Court should not interfere with the finding of fact unless it is established that the first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appellate Court failed, in effect, to consider and weigh the evidence and further that the failure of the first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appellate Court to evaluate the evidence is clearly apparent from the wording of its judgment.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respondents contended that in the instant case, the Justices of the Court of Appeal clearly and carefully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weighed the evidence on record before they came to their conclusions. The Honourable Justices neither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erred nor misdirected themselves when re-evaluating the evidence on record. See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Shantila Manaklal</w:t>
      </w:r>
      <w:r w:rsid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Ruwala v R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[1957] EA 570.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respondents then prayed that this Court should disallow ground one of appeal.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In the Court of Appeal, Twinomujuni JA wrote the lead judgment, with which the other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lastRenderedPageBreak/>
        <w:t>two members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of the Court agreed. He dealt with the appellant’s contention that the bank should have been found to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have been negligent this way: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“The central issue in this ground of appeal is whether bankruptcy account number 3506 belonged to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appellant or not. The appellant relies on a documentary report, which appears on the record of appeal as an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investigation report of DSP JB Kaunda. The document is dated 24 February 1994. It is not marked as a Court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exhibit and DSP Kaunda did not give evidence in Court. The report suggest that the account number 3506 did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not belong to the Administrator-General but to the Registrar-General: it does not explain, however, how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Lawrence Lagara and JB Mukasa both of whom were accountants of the appellant could have been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signatories of the account. In my view, the report has no evidential value and its contents which were not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testified in Court cannot be relied upon.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The learned trial Judge did not make a specific finding on the matter. However, there is the evidence of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DW3. Deputy Assistant superintendent of police (DASSP) AP Omara which though contradictory on the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issue states, under cross-examination that ‘this account was called bankruptcy estate. It was not an account of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Administrator-General as earlier stated.’ This version is corroborated by an earlier report he had made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after investigation in 1988 (exhibit D1) where he stated: ‘The same cheque</w:t>
      </w:r>
      <w:r w:rsidR="00612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was fraudulently banked by Lawrence Lagara on 12 May 1986, on account number 3506 bankruptcy estate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instead of account number 3432 Administrator-General. Although both accounts belong to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Administrator-General, it would be in order if the cheque was deposited on account number 3432.’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version of DASSP Omara (DW3) is further corroborated by the undisputed fact that Lawrence Lagara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and JB Mukasa were both accountants of the Administrator-General. An examination of the account 3506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(exhibit D4) shows that it was a busy account where huge sums of money were being transacted. It was being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operated by Lagara and Mukasa. The appellant never called any evidence to prove that the account was not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being operated on its behalf or that it belonged to the Registrar-General as it was being suggested. I agree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with counsel for the respondents that the trial Judge did not hold that UCB was not negligent. It was not a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framed issue. She held however, that she did not find evidence of negligence on its part. There is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overwhelming evidence showing that account number 3506 belonged to the appellant. Although it is remotely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possible that Lagara and Mukasa could have opened it without authority of the appellant, an examination of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account disproves the hypotheses. Moreover the appellant could have easily disowned the account by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producing evidence to the contrary.”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This passage of the judgment in my opinion clearly indicates that the learned Justice of Appeal, as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first appellate Court, re-evaluated the evidence on record, as they were bound to do, and reached their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own conclusions to the effect that account number 3506 belonged to the appellant and that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respondents did not receive their money banked on the account number 3506, due to the action of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appellant’s employees, Lagara and Mukasa. The appellant is vicariously liable for the conduct of his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employees in this matter. Whether the appellant’s employees in question acted negligently or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fraudulently within the scope of their employment, the appellant was liable to the respondents for their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action: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Lloyd v Grade Smith and Company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[1912] AC 716 (HL).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Court of Appeal’s conclusions, in my opinion, are justified. The conclusions also agreed with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points made by the appellants in its submissions on ground one of the appeal and are consistent with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arguments made in the respondent’s submission in opposition to the same ground of appeal.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Like the learned trial Judge, the learned Justice of Appeal did not find, rightly in my view, that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bank was negligent, because the appellant did not prove such negligence on the part of the bank.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It is a well-settled legal principle, embodied in rule 29(1) of the Court of Appeal Rules,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lastRenderedPageBreak/>
        <w:t>that on a first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appeal, the parties are entitled to obtain from the appeal Court its own decision on issues of fact as well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as of law. Although in a case of conflicting evidence the appeal Court has to make due allowance for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fact that it has neither seen nor heard the witnesses. It must weigh the conflicting evidence and draw its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own inferences and conclusions: See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Coghland v Cumberland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[1898] 1 Ch 704 (CA); and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Pandya v</w:t>
      </w:r>
      <w:r w:rsidR="0070199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Republic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[1957] EA 336. The authorities also state that a second appellate Court will not interfere with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findings of fact by the first appellate Court. It will do so only where the first appellate Court has erred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in law in that it has not treated the evidence as a whole to that fresh and exhaustive scrutiny which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appellant was entitled to expect. See also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Shartilal Manaklal Ruwala v R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supra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Kifamunte Henry v</w:t>
      </w:r>
      <w:r w:rsidR="0070199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Uganda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[1999] 2 EA and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Bogere Moses v Uganda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criminal appeal number 1 of 1997 (SCU)(UR).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In the instant case, I am unable to fault the Court of Appeal in what it did as a first appellate Court in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its re-appraisal of the evidence.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The appellant relied on certain authorities in support of his arguments on ground one. Regarding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Maurice Megrah and FK Ryder on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Paget’s Law of Banking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supra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the appellant contended that the bank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ought to have known that the Administrator-General’s account was a trust account. As these were trust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funds the bank would be held liable for parting with the money to a third person, even on a cheque if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circumstances were such that it could have known it constituted a misapplication of the funds, albeit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without personal benefit to the Bank. In my view that statement of the law is not relevant to the instant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case, because the cheque was paid in the appellant’s account and withdrawn by the appellant’s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employees. The bank did not pay the monies to a third party.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I am unable to find all the decided cases in the law reports cited in the appellant’s submission.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Consequently, I am unable to comment on them.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In the circumstances ground one of the appeal should fail.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Ground two of the appeal, in my view, is really the same as ground one, except that it is worded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slightly differently. For that reason the appellant’s arguments in his submission in support thereof appear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to be repetitions of the arguments it made in respect of ground one. The arguments were also well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considered by the Court of Appeal. In the circumstances, I think that the reasons and conclusions I have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made in this judgment regarding ground one equally apply to the second ground. I shall, however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comment only briefly for the sake of clarification on the issue of the third party notice which the trial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Court granted on the appellant’s application.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The appellant contends that by virtue of the third party notice, the bank should have been held liable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for loss of the respondent’s money, which they did not receive.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The third party notice was issued under rule 14 of Order I of the Civil Procedure Rules. It was issued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against Mr Lagara and the Bank. The grounds of the third party notice were that: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“(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The defendant claims to be indemnified by the third parties against liability because the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Administrator-General has never either himself and/or through his authorised agents/servants received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any money from anybody and converted the same to his use.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It was Mr Lagara and the Uganda Commercial Bank who received and converted to their use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money mentioned in the plaint.”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According to the affidavit of service, only the Bank was served with the third party notice. Lagara was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not. The Bank did not enter appearance, nor file a defence. In the result, under the provisions of rule 15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of Order I of the Civil Procedure Rules, the Bank was deemed to admit the validity of the decree obtained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against the Administrator-General as the defendant and the Bank’s own liability to contribute or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indemnify, as the case may be, to the extent claimed in the third party notice.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Bank having defaulted in entering appearance, it appears that the appellant could have proceeded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under rules 16 and 17 of Order I of the Civil Procedure Rules to obtain the remedy of indemnity </w:t>
      </w:r>
      <w:r w:rsidR="0070199A" w:rsidRPr="006124F0">
        <w:rPr>
          <w:rFonts w:ascii="Times New Roman" w:hAnsi="Times New Roman" w:cs="Times New Roman"/>
          <w:color w:val="000000"/>
          <w:sz w:val="24"/>
          <w:szCs w:val="24"/>
        </w:rPr>
        <w:t>against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 bank, but it has not. Maybe it is not yet too late for the appellant to c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onsider doing so. This is only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suggestion for it to consider in its absolute discretion.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In the circumstances, the second ground of appeal should also fail.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On the third ground of appeal the appellant’s submission is that the learned Justices of Appeal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misdirected themselves by applying a wrong formula called Future Value Interest Factor (FVIF), and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awarded damages which were excessive. The interest rate of 10% on which the formula was based was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too high. Further the Currency Reform Statute should have applied to the principal sum payable to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respondents by a reduction of two zeros therefrom. It is also submitted for the appellant that the award of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Ushs100 million to the respondents as general damages was too excessive. It is contended that award of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damages should have been to put the aggrieved parties in the position in which they should have been,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had it not been for the wrong they had suffered, but not to make profit out of their misfortune.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Under the third ground of appeal the respondents’ advocates submitted that the award to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respondents of Ushs424 891 540 by the Court of Appeal was not excessive. The formula which the Court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of Appeal relied on reaching that figure, namely “Future Value Interest Factor (FVIF)” is scientifically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calculated and can be accessed on computer Processed Finance Tables. Since this is a matter which can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be scientifically proved the respondent’s advocates urged us to take judicial notice of it under sections 54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and 55(2) of the Evidence Act, and apply the formula and the rate of interest of 10% per annum as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Court of Appeal did. The respondent’s advocates submitted that the provisions of the Currency Reform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Statute 1987, do not apply to the instant case. Firstly, because it was a temporary legislation and not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meant to have permanent status. That is why it was subsequently repealed in 2000. Secondly, because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section 2 of the statute related to transactions after the statute came into force, not before that. In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instant case when the statute came into force, on 15 May 1987, the respondent’s money had already been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misappropriated. Thirdly an application of the Currency Reform Statute would have reduced the amount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of Ushs83 995 560 which had been due to the respondents to Ushs839 956. This would have resulted in a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travesty of justice and would have caused great injustice to the respondents, many of whom were minors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at the time their interest was abused by the appellant.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The Court of Appeal held the view that the provisions of the Currency Reform Statute (repealed) did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not apply to the instant case. I agree with that view.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It is trite law that an appellate Court should not interfere with an award of damages by a trial Court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unless the award is based on an incorrect principle or is manifestly too low or too high. In the instant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case, the learned Justice of Appeal interfered with the award of damages by the trial Court and awarded a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lower figure. Be that as it may, my opinion is that the sum Ushs424 891 540, representing the purchase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price of Ushs93 995 560 of the commercial building, which the appellant should have paid to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respondents is still excessive. This state of affairs arose because the honourable Justices of Appeal used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FVIF formula in assessing what should be awarded to the respondents. In my view, the respondents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would be fairly compensated if the award to them was assessed by subjecting the sum of UShs93 995 560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to a factor of 10% per annum at simple interest for the period of 17 years. This is the period from 1986,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when the suit cheque was paid to the appellant’s account to May 2003, when the Court of Appeal varied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trial Court’s award of damages to the respondents. This plus the principal would yield the amount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payable under this item to Ushs226 788 012 (of which Ushs142 792 452 is accrued interest).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The award of general damages of Ushs10 million to each of the respondents, making a total of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lastRenderedPageBreak/>
        <w:t>Ushs100 million, awarded by the Court of Appeal to all the respondents was, in my opinion fair in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circumstances of the case. It is not excessive. I would not interfere with that item of the award. In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result I would make a total award of Ushs326 788 012, payable to the respondents. This sum should carry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interest at 6% (the Court rate) from 7 July 2003, the date of the Court of Appeal judgment till payment in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full. The third ground of appeal should, therefore succeed.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In the result, this appeal should partially succeed. I would set aside the orders of the Court of Appeal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and substitute them with the following: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The appellant should pay to the respondents Ushs326 788 012, plus interest at 6% from 7 July 2003,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until payment in full.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The respondents should have three quarters of the cost of this appeal and of the costs in the trial Court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and the Court of Appeal.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Tsekooko JSC: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 have had the advantage of reading in draft the judgment prepared by my learned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brother, the honourable Oder JSC, and I agree with the orders he has proposed in his judgment.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Because of the opinion of Justice Twinomujuni JA regarding the evidential value of a report compiled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by DSP JB Kaunda, I would like to say something on the essence of the holding of a scheduling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conference before trial in civil suits and the consequence of agreements or disagreements reached on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certain matters by parties at such scheduling conference.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In the Court below, the honourable Mr Justice Twinomujuni JA wrote the lead judgment with which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other members of the Court concurred. While discussing submissions made on the first ground of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appeal, the learned Justice of Appeal referred to a document dated 24 February 1994 compiled by DSP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JB Kaunda, of CID, Frauds section, which was among the documents agreed upon on 4 November 1999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between the parties at the scheduling conference that was prescribed over by the learned trial Judge,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Bbossa J. In his judgment, the learned Justice of Appeal referred to the document in the following words: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“It is not marked as a Court exhibit and DSP Kaunda did not give evidence in Court. The report suggested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that the account number 3506 did not belong to the Administrator-General but to the Registrar-General. It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does not explain, however, Lawrence Lagara and JB Mukasa both of whom were accountants of the appellant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could have been signatories of the account. In my view, the report has no evidential value and its contents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which were not tested in Court cannot be relied upon.”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With the greatest respect to the learned Justice of Appeal, I think that this was a misdirection on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evidence. As a matter of fact the document was admitted in evidence during the scheduling conference as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part of “agreed documents” number five entitled: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“A report from the criminal investigation department police headquarters reference CID/8/Fraud dated 7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March 1994.”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report was sent by the CID Headquarters to the Administrator-General, (the appellant) under cover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of letter reference CID/8/FRAUD dated 7 March 1994 to which that report was attached as stated in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first paragraph of the said letter. The trial Court record shows that at the scheduling conference, five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documents were admitted and the trial judge numbered them as exhibits “1 to 5”. A scrutiny of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numbering of the “agreed documents” shows that the said covering letter together with the report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constitute exhibit 5.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I would like to point out that the scheduling conference must have been held in accordance with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requirements of Order XB, rule 1 of the Civil Procedure Rules. As far as relevant, that rule states: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“1 (1) 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Within seven days after the order on delivery of interrogatories and discoveries has been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made under rule 1 of Order X; or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) Where no application for interrogatories and discoveries has been made under rule 1 of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Order X, then within twenty-eight days from the date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lastRenderedPageBreak/>
        <w:t>of the last reply or rejoinder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referred to in subrule (5) of rule 18 of Order VIII,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Court shall hold a scheduling conference to sort out points of agreement and disagreement,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possibility of mediation, arbitration and any other form of settlement . . .”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( 2) W here the parties reached an agreement, orders shall immediately be made in accordance with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rules 6 and 7 of Order XIII.”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 xml:space="preserve">Rules 6 and 7 of Order XIII empower a Court to, </w:t>
      </w: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 alia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, frame issues on agreed matters and enter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judgment after due trial.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As I understand these provisions, their purpose is to enable parties to agree on non-contentious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evidence such as facts and documents. The agreed facts and documents thereafter become part of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evidence on record so that they are evaluated along with the rest of the evidence before judgment is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given.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Indeed in as much as they are admitted without contest, the contents of such admitted documents can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be treated as truth, unless those contents intrinsically point to the contrary, and if they are relevant to any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issue, their admission disposes of that issue because the need for its proof or disproof would have been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disposed of by the fact of admission. Having perused the report of DSP Kaunda, I cannot say that that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report had no evidential value. The trial Judge may have omitted to pronounce herself on the report but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that cannot be a basis for an appellate Court to ignore such evidence.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Fortunately, in this appeal, even if the report was taken into account as evidence, it would not affect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the result of our decision. The pity of it, of course, is that the Administrator-General’s officers, for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unclear reasons, chose to be lukewarm about the role of the Uganda Commercial Bank in the scam of the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diversion of such colossal sums of money. I will not go beyond the opinion expressed in his judgment by</w:t>
      </w:r>
      <w:r w:rsidR="00701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4F0">
        <w:rPr>
          <w:rFonts w:ascii="Times New Roman" w:hAnsi="Times New Roman" w:cs="Times New Roman"/>
          <w:color w:val="000000"/>
          <w:sz w:val="24"/>
          <w:szCs w:val="24"/>
        </w:rPr>
        <w:t>Oder JSC, on the point of how the appellant can go about the matter.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Odoki CJ, Karokora and Kanyeihamba concurred in the judgment of Oder JSC.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For the appellant:</w:t>
      </w:r>
    </w:p>
    <w:p w:rsidR="008767F7" w:rsidRPr="006124F0" w:rsidRDefault="00D10174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Mr F </w:t>
      </w:r>
      <w:bookmarkStart w:id="0" w:name="_GoBack"/>
      <w:bookmarkEnd w:id="0"/>
      <w:r w:rsidR="008767F7"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Atoke </w:t>
      </w:r>
      <w:r w:rsidR="008767F7" w:rsidRPr="006124F0">
        <w:rPr>
          <w:rFonts w:ascii="Times New Roman" w:hAnsi="Times New Roman" w:cs="Times New Roman"/>
          <w:color w:val="000000"/>
          <w:sz w:val="24"/>
          <w:szCs w:val="24"/>
        </w:rPr>
        <w:t>Principal State Attorney</w:t>
      </w:r>
    </w:p>
    <w:p w:rsidR="008767F7" w:rsidRPr="006124F0" w:rsidRDefault="008767F7" w:rsidP="00876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4F0">
        <w:rPr>
          <w:rFonts w:ascii="Times New Roman" w:hAnsi="Times New Roman" w:cs="Times New Roman"/>
          <w:color w:val="000000"/>
          <w:sz w:val="24"/>
          <w:szCs w:val="24"/>
        </w:rPr>
        <w:t>For the respondent:</w:t>
      </w:r>
    </w:p>
    <w:p w:rsidR="0079295A" w:rsidRPr="006124F0" w:rsidRDefault="008767F7" w:rsidP="008767F7">
      <w:pPr>
        <w:rPr>
          <w:sz w:val="24"/>
          <w:szCs w:val="24"/>
        </w:rPr>
      </w:pPr>
      <w:r w:rsidRPr="006124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Lwere, Lwanyaga and Co</w:t>
      </w:r>
    </w:p>
    <w:sectPr w:rsidR="0079295A" w:rsidRPr="0061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F7"/>
    <w:rsid w:val="006124F0"/>
    <w:rsid w:val="006E68BA"/>
    <w:rsid w:val="0070199A"/>
    <w:rsid w:val="0079295A"/>
    <w:rsid w:val="008767F7"/>
    <w:rsid w:val="00D1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35965-4F6A-492C-9716-8AB2E90C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5428</Words>
  <Characters>30941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2018-07-05T05:39:00Z</dcterms:created>
  <dcterms:modified xsi:type="dcterms:W3CDTF">2018-07-09T08:23:00Z</dcterms:modified>
</cp:coreProperties>
</file>