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65" w:rsidRPr="006B1266" w:rsidRDefault="006B1266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80"/>
          <w:sz w:val="24"/>
          <w:szCs w:val="24"/>
        </w:rPr>
        <w:t>ATTORNEY-GENERAL V RWANYARARE AND OTHERS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Supreme Court of Uganda at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Mengo</w:t>
      </w:r>
      <w:proofErr w:type="spellEnd"/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Judgment: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21 April 2004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2/03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Odoki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CJ, Oder,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Tsekooko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Karokora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Mulenga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Kanyeihamba</w:t>
      </w:r>
      <w:proofErr w:type="spellEnd"/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and Kato JJSC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Kibanga</w:t>
      </w:r>
      <w:proofErr w:type="spellEnd"/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 Statute law – Act of Parliament – When an Act of Parliament comes into force – When an Act of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Parliament breaches the Constitution – What determines the date of commencement of a statute.</w:t>
      </w:r>
    </w:p>
    <w:p w:rsidR="006B1266" w:rsidRDefault="006B1266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C7465" w:rsidRPr="006B1266" w:rsidRDefault="006B1266" w:rsidP="006B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6B1266" w:rsidRPr="006B1266" w:rsidRDefault="006B1266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ODOKI CJ, ODER, TSEKOOKO, KAROKORA, MULENGA, KANYEIHAMBA AND KATO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JJSC: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This is an interlocutory appeal arising from the ruling of the Constitutional Court which rejected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Attorney-General’s objection to the competence of constitutional petition number 7 of 2002. The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Attorney-General is the respondent in the petition.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background to this appeal is brief. In May 2002, the Parliament of Uganda enacted the Political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Parties and Organisations Act of 2002 (hereinafter called the PPOA). The President assented to it on 2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June 2002. It was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gazetted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on 17 July 2002.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James Rwanyarare and the other nine respondents felt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aggrieved by some of its provisions. So on 31 July 2002, they instituted the petition in the Constitutional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Court seeking for a variety of declarations. But the main ground was that the PPOA is inconsistent with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and in contravention of the Constitution. The Attorney-General filed an answer to the petition and in that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answer raised some points of law concerning the competence of the petition.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In the Constitutional Court, the Attorney-General filed a notice of motion (miscellaneous application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number 3 of 2002), under rules 4 and 13 of the Rules of the Constitutional Court (Petitions for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Declarations under Article 137 of the Constitution) Directions of 1996 and Order 6 rules 27 and 28 and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Order 48 rule 1 of Civil Procedure Rules (CPR). By the motion the Attorney-General moved the Court to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hear and determine legal issues he raised in his answer, the substance of which was that the petition was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filed out of time.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Attorney-General anticipated that if the preliminary points of law were upheld by the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Constitutional Court, the petition would be disposed of without hearing it on merit.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Constitutional Court heard and dismissed the application on grounds that the petition filed on 31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July 2002 was filed in time and that, therefore, the petition was competent. The Attorney-General has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now appealed against that ruling and his memorandum of appeal contains three grounds. The respondents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filed a notice of grounds of affirming the decision of the Constitutional Court pursuant to rule 87 of the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Rules of this Court.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Joseph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prosecuted the appeal on behalf of the Attorney-General. The respondents’ lead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counsel is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Peter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Walubiri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. He was assisted by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Messrs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Kiyemba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-Mutale J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Matovu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and Yusuf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Nsibambi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three grounds of appeal revolve around one and the same point namely whether or not the petition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was filed in time. However, the learned principal State Attorney argued the grounds separately.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first and second grounds which can conveniently be considered together are framed this way:</w:t>
      </w:r>
    </w:p>
    <w:p w:rsid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Learned Judges of the Constitutional Court erred in law and in fact in holding that the thirty days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of limitation under Legal Notice number 4 of 1996 begins to run from the date of perception of the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breach of the Constitution complained of: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6B1266" w:rsidRPr="006B126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Learned Judges of the Constitutional Court erred in law and in fact in holding that the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constitutional petition number 7 of 2002 was not time barred.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When arguing these two grounds,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submitted substantially the same arguments which were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raised by the Attorney-General and his team in the Court below.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referred to the Acts of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Parliament Act (Chapter 2) and to Legal Notice number 4 of 1996 whose rule 4 provides that a petition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shall be filed within 30 days. He opined that a Bill of Parliament becomes law on the day it is assented to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by the President, but not when it becomes operational. He therefore contended that PPOA became law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when it received Presidential Assent on 2 June 2002 and not on 17 July 2002 when it was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gazetted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submitted that the period of 30 days began to run from the date of the breach of the Constitution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complained of. He further contended that if the PPOA breached the constitution, it did so upon becoming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law. He also contended that breach of the Constitution and perception of a breach of the Constitution are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two different things. He argued that rule 4 of Legal Notice number 4 of 1996 does not curtail human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rights. We understood him to also submit that the petitioners did not plead, as required by Order 7 of the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Civil Procedure Rules, circumstances which show that the petition is exempt from the 30 days limitation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period.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Walubiri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for the respondents, supported the decision of the Constitutional Court. According to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him, the critical issue to address in this appeal is whether under rule 4(1) of the legal notice, 30 days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begin to run on the date of presidential assent to the bill or from the date of publication of the bill in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Uganda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 Learned counsel referred to passages in the ruling of the Constitutional Court and to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various sections of (Chapter 2) which set out a scheme of how a law is made in Uganda. He pointed out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that under Article 91(8) of the Constitution, publication of an Act of Parliament is a constitutional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requirement. Under section 19(2) of (Chapter 2), any Act of Parliament is judiciary notice upon being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gazetted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and in this case the PPOA was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gazetted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on 17 July 2002 which is the date of its commencement.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He argued that therefore by filing the petition on 31 July 2002, the respondent lodged it in court within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prescribed time.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With respect, we are not at all persuaded by the arguments of the Learned Principal State Attorney.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Article 91(8) of the Constitution and the provisions of (Chapter 2) and of PPOA support the position that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petition was indeed instituted in time.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In the ruling from which this appeal arose, the Constitutional Court posed the question. “When does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perception that an Act of Parliament has breached the Constitution take place?”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Court then put forward the following five possible alternative answers: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) As soon as the President assents to the bill;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) On the date designated by the Act </w:t>
      </w:r>
      <w:proofErr w:type="gram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itself</w:t>
      </w:r>
      <w:proofErr w:type="gram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as the commencement date.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) On the date the Act is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gazetted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) On the date the petitioner actually becomes aware of the existence of the law; and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) On the day the petitioner actually becomes aware that the law breaches the constitution.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Learned Justices of the Constitutional Court then held correctly, in our opinion, that in the instant</w:t>
      </w:r>
      <w:r w:rsid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case, section 15 (now section 14) of (Chapter 2) provides the answer. The section is produced on the next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page in this judgment. Before dismissing the objection, the Court cited that section and concluded its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ruling with the following words: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“In the instant case and on its own facts, we hold that the petitioners ought to have perceived of the breach of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the Constitution allegedly posed by the Political Parties and Organisations Act on 17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lastRenderedPageBreak/>
        <w:t>July 2002. They had up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to around 16 August 2002 to file the petition. On 31 July 2002 when they filed the petition they were clearly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in time and the petition is therefore competent.”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We are unable to find any fault with this conclusion and we find no sound foundation upon which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contended that the Court erred when it held that the petitioners ought to have perceived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breach on 17 July 2002.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Article 91 regulates the exercise of legislative power. In terms of clause (8) of the Article,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“A bill passed by Parliament and assented to by the President ... shall be an Act of Parliament and shall be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published in the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This provision shows that the process of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gazetting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an Act of Parliament is a constitutional requirement.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The purpose and reasons for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gazetting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an Act of Parliament are set out in (Chapter 2). In its various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sections, (Chapter 2) in Part II thereof, sets out forms of Acts of Parliament and Bills. In Part III, its sets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out the procedure to be followed in passing Bills. Subsections (1) and (2) of section 14 refer to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commencement of an Act. These read as follows: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“(1) Subject to this section, the commencement of an Act shall be such date as is provided in or under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Act, or where no date is provided, the date of its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publication as notified in the 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(2) Every Act shall be deemed to come into force at the first moment of the day of commencement.”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emphasis</w:t>
      </w:r>
      <w:proofErr w:type="gram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supplied).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Clearly, according to these provisions, an ordinary Act of Parliament passed following the normal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parliamentary law enacting process, becomes a law when it is assented to by the President. We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understand subsection (2) to imply that a law is as good as a dead law until the day upon which it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becomes enforceable. A dead law cannot breach a constitution. And the date to start enforcement of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law is the date of commencement which may be set out in the Act itself or upon publication of the Act in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 In our view, the provisions of subsections (4) and (5) further clarify the time of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commencement of an Act of Parliament for these provisions state: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(4) When an Act is made with retrospective effect, the commencement of the Act be the date from which it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is given or deemed to be given that effect.</w:t>
      </w:r>
    </w:p>
    <w:p w:rsidR="00DC7465" w:rsidRPr="006B1266" w:rsidRDefault="00805BF4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465"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(5) Subsection (4) shall not apply to an Act until there is notification in the </w:t>
      </w:r>
      <w:r w:rsidR="00DC7465"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 </w:t>
      </w:r>
      <w:r w:rsidR="00DC7465" w:rsidRPr="006B1266">
        <w:rPr>
          <w:rFonts w:ascii="Times New Roman" w:hAnsi="Times New Roman" w:cs="Times New Roman"/>
          <w:color w:val="000000"/>
          <w:sz w:val="24"/>
          <w:szCs w:val="24"/>
        </w:rPr>
        <w:t>as to the date of its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465" w:rsidRPr="006B1266">
        <w:rPr>
          <w:rFonts w:ascii="Times New Roman" w:hAnsi="Times New Roman" w:cs="Times New Roman"/>
          <w:color w:val="000000"/>
          <w:sz w:val="24"/>
          <w:szCs w:val="24"/>
        </w:rPr>
        <w:t>publication: and until that date is specified, the Act shall be without effect.”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These provisions re inforce the view that an Act becomes operational either on a date specified by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Act itself or upon notification in the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 Where an Act itself stipulates that it will come into force on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day of presidential assent, an Act comes into force on the day on which it receives presidential assent.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In the present case both the date of presidential assent and the date of commencement are printed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clearly in the Act itself as 2 June 2002 and 17 July 2002 respectively. Therefore, the Constitutional Court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was absolutely right in holding that the petition, which by virtue of rule 4(1), was expected to be filed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within 30 days from 18 July 2002 was filed within time because it was lodged in Court on 31 July 2002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that is to say 14 days after the 30 days begun running.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contention that the Constitutional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Court erred either in law or in fact in so holding has no foundation whatsoever. Article 91(1) of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Constitution and sections 9(2), 19(2) and 20(1) of (Chapter 2) upon which he relied on do not support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any of his arguments that the petition was filed out of time. There was therefore no need for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respondents to plead circumstances of exemption as required by Order 7, rule 6 of Civil Procedure Rule.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Accordingly grounds 1 and 2 must fail.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This conclusion would dispose of this appeal. We will, however, discuss ground 3 which is framed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this way: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Learned Judges of the Constitutional Court erred in law and in fact in holding that the petitioners ought to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have perceived the breach of the Constitution on the date of publication of the Political Parties and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Organisations Act of 2002.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effect of this complaint is no different from that in the first ground.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referred us to the conclusions of the ruling of the Constitutional Court and contended that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the Court speculated. Earlier in this judgment we pointed out the substance of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Walubiri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arguments.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In summary learned counsel supported the reasoning and conclusions of the Constitutional Court.</w:t>
      </w:r>
    </w:p>
    <w:p w:rsidR="00DC7465" w:rsidRPr="00805BF4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We have already reproduced the portion of the ruling of the Constitutional Court which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="00805B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described as speculative. For the sake of easy reference we quote it again: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“In the instant case and on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own facts, we hold that the petitioners ought to have perceived of the breach of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the Constitution allegedly posed by the Political Parties and Organisations Act on 17 July 2002”.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The description of this passage by </w:t>
      </w:r>
      <w:proofErr w:type="spell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as speculative is with respect, wholly wrong and without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any basis whatsoever. The provisions of (Chapter 2) to which we have referred, more especially sections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13 and 14, are clear on the purpose of publication and on the date of commencement of an Act of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Parliament.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purpose of publication is to let everybody be aware of the terms of the Act, its number and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date of presidential assent (section 13(2)). Commencement date appears either in the Act itself or is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notified in the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(section 13(1</w:t>
      </w:r>
      <w:proofErr w:type="gramStart"/>
      <w:r w:rsidRPr="006B1266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)). The PPOA itself mentions the date of commencement as 17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July 2002. The Act was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gazetted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on the same day. The presumption is that upon publication everybody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becomes aware of the commencement of the law. So where did the Court err either in law or in fact when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it concluded that the petitioners should have perceived the alleged breach of the Constitution by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17 July 2002? Obviously, that is the day when the petitioners are presumed to have become aware of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existence and the terms of the law. Or they become aware on 23 July 2002 after reading the </w:t>
      </w:r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Court never speculated and ground three must, therefore, fail.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Because of the conclusions we have reached on the three grounds, we do not find it necessary to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discuss the contents in the notice of grounds for affirming the decision of the Constitutional Court and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arguments thereon. In conclusion we dismiss this appeal and order that costs of the appeal will abide the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trial of the petition.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The respondent asked for certificate for two counsel. We are not persuaded that this is an appeal in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>which to make such an order. Costs will be for only one counsel.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We direct that the hearing of the petition in the Constitutional Court proceeds expeditiously as</w:t>
      </w:r>
      <w:r w:rsidR="00805B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6B1266">
        <w:rPr>
          <w:rFonts w:ascii="Times New Roman" w:hAnsi="Times New Roman" w:cs="Times New Roman"/>
          <w:color w:val="000000"/>
          <w:sz w:val="24"/>
          <w:szCs w:val="24"/>
        </w:rPr>
        <w:t>required by rule 10 of Legal Notice number 4 of 1996.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For the Attorney-General:</w:t>
      </w:r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</w:p>
    <w:p w:rsidR="00DC7465" w:rsidRPr="006B1266" w:rsidRDefault="00DC7465" w:rsidP="006B12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266">
        <w:rPr>
          <w:rFonts w:ascii="Times New Roman" w:hAnsi="Times New Roman" w:cs="Times New Roman"/>
          <w:color w:val="000000"/>
          <w:sz w:val="24"/>
          <w:szCs w:val="24"/>
        </w:rPr>
        <w:t>For the respondents:</w:t>
      </w:r>
    </w:p>
    <w:p w:rsidR="00E97396" w:rsidRPr="006B1266" w:rsidRDefault="00DC7465" w:rsidP="006B1266">
      <w:pPr>
        <w:jc w:val="both"/>
        <w:rPr>
          <w:sz w:val="24"/>
          <w:szCs w:val="24"/>
        </w:rPr>
      </w:pP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PM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Walubiri</w:t>
      </w:r>
      <w:proofErr w:type="spell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B1266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Kwesigabo</w:t>
      </w:r>
      <w:proofErr w:type="gram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,Bamwine</w:t>
      </w:r>
      <w:proofErr w:type="spellEnd"/>
      <w:proofErr w:type="gramEnd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&amp; </w:t>
      </w:r>
      <w:proofErr w:type="spellStart"/>
      <w:r w:rsidRPr="006B12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Walubiri</w:t>
      </w:r>
      <w:proofErr w:type="spellEnd"/>
    </w:p>
    <w:sectPr w:rsidR="00E97396" w:rsidRPr="006B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65"/>
    <w:rsid w:val="006B1266"/>
    <w:rsid w:val="00805BF4"/>
    <w:rsid w:val="00DC7465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5B0C4-D5FD-4545-82EA-5FFD23E3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2018-07-03T13:13:00Z</dcterms:created>
  <dcterms:modified xsi:type="dcterms:W3CDTF">2018-07-09T09:03:00Z</dcterms:modified>
</cp:coreProperties>
</file>