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F2C" w:rsidRDefault="00AE2F81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AGA KHAN EDUCATION SERVICE KENYA V REPUBLIC AND OTHERS</w:t>
      </w:r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19 March 2004</w:t>
      </w:r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257/03</w:t>
      </w:r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Judicial review – </w:t>
      </w:r>
      <w:r>
        <w:rPr>
          <w:rFonts w:ascii="Times New Roman" w:hAnsi="Times New Roman" w:cs="Times New Roman"/>
          <w:color w:val="000000"/>
        </w:rPr>
        <w:t xml:space="preserve">Certiorari </w:t>
      </w:r>
      <w:r>
        <w:rPr>
          <w:rFonts w:ascii="Times New Roman" w:hAnsi="Times New Roman" w:cs="Times New Roman"/>
          <w:i/>
          <w:iCs/>
          <w:color w:val="000000"/>
        </w:rPr>
        <w:t>– Stay of order – Decision by the Ministry of Education to allow</w:t>
      </w:r>
      <w:r w:rsidR="00AE2F8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privatisation of a public school – Date of order not identified – Whether failure to identify date of order</w:t>
      </w:r>
      <w:r w:rsidR="00AE2F8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fatal to application for leave.</w:t>
      </w:r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Judicial review – Procedure –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 xml:space="preserve">leave – Parents’ association obtaining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>leave to</w:t>
      </w:r>
      <w:r w:rsidR="00AE2F8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contest school privatisation order by Minister – Circumstances under which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>leave may be set</w:t>
      </w:r>
      <w:r w:rsidR="00AE2F8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aside.</w:t>
      </w:r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a body charged with running Aga Khan Primary School in Nairobi. The Appellant</w:t>
      </w:r>
      <w:r w:rsidR="00AE2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running the school in collaboration with the Respondents, who were members of the Parents’</w:t>
      </w:r>
      <w:r w:rsidR="00AE2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Association. The school was a public school, and its teachers were provided and paid by a government</w:t>
      </w:r>
      <w:r w:rsidR="00AE2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entity. The parents paid fees and development levies, while the Appellant contributed to developing the</w:t>
      </w:r>
      <w:r w:rsidR="00AE2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school facilities.</w:t>
      </w:r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November 2001 the Chairman of the Appellant informed the Parents’ Association that the Ministry</w:t>
      </w:r>
      <w:r w:rsidR="00AE2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Education had mandated the Appellant to </w:t>
      </w:r>
      <w:proofErr w:type="spellStart"/>
      <w:r>
        <w:rPr>
          <w:rFonts w:ascii="Times New Roman" w:hAnsi="Times New Roman" w:cs="Times New Roman"/>
          <w:color w:val="000000"/>
        </w:rPr>
        <w:t>privatise</w:t>
      </w:r>
      <w:proofErr w:type="spellEnd"/>
      <w:r>
        <w:rPr>
          <w:rFonts w:ascii="Times New Roman" w:hAnsi="Times New Roman" w:cs="Times New Roman"/>
          <w:color w:val="000000"/>
        </w:rPr>
        <w:t xml:space="preserve"> the public schools it was managing, including the</w:t>
      </w:r>
      <w:r w:rsidR="00AE2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 Khan Primary School. The Association, which had not been heard prior to the privatisation order,</w:t>
      </w:r>
      <w:r w:rsidR="00AE2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moved the Court for leave to apply for an order of </w:t>
      </w:r>
      <w:r>
        <w:rPr>
          <w:rFonts w:ascii="Times New Roman" w:hAnsi="Times New Roman" w:cs="Times New Roman"/>
          <w:i/>
          <w:iCs/>
          <w:color w:val="000000"/>
        </w:rPr>
        <w:t>certiorari</w:t>
      </w:r>
      <w:r>
        <w:rPr>
          <w:rFonts w:ascii="Times New Roman" w:hAnsi="Times New Roman" w:cs="Times New Roman"/>
          <w:color w:val="000000"/>
        </w:rPr>
        <w:t>. The Association also sought a stay of the</w:t>
      </w:r>
      <w:r w:rsidR="00AE2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privatisation order.</w:t>
      </w:r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Leave and stay were granted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. After the substantive judicial review application was filed and</w:t>
      </w:r>
      <w:r w:rsidR="00AE2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served upon the Appellant, the Appellant brought an application under the inherent jurisdiction of the</w:t>
      </w:r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Court seeking to set aside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orders for leave and stay. The Appellant claimed that the</w:t>
      </w:r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Respondents had not shown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 w:rsidR="00AE2F81">
        <w:rPr>
          <w:rFonts w:ascii="Times New Roman" w:hAnsi="Times New Roman" w:cs="Times New Roman"/>
          <w:color w:val="000000"/>
        </w:rPr>
        <w:t>case that</w:t>
      </w:r>
      <w:r>
        <w:rPr>
          <w:rFonts w:ascii="Times New Roman" w:hAnsi="Times New Roman" w:cs="Times New Roman"/>
          <w:color w:val="000000"/>
        </w:rPr>
        <w:t xml:space="preserve"> the alleged order sought to be quashed had not been</w:t>
      </w:r>
      <w:r w:rsidR="00AE2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properly identified and that there were no facts to support the prayer for judicial review. The Appellant’s</w:t>
      </w:r>
      <w:r w:rsidR="00AE2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was heard and dismissed. The Appellant appealed.</w:t>
      </w:r>
    </w:p>
    <w:p w:rsidR="00AE2F81" w:rsidRDefault="00AE2F81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In order to enable a judge to grant leave under Order LIII of the Civil Procedure Rules, there must</w:t>
      </w:r>
      <w:r w:rsidR="00AE2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evidence of an arguable case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Njuguna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Minister for Agriculture </w:t>
      </w:r>
      <w:r>
        <w:rPr>
          <w:rFonts w:ascii="Times New Roman" w:hAnsi="Times New Roman" w:cs="Times New Roman"/>
          <w:color w:val="000000"/>
        </w:rPr>
        <w:t>[2000] 1 EA 184</w:t>
      </w:r>
      <w:r w:rsidR="00AE2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followed; </w:t>
      </w:r>
      <w:r>
        <w:rPr>
          <w:rFonts w:ascii="Times New Roman" w:hAnsi="Times New Roman" w:cs="Times New Roman"/>
          <w:i/>
          <w:iCs/>
          <w:color w:val="000000"/>
        </w:rPr>
        <w:t xml:space="preserve">R v Secretary of State </w:t>
      </w:r>
      <w:r>
        <w:rPr>
          <w:rFonts w:ascii="Times New Roman" w:hAnsi="Times New Roman" w:cs="Times New Roman"/>
          <w:color w:val="000000"/>
        </w:rPr>
        <w:t xml:space="preserve">ex parte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Harbage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[1978] 1 All ER 324 adopted). This leave can</w:t>
      </w:r>
      <w:r w:rsidR="00AE2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subsequently be set aside upon application to the judge who granted it, or any other judge if the former is</w:t>
      </w:r>
      <w:r w:rsidR="00AE2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available. However, the jurisdiction to set aside leave already granted is one to be exercised very</w:t>
      </w:r>
      <w:r w:rsidR="00AE2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circumspectly or sparingly.</w:t>
      </w:r>
      <w:r w:rsidR="00AE2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Leave shall not be granted for an application for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unless the decision sought to be challenged</w:t>
      </w:r>
      <w:r w:rsidR="00AE2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made less than six months previously. The burden is on the applicant to satisfy this condition. While</w:t>
      </w:r>
      <w:r w:rsidR="00AE2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date for the order in this case had not been indicated, the Judge had sufficient material to entitle him</w:t>
      </w:r>
      <w:r w:rsidR="00AE2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</w:t>
      </w:r>
      <w:r w:rsidR="00AE2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take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view that the Respondents were seeking leave within the prescribed period.</w:t>
      </w:r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Judge was entitled to grant the Respondents leave on the basis of the facts placed before him.</w:t>
      </w:r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 with costs.</w:t>
      </w:r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curiam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</w:rPr>
        <w:t>Unless the case is an obvious one where there are no prospects at all of success, practitioners</w:t>
      </w:r>
      <w:r w:rsidR="00AE2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be discouraged from following the grant of leave with applications to set aside leave. The mere</w:t>
      </w:r>
      <w:r w:rsidR="00AE2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 that an applicant may in the end have great difficulties in proving his case is no basis for setting</w:t>
      </w:r>
      <w:r w:rsidR="00AE2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aside leave already granted.</w:t>
      </w:r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  <w:r w:rsidR="00AE2F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Njuguna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Minister for Agriculture </w:t>
      </w:r>
      <w:r>
        <w:rPr>
          <w:rFonts w:ascii="Times New Roman" w:hAnsi="Times New Roman" w:cs="Times New Roman"/>
          <w:color w:val="000000"/>
        </w:rPr>
        <w:t xml:space="preserve">[2000] 1 EA 184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 v Crown Prosecution Service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 xml:space="preserve">Hogg </w:t>
      </w:r>
      <w:r>
        <w:rPr>
          <w:rFonts w:ascii="Times New Roman" w:hAnsi="Times New Roman" w:cs="Times New Roman"/>
          <w:color w:val="000000"/>
        </w:rPr>
        <w:t>[1994] 6 Admin LR 778</w:t>
      </w:r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 v Customs and Excise Commissioners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 xml:space="preserve">Eurotunnel plc </w:t>
      </w:r>
      <w:r>
        <w:rPr>
          <w:rFonts w:ascii="Times New Roman" w:hAnsi="Times New Roman" w:cs="Times New Roman"/>
          <w:color w:val="000000"/>
        </w:rPr>
        <w:t>[1957] CLC 392</w:t>
      </w:r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 v Environment Agency </w:t>
      </w:r>
      <w:r>
        <w:rPr>
          <w:rFonts w:ascii="Times New Roman" w:hAnsi="Times New Roman" w:cs="Times New Roman"/>
          <w:color w:val="000000"/>
        </w:rPr>
        <w:t xml:space="preserve">ex parte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Leam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[1998] </w:t>
      </w:r>
      <w:proofErr w:type="spellStart"/>
      <w:r>
        <w:rPr>
          <w:rFonts w:ascii="Times New Roman" w:hAnsi="Times New Roman" w:cs="Times New Roman"/>
          <w:color w:val="000000"/>
        </w:rPr>
        <w:t>Env</w:t>
      </w:r>
      <w:proofErr w:type="spellEnd"/>
      <w:r>
        <w:rPr>
          <w:rFonts w:ascii="Times New Roman" w:hAnsi="Times New Roman" w:cs="Times New Roman"/>
          <w:color w:val="000000"/>
        </w:rPr>
        <w:t xml:space="preserve"> LR D1</w:t>
      </w:r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 v Secretary of State </w:t>
      </w:r>
      <w:r>
        <w:rPr>
          <w:rFonts w:ascii="Times New Roman" w:hAnsi="Times New Roman" w:cs="Times New Roman"/>
          <w:color w:val="000000"/>
        </w:rPr>
        <w:t xml:space="preserve">ex parte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Harbage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[1978] 1 All ER 324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E14F2C" w:rsidRDefault="00E14F2C" w:rsidP="00E14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 v Secretary of State for the Home Department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 xml:space="preserve">Begum </w:t>
      </w:r>
      <w:r>
        <w:rPr>
          <w:rFonts w:ascii="Times New Roman" w:hAnsi="Times New Roman" w:cs="Times New Roman"/>
          <w:color w:val="000000"/>
        </w:rPr>
        <w:t>[1989] 1 Admin LR 110</w:t>
      </w:r>
    </w:p>
    <w:p w:rsidR="0021070D" w:rsidRDefault="00E14F2C" w:rsidP="00AE2F81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i/>
          <w:iCs/>
          <w:color w:val="000000"/>
        </w:rPr>
        <w:t xml:space="preserve">R v Secretary of State for the Home Department </w:t>
      </w:r>
      <w:r>
        <w:rPr>
          <w:rFonts w:ascii="Times New Roman" w:hAnsi="Times New Roman" w:cs="Times New Roman"/>
          <w:color w:val="000000"/>
        </w:rPr>
        <w:t xml:space="preserve">ex parte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Chinnoy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[1992] 4 Admin LR </w:t>
      </w:r>
      <w:bookmarkStart w:id="0" w:name="_GoBack"/>
      <w:bookmarkEnd w:id="0"/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2C"/>
    <w:rsid w:val="0021070D"/>
    <w:rsid w:val="00AE2F81"/>
    <w:rsid w:val="00E1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51CAF-F2DE-44ED-AA12-693E5473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2018-07-04T13:27:00Z</dcterms:created>
  <dcterms:modified xsi:type="dcterms:W3CDTF">2018-07-09T10:05:00Z</dcterms:modified>
</cp:coreProperties>
</file>